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Architecture Document: Receptor Processing Pipeline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System Architecture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subsystem handles the ingestion, standardization, and formatting of raw crystallographic data (mmCIF/PDB) into GNINA-ready molecular structures. The core logic relies on standardizing the 3D coordinate space so that all receptor binding pockets share a universal origin (0,0,0) and orientation. This allows for uniform box definitions and cross-docking of ligands across different receptor conformations.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Processing Logic Flow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Initial Parsing &amp; Pruning (receptor_prep.py)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Raw structures are loaded, key interacting residues are mapped, and extraneous chains/ligands are discarded. If a native ligand exists, it is isolated and assigned a standard chain identifier.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Coordinate Standardization (align_model_space.py)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binding pocket is translated to the origin (0,0,0). The receptor's principal pore axis is aligned to the Z-axis, and the bulk mass is oriented consistently. Reference ligands are structurally mapped into the target's pocket.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&amp; Extraction (extract_validation_ligands.py, calc_validation_metrics.py)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Native ligands are extracted from the aligned space to serve as RMSD reference poses. The spatial integrity of the aligned pockets is verified mathematically.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Bounding Box Calculation (box_definition.py)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Calculates target-specific spatial bounding boxes via sequence and structural superposition.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GNINA Formatting (strip_and_convert.py)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aligned receptor is stripped of all non-protein atoms (water, ligands) and converted to PDBQT format using OpenBabel, which assigns protonation states and Gasteiger charges.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Connections to the Overarching Pipeline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Final Payload Generation: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strip_and_convert.py produces the final *_apo.pdbqt files.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These are the exact files targeted by the --receptor flags in build_kaggle_push.py and uploaded to the Google Drive push folder for Kaggle ingestion.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Box Parameter Injection: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box_definition.py generates box_params.json.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local_dispatcher.py and run_validation.py read this file to populate the cx, cy, cz, sx, sy, sz variables in the work_queue.json sent to the Kaggle workers.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Validation Targets: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extract_validation_ligands.py generates clean .pdb ligand fragments at the origin.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These fragments are consumed by run_validation.py -&gt; score_native_rmsd.py to calculate the accuracy of GNINA's docking poses against the native crystal structure.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Module &amp; Function Map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1: Initial Preparation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receptor_prep.py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Parses raw .cif files and subsets the structure based on manual metadata definitions.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detect_key_residues() -&gt; dict: Scans the structure for highly conserved BZD-site residues (His101/102 on the alpha subunit, Phe77 on the gamma subunit).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process_receptor(cif_path, meta_path, out_dir):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Loads the raw complex and parses _metadata.json.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Computes the center of mass of the target binding chains.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Identifies the specific ligand molecule physically closest to the binding site center (filtering out crystallographic artifacts elsewhere in the structure).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Prunes all non-target protein chains and non-target ligands.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Outputs a cleaned *_ligand.pdb or *_apo.pdb.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2: Coordinate Standardization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align_model_space.py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Forces all receptors into a unified 3D coordinate system.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vector_to_matrix(v1, v2) -&gt; np.ndarray: Calculates a 4x4 rotation matrix to align two 3D vectors.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standardize_geometry(obj) -&gt; list: The core spatial logic.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Computes the covariance matrix of the receptor coordinates to find the principal axis (the pore) and aligns it to the Z-axis.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Evaluates the Z-center of mass and flips the receptor 180° if the bulk mass is above the origin.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Rotates the receptor around the Z-axis so the center of mass lies on the -X axis, forcing the pocket (at the origin) to face +X.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main(): Handles three alignment modes: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Master Receptor Mode: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Translates the native ligand to (0,0,0) and applies standardize_geometry.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Reference Alignment Mode: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Performs a global superposition to the master receptor, followed by a localized interface superposition (residues within 10Å of the origin). Copies holo-ligands from the reference into the target's pocket (e.g., mapping DZP from 6X3X into 6X3U).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3: Spatial Validation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calc_validation_metrics.py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Verifies that the alignment process did not distort the binding site architecture.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calc_rmsd(ref_file, target_file) -&gt; tuple: Extracts CA atoms within 10Å of the origin for both reference and target, runs a zero-cycle alignment, and returns the RMSD.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get_min_dist(target_file, lig_chain, res_chain, resi) -&gt; float: Calculates the minimum Euclidean distance between a ligand and a specific key residue (e.g., His102).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main(): Generates a table comparing target pocket RMSDs and calculating the distance deltas (Δ) between the mapped ligands and the key reference residues, ensuring binding site geometry is strictly conserved.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extract_validation_ligands.py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extract_ligand_from_aligned(aligned_pdb, resname, output_path): Selects the ligand from the origin-aligned structure, verifies its center of mass is near (0,0,0), normalizes chain/residue IDs, and saves a clean fragment.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4: Bounding Box Calculation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box_definition.py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Derives docking box centers for target receptors by mapping coordinates from a known reference.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get_ligand_centroid(structure, resname) -&gt; np.ndarray: Returns the mean coordinates of the native ligand.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extract_sequence_and_cas(structure, chain_ids) -&gt; list: Extracts 1-letter amino acid codes and Alpha-Carbon coordinates for structural alignment.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main(): Performs a pairwise sequence alignment between the reference and target. Uses the aligned sequence blocks to identify matching CA atoms, calculates the rotation/translation matrix via Bio.PDB.Superimposer, and applies this transformation to the reference ligand centroid to dictate the target's box center. Outputs box_params.json.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Step 5: Final Formatting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strip_and_convert.py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Prepares the final Kaggle/GNINA payload.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process_and_convert(pdb_path, meta_path, out_dir):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Loads the aligned PDB into PyMOL.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Strips away everything except the explicitly defined BZD chains (alpha/gamma).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Aggressively removes all heteroatoms (hetatm), including the previously mapped ligands and crystallographic waters, yielding a purely apo binding pocket.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Calls obabel (OpenBabel) via subprocess to convert the stripped PDB to .pdbqt, adding hydrogens at pH 7.4 and calculating Gasteiger partial charges.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