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F3864"/>
          <w:sz w:val="48"/>
          <w:szCs w:val="48"/>
        </w:rPr>
        <w:t xml:space="preserve">인공지능(AI) 발전의 현황과 과제</w:t>
      </w:r>
    </w:p>
    <w:p>
      <w:pPr>
        <w:spacing w:after="1200"/>
        <w:jc w:val="center"/>
      </w:pPr>
      <w:r>
        <w:rPr>
          <w:rFonts w:ascii="맑은 고딕" w:cs="맑은 고딕" w:eastAsia="맑은 고딕" w:hAnsi="맑은 고딕"/>
          <w:color w:val="404040"/>
          <w:sz w:val="28"/>
          <w:szCs w:val="28"/>
        </w:rPr>
        <w:t xml:space="preserve">기술·산업·사회·제도 측면의 종합 분석</w:t>
      </w:r>
    </w:p>
    <w:p>
      <w:pPr>
        <w:jc w:val="center"/>
      </w:pPr>
      <w:r>
        <w:rPr>
          <w:rFonts w:ascii="맑은 고딕" w:cs="맑은 고딕" w:eastAsia="맑은 고딕" w:hAnsi="맑은 고딕"/>
          <w:sz w:val="24"/>
          <w:szCs w:val="24"/>
        </w:rPr>
        <w:t xml:space="preserve">2026년 10월</w:t>
      </w:r>
    </w:p>
    <w:p>
      <w:r>
        <w:br w:type="page"/>
      </w:r>
    </w:p>
    <w:p>
      <w:pPr>
        <w:pStyle w:val="Heading1"/>
      </w:pPr>
      <w:r>
        <w:rPr>
          <w:rFonts w:ascii="맑은 고딕" w:cs="맑은 고딕" w:eastAsia="맑은 고딕" w:hAnsi="맑은 고딕"/>
        </w:rPr>
        <w:t xml:space="preserve">Ⅰ. 서론</w:t>
      </w:r>
    </w:p>
    <w:p>
      <w:pPr>
        <w:pStyle w:val="Heading2"/>
      </w:pPr>
      <w:r>
        <w:rPr>
          <w:rFonts w:ascii="맑은 고딕" w:cs="맑은 고딕" w:eastAsia="맑은 고딕" w:hAnsi="맑은 고딕"/>
        </w:rPr>
        <w:t xml:space="preserve">1. 연구 배경</w:t>
      </w:r>
    </w:p>
    <w:p>
      <w:pPr>
        <w:spacing w:after="160" w:line="360"/>
        <w:jc w:val="both"/>
      </w:pPr>
      <w:r>
        <w:rPr>
          <w:rFonts w:ascii="맑은 고딕" w:cs="맑은 고딕" w:eastAsia="맑은 고딕" w:hAnsi="맑은 고딕"/>
          <w:sz w:val="22"/>
          <w:szCs w:val="22"/>
        </w:rPr>
        <w:t xml:space="preserve">생성형 AI가 대중에 처음 공개된 2022년 말 이후 인공지능은 빠르게 확산되었다. 이제는 연구실을 넘어 기업 업무, 과학 연구, 일상생활 전반으로 퍼졌다. Stanford HAI의 「AI Index 2026」에 따르면 생성형 AI는 출시 3년 만에 세계 인구의 53%가 쓰는 기술이 되었다. 이는 개인용 컴퓨터나 인터넷보다 빠른 확산 속도다. 같은 기간 기업의 AI 투자는 5,800억 달러를 넘었고, 주요 국가는 AI를 규율하는 법률을 시행하기 시작했다.</w:t>
      </w:r>
    </w:p>
    <w:p>
      <w:pPr>
        <w:spacing w:after="160" w:line="360"/>
        <w:jc w:val="both"/>
      </w:pPr>
      <w:r>
        <w:rPr>
          <w:rFonts w:ascii="맑은 고딕" w:cs="맑은 고딕" w:eastAsia="맑은 고딕" w:hAnsi="맑은 고딕"/>
          <w:sz w:val="22"/>
          <w:szCs w:val="22"/>
        </w:rPr>
        <w:t xml:space="preserve">그러나 AI 발전은 하나의 방향으로만 움직이지 않는다. 벤치마크 점수가 인간 전문가를 넘어서는 한편, 실제 업무에서의 신뢰성 문제와 AI 관련 사고는 오히려 늘고 있다. 거대한 인프라 투자는 전력 수요 급증이라는 새로운 제약을 낳았다. 노동시장에서도 직무 구조가 재편되고 있다. 따라서 AI 발전을 기술 성능만으로 볼 것이 아니라 산업, 사회, 제도의 측면에서 함께 살펴볼 필요가 있다.</w:t>
      </w:r>
    </w:p>
    <w:p>
      <w:pPr>
        <w:pStyle w:val="Heading2"/>
      </w:pPr>
      <w:r>
        <w:rPr>
          <w:rFonts w:ascii="맑은 고딕" w:cs="맑은 고딕" w:eastAsia="맑은 고딕" w:hAnsi="맑은 고딕"/>
        </w:rPr>
        <w:t xml:space="preserve">2. 연구 목적 및 방법</w:t>
      </w:r>
    </w:p>
    <w:p>
      <w:pPr>
        <w:spacing w:after="160" w:line="360"/>
        <w:jc w:val="both"/>
      </w:pPr>
      <w:r>
        <w:rPr>
          <w:rFonts w:ascii="맑은 고딕" w:cs="맑은 고딕" w:eastAsia="맑은 고딕" w:hAnsi="맑은 고딕"/>
          <w:sz w:val="22"/>
          <w:szCs w:val="22"/>
        </w:rPr>
        <w:t xml:space="preserve">이 보고서의 목적은 2026년 10월 현재 AI 발전의 현황을 정리하고, 그 의미와 앞으로의 과제를 도출하는 것이다. 이를 위해 Stanford AI Index 2026, IEA, Goldman Sachs, PwC, S&amp;P Global 등 공신력 있는 기관의 보고서와 주요 언론·연구 자료를 웹으로 조사하였다. 조사 결과는 research 폴더에 정리하였다. 본론에서는 ① 기술 역량, ② 투자·인프라·에너지, ③ 산업 응용, ④ 노동시장, ⑤ 안전과 규제의 다섯 측면을 차례로 분석한다.</w:t>
      </w:r>
    </w:p>
    <w:p>
      <w:r>
        <w:br w:type="page"/>
      </w:r>
    </w:p>
    <w:p>
      <w:pPr>
        <w:pStyle w:val="Heading1"/>
      </w:pPr>
      <w:r>
        <w:rPr>
          <w:rFonts w:ascii="맑은 고딕" w:cs="맑은 고딕" w:eastAsia="맑은 고딕" w:hAnsi="맑은 고딕"/>
        </w:rPr>
        <w:t xml:space="preserve">Ⅱ. 본론</w:t>
      </w:r>
    </w:p>
    <w:p>
      <w:pPr>
        <w:pStyle w:val="Heading2"/>
      </w:pPr>
      <w:r>
        <w:rPr>
          <w:rFonts w:ascii="맑은 고딕" w:cs="맑은 고딕" w:eastAsia="맑은 고딕" w:hAnsi="맑은 고딕"/>
        </w:rPr>
        <w:t xml:space="preserve">1. 기술 역량: 가속하는 성능과 들쭉날쭉한 프런티어</w:t>
      </w:r>
    </w:p>
    <w:p>
      <w:pPr>
        <w:spacing w:after="160" w:line="360"/>
        <w:jc w:val="both"/>
      </w:pPr>
      <w:r>
        <w:rPr>
          <w:rFonts w:ascii="맑은 고딕" w:cs="맑은 고딕" w:eastAsia="맑은 고딕" w:hAnsi="맑은 고딕"/>
          <w:sz w:val="22"/>
          <w:szCs w:val="22"/>
        </w:rPr>
        <w:t xml:space="preserve">AI 기술 역량은 정체되지 않고 가속하고 있다. 2025년 주요 프런티어 모델의 90% 이상을 산업계가 개발했으며, 여러 모델이 박사급 과학 문제, 멀티모달 추론, 경시 수학에서 인간 기준선과 같거나 더 높은 성능을 낸다. 특히 소프트웨어 공학 능력을 측정하는 SWE-bench Verified의 성능은 1년 만에 약 60%에서 100% 가까이 올랐다. 벤치마크가 금세 포화되어 더 어려운 시험으로 대체되는 주기도 점점 짧아지고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벤치마크</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측정 영역</w:t>
            </w:r>
          </w:p>
        </w:tc>
        <w:tc>
          <w:tcPr>
            <w:tcW w:type="dxa" w:w="34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주요 결과</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SWE-bench Verified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소프트웨어 공학</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1년 만에 약 60% → 100% 가까이</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GPQA Diamond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박사급 과학 문제</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최상위 모델 약 94%, 전문가 수준 초과</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WebArena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자율 웹 에이전트</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15%(2023) → 74.3%(2026 초)</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Cybench</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전문 사이버보안 과제</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프런티어 모델 93% 해결</w:t>
            </w:r>
          </w:p>
        </w:tc>
      </w:tr>
    </w:tbl>
    <w:p>
      <w:pPr>
        <w:spacing w:after="240" w:before="80"/>
        <w:jc w:val="center"/>
      </w:pPr>
      <w:r>
        <w:rPr>
          <w:rFonts w:ascii="맑은 고딕" w:cs="맑은 고딕" w:eastAsia="맑은 고딕" w:hAnsi="맑은 고딕"/>
          <w:i/>
          <w:iCs/>
          <w:color w:val="595959"/>
          <w:sz w:val="18"/>
          <w:szCs w:val="18"/>
        </w:rPr>
        <w:t xml:space="preserve">&lt;표 1&gt; 주요 벤치마크로 본 AI 성능 향상 (출처: Stanford AI Index 2026, Kili Technology 등)</w:t>
      </w:r>
    </w:p>
    <w:p>
      <w:pPr>
        <w:spacing w:after="160" w:line="360"/>
        <w:jc w:val="both"/>
      </w:pPr>
      <w:r>
        <w:rPr>
          <w:rFonts w:ascii="맑은 고딕" w:cs="맑은 고딕" w:eastAsia="맑은 고딕" w:hAnsi="맑은 고딕"/>
          <w:sz w:val="22"/>
          <w:szCs w:val="22"/>
        </w:rPr>
        <w:t xml:space="preserve">질문에 답하는 수준을 넘어 스스로 웹을 탐색하고 도구를 사용하는 AI 에이전트도 빠르게 발전하고 있다. 그러나 실제 프로덕션 환경에서 에이전트는 여전히 약 3번 중 1번 실패한다. 도구 사용, 계획 수립, 다단계 추론, 환각이 주요 약점으로 꼽힌다. AI Index는 이를 "들쭉날쭉한 프런티어(jagged frontier)"라고 부른다. 국제수학올림피아드에서 금메달 수준을 내는 모델이 아날로그 시계는 50.1%만 정확히 읽는다는 사례가 대표적이다. 대표 벤치마크 점수만으로는 실제 업무 성능을 판단하기 어렵다는 뜻이다.</w:t>
      </w:r>
    </w:p>
    <w:p>
      <w:pPr>
        <w:spacing w:after="160" w:line="360"/>
        <w:jc w:val="both"/>
      </w:pPr>
      <w:r>
        <w:rPr>
          <w:rFonts w:ascii="맑은 고딕" w:cs="맑은 고딕" w:eastAsia="맑은 고딕" w:hAnsi="맑은 고딕"/>
          <w:sz w:val="22"/>
          <w:szCs w:val="22"/>
        </w:rPr>
        <w:t xml:space="preserve">지정학적으로는 미국과 중국의 모델 성능 격차가 사실상 사라졌다. 2025년 초 이후 양국 모델이 여러 차례 선두를 주고받았다. 2026년 3월 기준 미국 최고 모델의 우위는 약 2.7%에 불과하다. AI 기술 경쟁은 소수 국가가 아니라 다극 경쟁 구도로 바뀌고 있다.</w:t>
      </w:r>
    </w:p>
    <w:p>
      <w:pPr>
        <w:pStyle w:val="Heading2"/>
      </w:pPr>
      <w:r>
        <w:rPr>
          <w:rFonts w:ascii="맑은 고딕" w:cs="맑은 고딕" w:eastAsia="맑은 고딕" w:hAnsi="맑은 고딕"/>
        </w:rPr>
        <w:t xml:space="preserve">2. 투자·인프라·에너지: 조 달러 규모의 경쟁</w:t>
      </w:r>
    </w:p>
    <w:p>
      <w:pPr>
        <w:spacing w:after="160" w:line="360"/>
        <w:jc w:val="both"/>
      </w:pPr>
      <w:r>
        <w:rPr>
          <w:rFonts w:ascii="맑은 고딕" w:cs="맑은 고딕" w:eastAsia="맑은 고딕" w:hAnsi="맑은 고딕"/>
          <w:sz w:val="22"/>
          <w:szCs w:val="22"/>
        </w:rPr>
        <w:t xml:space="preserve">AI 발전을 뒷받침하는 것은 전례 없는 규모의 자본 투자다. AI Index 2026에 따르면 기업 AI 투자는 5,816.9억 달러에 달했고, 조직의 88%가 AI를 도입했다. 투자는 특히 데이터센터와 연산 인프라에 몰리고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지표</w:t>
            </w:r>
          </w:p>
        </w:tc>
        <w:tc>
          <w:tcPr>
            <w:tcW w:type="dxa" w:w="4526"/>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규모</w:t>
            </w:r>
          </w:p>
        </w:tc>
      </w:tr>
      <w:tr>
        <w:trPr>
          <w:tblHeader w:val="off"/>
        </w:trP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기업 AI 투자 (AI Index 2026)</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5,816.9억 달러</w:t>
            </w:r>
          </w:p>
        </w:tc>
      </w:tr>
      <w:tr>
        <w:trPr>
          <w:tblHeader w:val="off"/>
        </w:trP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2026년 데이터센터 지출 (Gartner)</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7,880억 달러 이상 (전년 대비 +55.8%)</w:t>
            </w:r>
          </w:p>
        </w:tc>
      </w:tr>
      <w:tr>
        <w:trPr>
          <w:tblHeader w:val="off"/>
        </w:trP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미국 5대 하이퍼스케일러 2026년 설비투자</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6,600억~6,900억 달러 (약 75%가 AI)</w:t>
            </w:r>
          </w:p>
        </w:tc>
      </w:tr>
      <w:tr>
        <w:trPr>
          <w:tblHeader w:val="off"/>
        </w:trP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AI 설비투자 전망 (Goldman Sachs)</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2026년 약 7,650억 → 2031년 연 1.6조 달러</w:t>
            </w:r>
          </w:p>
        </w:tc>
      </w:tr>
      <w:tr>
        <w:trPr>
          <w:tblHeader w:val="off"/>
        </w:trP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2030년까지 누적 데이터센터 투자 (McKinsey)</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color w:val="000000"/>
                <w:sz w:val="20"/>
                <w:szCs w:val="20"/>
              </w:rPr>
              <w:t xml:space="preserve">약 7조 달러 (AI 관련 5조 달러 이상)</w:t>
            </w:r>
          </w:p>
        </w:tc>
      </w:tr>
    </w:tbl>
    <w:p>
      <w:pPr>
        <w:spacing w:after="240" w:before="80"/>
        <w:jc w:val="center"/>
      </w:pPr>
      <w:r>
        <w:rPr>
          <w:rFonts w:ascii="맑은 고딕" w:cs="맑은 고딕" w:eastAsia="맑은 고딕" w:hAnsi="맑은 고딕"/>
          <w:i/>
          <w:iCs/>
          <w:color w:val="595959"/>
          <w:sz w:val="18"/>
          <w:szCs w:val="18"/>
        </w:rPr>
        <w:t xml:space="preserve">&lt;표 2&gt; AI 관련 투자 규모</w:t>
      </w:r>
    </w:p>
    <w:p>
      <w:pPr>
        <w:spacing w:after="160" w:line="360"/>
        <w:jc w:val="both"/>
      </w:pPr>
      <w:r>
        <w:rPr>
          <w:rFonts w:ascii="맑은 고딕" w:cs="맑은 고딕" w:eastAsia="맑은 고딕" w:hAnsi="맑은 고딕"/>
          <w:sz w:val="22"/>
          <w:szCs w:val="22"/>
        </w:rPr>
        <w:t xml:space="preserve">이런 인프라 확장은 에너지 문제로 이어진다. 국제에너지기구(IEA)는 2022년 460TWh였던 세계 데이터센터 전력 소비가 2026년 650~1,050TWh에 이를 것으로 전망했다. 미국에서는 데이터센터가 전체 전력의 약 6%를 쓸 것으로 예상된다. 이제 전력 공급은 AI 인프라 확장의 핵심 병목이 되었다. 따라서 AI 발전은 에너지 정책, 전력망 투자, 탄소중립 목표와 함께 고려해야 하는 과제가 되었다.</w:t>
      </w:r>
    </w:p>
    <w:p>
      <w:pPr>
        <w:pStyle w:val="Heading2"/>
      </w:pPr>
      <w:r>
        <w:rPr>
          <w:rFonts w:ascii="맑은 고딕" w:cs="맑은 고딕" w:eastAsia="맑은 고딕" w:hAnsi="맑은 고딕"/>
        </w:rPr>
        <w:t xml:space="preserve">3. 산업 응용: 과학·의료 분야의 성과</w:t>
      </w:r>
    </w:p>
    <w:p>
      <w:pPr>
        <w:spacing w:after="160" w:line="360"/>
        <w:jc w:val="both"/>
      </w:pPr>
      <w:r>
        <w:rPr>
          <w:rFonts w:ascii="맑은 고딕" w:cs="맑은 고딕" w:eastAsia="맑은 고딕" w:hAnsi="맑은 고딕"/>
          <w:sz w:val="22"/>
          <w:szCs w:val="22"/>
        </w:rPr>
        <w:t xml:space="preserve">AI가 실험실 밖에서 실질적 성과를 낸 대표 분야는 신약 개발이다. Insilico Medicine이 AI로 설계한 특발성 폐섬유증 치료제는 임상 2a상을 마쳤고, 그 결과가 Nature Medicine에 실렸다. AI가 처음부터 끝까지 발굴한 약물의 첫 임상적 개념 증명이다. 이 약물은 약 18개월, 약 600만 달러로 임상 2a상에 도달했다. 기존 방식이 6~8년, 1억~2억 달러를 쓰는 것과 비교하면 극적인 효율 향상이다.</w:t>
      </w:r>
    </w:p>
    <w:p>
      <w:pPr>
        <w:spacing w:after="160" w:line="360"/>
        <w:jc w:val="both"/>
      </w:pPr>
      <w:r>
        <w:rPr>
          <w:rFonts w:ascii="맑은 고딕" w:cs="맑은 고딕" w:eastAsia="맑은 고딕" w:hAnsi="맑은 고딕"/>
          <w:sz w:val="22"/>
          <w:szCs w:val="22"/>
        </w:rPr>
        <w:t xml:space="preserve">현재 AI가 발굴한 분자 75개 이상이 인체 임상시험 중이며, 전임상 단계의 시간과 비용은 약 50~70% 줄어든 것으로 보고된다. Eli Lilly–Insilico(최대 27.5억 달러), Sanofi–Owkin 등 대형 제약사와의 계약도 이어지고 있다. AI가 연구 개발의 보조 도구를 넘어 핵심 주체로 자리 잡고 있음을 보여준다.</w:t>
      </w:r>
    </w:p>
    <w:p>
      <w:pPr>
        <w:pStyle w:val="Heading2"/>
      </w:pPr>
      <w:r>
        <w:rPr>
          <w:rFonts w:ascii="맑은 고딕" w:cs="맑은 고딕" w:eastAsia="맑은 고딕" w:hAnsi="맑은 고딕"/>
        </w:rPr>
        <w:t xml:space="preserve">4. 노동시장: 대량 실업보다 구조 재편</w:t>
      </w:r>
    </w:p>
    <w:p>
      <w:pPr>
        <w:spacing w:after="160" w:line="360"/>
        <w:jc w:val="both"/>
      </w:pPr>
      <w:r>
        <w:rPr>
          <w:rFonts w:ascii="맑은 고딕" w:cs="맑은 고딕" w:eastAsia="맑은 고딕" w:hAnsi="맑은 고딕"/>
          <w:sz w:val="22"/>
          <w:szCs w:val="22"/>
        </w:rPr>
        <w:t xml:space="preserve">AI가 일자리에 미치는 영향은 우려만큼 급격하지는 않지만, 구조적 변화는 분명하다. Anthropic의 2026년 3월 연구는 ChatGPT 출시 이후 AI 노출도가 높은 노동자의 전체 실업률이 늘었다는 증거를 찾지 못했다. S&amp;P Global 조사에서는 지난 1년간 순고용 영향이 -5포인트, 2026년 전망은 -2포인트로 소폭 감소에 그쳤다.</w:t>
      </w:r>
    </w:p>
    <w:p>
      <w:pPr>
        <w:spacing w:after="160" w:line="360"/>
        <w:jc w:val="both"/>
      </w:pPr>
      <w:r>
        <w:rPr>
          <w:rFonts w:ascii="맑은 고딕" w:cs="맑은 고딕" w:eastAsia="맑은 고딕" w:hAnsi="맑은 고딕"/>
          <w:sz w:val="22"/>
          <w:szCs w:val="22"/>
        </w:rPr>
        <w:t xml:space="preserve">반면 직무 구성은 크게 달라지고 있다. HBR 연구에 따르면 ChatGPT 이후 자동화되기 쉬운 반복 업무 채용은 13% 줄었고, 분석·기술·창의 직무 수요는 20% 늘었다. Goldman Sachs는 선진국에서 콜센터, 소프트웨어 출판, 경영 컨설팅, 광고 분야 고용이 추세보다 크게 낮아졌다고 분석했다. PwC는 이를 "투 트랙" 노동시장이라고 표현했다. AI가 전문가의 역량을 끌어올리는 직무는 인원과 임금이 늘지만, AI 덕분에 비전문가도 할 수 있게 된 직무는 상대적으로 정체된다는 것이다. AI 노출도가 높은 직무의 종사자가 고학력·고소득층에 상대적으로 많다는 점도 과거 자동화와 다른 특징이다.</w:t>
      </w:r>
    </w:p>
    <w:p>
      <w:pPr>
        <w:pStyle w:val="Heading2"/>
      </w:pPr>
      <w:r>
        <w:rPr>
          <w:rFonts w:ascii="맑은 고딕" w:cs="맑은 고딕" w:eastAsia="맑은 고딕" w:hAnsi="맑은 고딕"/>
        </w:rPr>
        <w:t xml:space="preserve">5. 안전·거버넌스·규제: 역량을 따라가지 못하는 제도</w:t>
      </w:r>
    </w:p>
    <w:p>
      <w:pPr>
        <w:spacing w:after="160" w:line="360"/>
        <w:jc w:val="both"/>
      </w:pPr>
      <w:r>
        <w:rPr>
          <w:rFonts w:ascii="맑은 고딕" w:cs="맑은 고딕" w:eastAsia="맑은 고딕" w:hAnsi="맑은 고딕"/>
          <w:sz w:val="22"/>
          <w:szCs w:val="22"/>
        </w:rPr>
        <w:t xml:space="preserve">기술 발전 속도에 비해 안전과 제도는 뒤처져 있다. 기록된 AI 사고는 1년 사이 233건에서 362건으로 늘었다. 미국 중·고등학교 중 AI 정책을 갖춘 곳은 절반 정도에 그친다. "AI가 업무에 도움이 될 것인가"에 대해서는 전문가와 일반 대중의 인식 차이가 50%포인트에 이른다.</w:t>
      </w:r>
    </w:p>
    <w:p>
      <w:pPr>
        <w:spacing w:after="160" w:line="360"/>
        <w:jc w:val="both"/>
      </w:pPr>
      <w:r>
        <w:rPr>
          <w:rFonts w:ascii="맑은 고딕" w:cs="맑은 고딕" w:eastAsia="맑은 고딕" w:hAnsi="맑은 고딕"/>
          <w:sz w:val="22"/>
          <w:szCs w:val="22"/>
        </w:rPr>
        <w:t xml:space="preserve">규제 측면에서는 EU와 한국이 포괄적 AI 법을 시행하는 대표 지역이다. EU AI Act는 2025년 8월 범용 AI 규정, 2026년 8월 대부분 조항을 차례로 적용했다. 다만 최근 간소화 합의로 고위험 AI 규정 시행일은 2027년 12월 2일로 미뤄졌다. 한국의 AI 기본법은 2026년 1월 22일 시행되었다. 생성형 AI의 투명성 의무, 일정 연산량 이상으로 학습한 모델의 안전성 의무, 의료·채용·대출·에너지 등 고영향 AI에 대한 의무를 규정하며, 한국 이용자에게 서비스하는 해외 기업에도 적용된다. 두 사례 모두 혁신 촉진과 위험 관리 사이에서 균형점을 찾고 있다.</w:t>
      </w:r>
    </w:p>
    <w:p>
      <w:r>
        <w:br w:type="page"/>
      </w:r>
    </w:p>
    <w:p>
      <w:pPr>
        <w:pStyle w:val="Heading1"/>
      </w:pPr>
      <w:r>
        <w:rPr>
          <w:rFonts w:ascii="맑은 고딕" w:cs="맑은 고딕" w:eastAsia="맑은 고딕" w:hAnsi="맑은 고딕"/>
        </w:rPr>
        <w:t xml:space="preserve">Ⅲ. 결론</w:t>
      </w:r>
    </w:p>
    <w:p>
      <w:pPr>
        <w:pStyle w:val="Heading2"/>
      </w:pPr>
      <w:r>
        <w:rPr>
          <w:rFonts w:ascii="맑은 고딕" w:cs="맑은 고딕" w:eastAsia="맑은 고딕" w:hAnsi="맑은 고딕"/>
        </w:rPr>
        <w:t xml:space="preserve">1. 요약</w:t>
      </w:r>
    </w:p>
    <w:p>
      <w:pPr>
        <w:spacing w:after="160" w:line="360"/>
        <w:jc w:val="both"/>
      </w:pPr>
      <w:r>
        <w:rPr>
          <w:rFonts w:ascii="맑은 고딕" w:cs="맑은 고딕" w:eastAsia="맑은 고딕" w:hAnsi="맑은 고딕"/>
          <w:sz w:val="22"/>
          <w:szCs w:val="22"/>
        </w:rPr>
        <w:t xml:space="preserve">이 보고서는 2026년 현재 AI 발전을 다섯 측면에서 분석하였다. 핵심 결과는 다음과 같다.</w:t>
      </w:r>
    </w:p>
    <w:p>
      <w:pPr>
        <w:pStyle w:val="ListParagraph"/>
        <w:numPr>
          <w:ilvl w:val="0"/>
          <w:numId w:val="2"/>
        </w:numPr>
        <w:spacing w:after="80" w:line="340"/>
      </w:pPr>
      <w:r>
        <w:rPr>
          <w:rFonts w:ascii="맑은 고딕" w:cs="맑은 고딕" w:eastAsia="맑은 고딕" w:hAnsi="맑은 고딕"/>
          <w:sz w:val="22"/>
          <w:szCs w:val="22"/>
        </w:rPr>
        <w:t xml:space="preserve">속도: 기술 역량, 사회적 도입, 자본 투자 모두 역사적으로 유례없는 속도로 늘고 있다.</w:t>
      </w:r>
    </w:p>
    <w:p>
      <w:pPr>
        <w:pStyle w:val="ListParagraph"/>
        <w:numPr>
          <w:ilvl w:val="0"/>
          <w:numId w:val="2"/>
        </w:numPr>
        <w:spacing w:after="80" w:line="340"/>
      </w:pPr>
      <w:r>
        <w:rPr>
          <w:rFonts w:ascii="맑은 고딕" w:cs="맑은 고딕" w:eastAsia="맑은 고딕" w:hAnsi="맑은 고딕"/>
          <w:sz w:val="22"/>
          <w:szCs w:val="22"/>
        </w:rPr>
        <w:t xml:space="preserve">불균형: 벤치마크에서는 인간 전문가를 넘어섰지만, 실제 환경의 신뢰성은 아직 부족하다.</w:t>
      </w:r>
    </w:p>
    <w:p>
      <w:pPr>
        <w:pStyle w:val="ListParagraph"/>
        <w:numPr>
          <w:ilvl w:val="0"/>
          <w:numId w:val="2"/>
        </w:numPr>
        <w:spacing w:after="80" w:line="340"/>
      </w:pPr>
      <w:r>
        <w:rPr>
          <w:rFonts w:ascii="맑은 고딕" w:cs="맑은 고딕" w:eastAsia="맑은 고딕" w:hAnsi="맑은 고딕"/>
          <w:sz w:val="22"/>
          <w:szCs w:val="22"/>
        </w:rPr>
        <w:t xml:space="preserve">물리적 제약: 조 달러 규모의 인프라 투자로 전력이 새로운 병목이 되었다.</w:t>
      </w:r>
    </w:p>
    <w:p>
      <w:pPr>
        <w:pStyle w:val="ListParagraph"/>
        <w:numPr>
          <w:ilvl w:val="0"/>
          <w:numId w:val="2"/>
        </w:numPr>
        <w:spacing w:after="80" w:line="340"/>
      </w:pPr>
      <w:r>
        <w:rPr>
          <w:rFonts w:ascii="맑은 고딕" w:cs="맑은 고딕" w:eastAsia="맑은 고딕" w:hAnsi="맑은 고딕"/>
          <w:sz w:val="22"/>
          <w:szCs w:val="22"/>
        </w:rPr>
        <w:t xml:space="preserve">사회적 영향: 대량 실업은 없지만, 직무 구조가 재편되고 양극화되고 있다.</w:t>
      </w:r>
    </w:p>
    <w:p>
      <w:pPr>
        <w:pStyle w:val="ListParagraph"/>
        <w:numPr>
          <w:ilvl w:val="0"/>
          <w:numId w:val="2"/>
        </w:numPr>
        <w:spacing w:after="80" w:line="340"/>
      </w:pPr>
      <w:r>
        <w:rPr>
          <w:rFonts w:ascii="맑은 고딕" w:cs="맑은 고딕" w:eastAsia="맑은 고딕" w:hAnsi="맑은 고딕"/>
          <w:sz w:val="22"/>
          <w:szCs w:val="22"/>
        </w:rPr>
        <w:t xml:space="preserve">거버넌스 격차: AI 사고는 늘고 있는데 제도는 이제 막 자리 잡는 중이다.</w:t>
      </w:r>
    </w:p>
    <w:p>
      <w:pPr>
        <w:pStyle w:val="Heading2"/>
      </w:pPr>
      <w:r>
        <w:rPr>
          <w:rFonts w:ascii="맑은 고딕" w:cs="맑은 고딕" w:eastAsia="맑은 고딕" w:hAnsi="맑은 고딕"/>
        </w:rPr>
        <w:t xml:space="preserve">2. 시사점 및 제언</w:t>
      </w:r>
    </w:p>
    <w:p>
      <w:pPr>
        <w:spacing w:after="160" w:line="360"/>
        <w:jc w:val="both"/>
      </w:pPr>
      <w:r>
        <w:rPr>
          <w:rFonts w:ascii="맑은 고딕" w:cs="맑은 고딕" w:eastAsia="맑은 고딕" w:hAnsi="맑은 고딕"/>
          <w:sz w:val="22"/>
          <w:szCs w:val="22"/>
        </w:rPr>
        <w:t xml:space="preserve">첫째, AI 성능은 대표 벤치마크가 아니라 실제 업무 환경에서의 신뢰성으로 평가해야 한다. AI를 도입하는 조직은 자체 업무에 맞는 평가 체계와 사람의 검토 절차를 갖춰야 한다. 둘째, AI 인프라 정책은 에너지 정책과 함께 설계해야 한다. 전력망 확충, 재생에너지 연계, 연산 효율 기술에 대한 투자가 AI 경쟁력의 전제 조건이 되었다. 셋째, 노동시장의 구조 변화에 대응하려면 직무 전환 교육과 평생학습 체계를 강화해야 한다. AI를 잘 다루는 전문 역량이 임금 격차를 가르는 요인이 되고 있기 때문이다. 넷째, 한국은 AI 기본법 시행 초기에 있다. 하위 규정을 정비하면서 산업 진흥과 이용자 보호가 함께 작동하도록 해야 하고, EU 등 국제 규범과의 정합성도 확보해야 한다.</w:t>
      </w:r>
    </w:p>
    <w:p>
      <w:pPr>
        <w:pStyle w:val="Heading2"/>
      </w:pPr>
      <w:r>
        <w:rPr>
          <w:rFonts w:ascii="맑은 고딕" w:cs="맑은 고딕" w:eastAsia="맑은 고딕" w:hAnsi="맑은 고딕"/>
        </w:rPr>
        <w:t xml:space="preserve">3. 맺음말</w:t>
      </w:r>
    </w:p>
    <w:p>
      <w:pPr>
        <w:spacing w:after="160" w:line="360"/>
        <w:jc w:val="both"/>
      </w:pPr>
      <w:r>
        <w:rPr>
          <w:rFonts w:ascii="맑은 고딕" w:cs="맑은 고딕" w:eastAsia="맑은 고딕" w:hAnsi="맑은 고딕"/>
          <w:sz w:val="22"/>
          <w:szCs w:val="22"/>
        </w:rPr>
        <w:t xml:space="preserve">AI 발전은 더 이상 먼 미래의 가능성이 아니라 현재 진행 중인 사회 전반의 변화다. 이 기술이 가져올 생산성과 과학적 진보의 혜택을 넓게 나누면서 위험을 관리하려면, 기술 발전 속도에 맞춰 제도, 교육, 인프라도 함께 발전해야 한다. 앞으로 몇 년은 AI가 사회에 어떤 모습으로 자리 잡을지를 결정하는 시기가 될 것이다.</w:t>
      </w:r>
    </w:p>
    <w:p>
      <w:r>
        <w:br w:type="page"/>
      </w:r>
    </w:p>
    <w:p>
      <w:pPr>
        <w:pStyle w:val="Heading1"/>
      </w:pPr>
      <w:r>
        <w:rPr>
          <w:rFonts w:ascii="맑은 고딕" w:cs="맑은 고딕" w:eastAsia="맑은 고딕" w:hAnsi="맑은 고딕"/>
        </w:rPr>
        <w:t xml:space="preserve">참고문헌</w:t>
      </w:r>
    </w:p>
    <w:p>
      <w:pPr>
        <w:spacing w:after="100"/>
      </w:pPr>
      <w:r>
        <w:rPr>
          <w:rFonts w:ascii="맑은 고딕" w:cs="맑은 고딕" w:eastAsia="맑은 고딕" w:hAnsi="맑은 고딕"/>
          <w:sz w:val="20"/>
          <w:szCs w:val="20"/>
        </w:rPr>
        <w:t xml:space="preserve">Stanford HAI (2026). The 2026 AI Index Report. https://hai.stanford.edu/ai-index/2026-ai-index-report</w:t>
      </w:r>
    </w:p>
    <w:p>
      <w:pPr>
        <w:spacing w:after="100"/>
      </w:pPr>
      <w:r>
        <w:rPr>
          <w:rFonts w:ascii="맑은 고딕" w:cs="맑은 고딕" w:eastAsia="맑은 고딕" w:hAnsi="맑은 고딕"/>
          <w:sz w:val="20"/>
          <w:szCs w:val="20"/>
        </w:rPr>
        <w:t xml:space="preserve">IEA. Key Questions on Energy and AI. https://www.iea.org/reports/key-questions-on-energy-and-ai/executive-summary</w:t>
      </w:r>
    </w:p>
    <w:p>
      <w:pPr>
        <w:spacing w:after="100"/>
      </w:pPr>
      <w:r>
        <w:rPr>
          <w:rFonts w:ascii="맑은 고딕" w:cs="맑은 고딕" w:eastAsia="맑은 고딕" w:hAnsi="맑은 고딕"/>
          <w:sz w:val="20"/>
          <w:szCs w:val="20"/>
        </w:rPr>
        <w:t xml:space="preserve">Goldman Sachs. Tracking Trillions: The Assumptions Shaping the Scale of the AI Build-Out.</w:t>
      </w:r>
    </w:p>
    <w:p>
      <w:pPr>
        <w:spacing w:after="100"/>
      </w:pPr>
      <w:r>
        <w:rPr>
          <w:rFonts w:ascii="맑은 고딕" w:cs="맑은 고딕" w:eastAsia="맑은 고딕" w:hAnsi="맑은 고딕"/>
          <w:sz w:val="20"/>
          <w:szCs w:val="20"/>
        </w:rPr>
        <w:t xml:space="preserve">Futurum Group (2026). AI Capex 2026: The $690B Infrastructure Sprint.</w:t>
      </w:r>
    </w:p>
    <w:p>
      <w:pPr>
        <w:spacing w:after="100"/>
      </w:pPr>
      <w:r>
        <w:rPr>
          <w:rFonts w:ascii="맑은 고딕" w:cs="맑은 고딕" w:eastAsia="맑은 고딕" w:hAnsi="맑은 고딕"/>
          <w:sz w:val="20"/>
          <w:szCs w:val="20"/>
        </w:rPr>
        <w:t xml:space="preserve">CIO Dive (2026). Global IT spend to reach $6.31 trillion in 2026 amid data center rush.</w:t>
      </w:r>
    </w:p>
    <w:p>
      <w:pPr>
        <w:spacing w:after="100"/>
      </w:pPr>
      <w:r>
        <w:rPr>
          <w:rFonts w:ascii="맑은 고딕" w:cs="맑은 고딕" w:eastAsia="맑은 고딕" w:hAnsi="맑은 고딕"/>
          <w:sz w:val="20"/>
          <w:szCs w:val="20"/>
        </w:rPr>
        <w:t xml:space="preserve">VentureBeat (2026). Frontier models are failing one in three production attempts.</w:t>
      </w:r>
    </w:p>
    <w:p>
      <w:pPr>
        <w:spacing w:after="100"/>
      </w:pPr>
      <w:r>
        <w:rPr>
          <w:rFonts w:ascii="맑은 고딕" w:cs="맑은 고딕" w:eastAsia="맑은 고딕" w:hAnsi="맑은 고딕"/>
          <w:sz w:val="20"/>
          <w:szCs w:val="20"/>
        </w:rPr>
        <w:t xml:space="preserve">Kili Technology (2026). AI Benchmarks 2026: Top Evaluations and Their Limits.</w:t>
      </w:r>
    </w:p>
    <w:p>
      <w:pPr>
        <w:spacing w:after="100"/>
      </w:pPr>
      <w:r>
        <w:rPr>
          <w:rFonts w:ascii="맑은 고딕" w:cs="맑은 고딕" w:eastAsia="맑은 고딕" w:hAnsi="맑은 고딕"/>
          <w:sz w:val="20"/>
          <w:szCs w:val="20"/>
        </w:rPr>
        <w:t xml:space="preserve">Healthcare Discovery (2026). AI-Designed Drugs in Human Trials 2026 Status Report.</w:t>
      </w:r>
    </w:p>
    <w:p>
      <w:pPr>
        <w:spacing w:after="100"/>
      </w:pPr>
      <w:r>
        <w:rPr>
          <w:rFonts w:ascii="맑은 고딕" w:cs="맑은 고딕" w:eastAsia="맑은 고딕" w:hAnsi="맑은 고딕"/>
          <w:sz w:val="20"/>
          <w:szCs w:val="20"/>
        </w:rPr>
        <w:t xml:space="preserve">S&amp;P Global (2026). AI impact on employment 2026.</w:t>
      </w:r>
    </w:p>
    <w:p>
      <w:pPr>
        <w:spacing w:after="100"/>
      </w:pPr>
      <w:r>
        <w:rPr>
          <w:rFonts w:ascii="맑은 고딕" w:cs="맑은 고딕" w:eastAsia="맑은 고딕" w:hAnsi="맑은 고딕"/>
          <w:sz w:val="20"/>
          <w:szCs w:val="20"/>
        </w:rPr>
        <w:t xml:space="preserve">CNBC (2026.8.19). Goldman studied where AI is squeezing labor markets.</w:t>
      </w:r>
    </w:p>
    <w:p>
      <w:pPr>
        <w:spacing w:after="100"/>
      </w:pPr>
      <w:r>
        <w:rPr>
          <w:rFonts w:ascii="맑은 고딕" w:cs="맑은 고딕" w:eastAsia="맑은 고딕" w:hAnsi="맑은 고딕"/>
          <w:sz w:val="20"/>
          <w:szCs w:val="20"/>
        </w:rPr>
        <w:t xml:space="preserve">Harvard Business Review (2026.3). Research: How AI Is Changing the Labor Market.</w:t>
      </w:r>
    </w:p>
    <w:p>
      <w:pPr>
        <w:spacing w:after="100"/>
      </w:pPr>
      <w:r>
        <w:rPr>
          <w:rFonts w:ascii="맑은 고딕" w:cs="맑은 고딕" w:eastAsia="맑은 고딕" w:hAnsi="맑은 고딕"/>
          <w:sz w:val="20"/>
          <w:szCs w:val="20"/>
        </w:rPr>
        <w:t xml:space="preserve">PwC (2026). 2026 Global AI Jobs Barometer.</w:t>
      </w:r>
    </w:p>
    <w:p>
      <w:pPr>
        <w:spacing w:after="100"/>
      </w:pPr>
      <w:r>
        <w:rPr>
          <w:rFonts w:ascii="맑은 고딕" w:cs="맑은 고딕" w:eastAsia="맑은 고딕" w:hAnsi="맑은 고딕"/>
          <w:sz w:val="20"/>
          <w:szCs w:val="20"/>
        </w:rPr>
        <w:t xml:space="preserve">Stimson Center (2026). South Korea's AI Basic Act: Seeking Balance Between Industry Innovation and Social Risk.</w:t>
      </w:r>
    </w:p>
    <w:p>
      <w:pPr>
        <w:spacing w:after="100"/>
      </w:pPr>
      <w:r>
        <w:rPr>
          <w:rFonts w:ascii="맑은 고딕" w:cs="맑은 고딕" w:eastAsia="맑은 고딕" w:hAnsi="맑은 고딕"/>
          <w:sz w:val="20"/>
          <w:szCs w:val="20"/>
        </w:rPr>
        <w:t xml:space="preserve">Cooley (2026.1.27). South Korea's AI Basic Act: Overview and Key Takeaways.</w:t>
      </w:r>
    </w:p>
    <w:p>
      <w:pPr>
        <w:spacing w:after="100"/>
      </w:pPr>
      <w:r>
        <w:rPr>
          <w:rFonts w:ascii="맑은 고딕" w:cs="맑은 고딕" w:eastAsia="맑은 고딕" w:hAnsi="맑은 고딕"/>
          <w:sz w:val="20"/>
          <w:szCs w:val="20"/>
        </w:rPr>
        <w:t xml:space="preserve">StationX (2026). AI Regulations Around the World: Full 2026 Breakdown.</w:t>
      </w:r>
    </w:p>
    <w:sectPr>
      <w:footerReference w:type="default" r:id="rId6"/>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40" w:before="24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2E559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2026-10-04T06:38:39.061Z</dcterms:created>
  <dcterms:modified xsi:type="dcterms:W3CDTF">2026-10-04T06:38:39.062Z</dcterms:modified>
</cp:coreProperties>
</file>

<file path=docProps/custom.xml><?xml version="1.0" encoding="utf-8"?>
<Properties xmlns="http://schemas.openxmlformats.org/officeDocument/2006/custom-properties" xmlns:vt="http://schemas.openxmlformats.org/officeDocument/2006/docPropsVTypes"/>
</file>