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color w:val="1F4E79"/>
          <w:sz w:val="56"/>
          <w:szCs w:val="56"/>
        </w:rPr>
        <w:t xml:space="preserve">AI 발전 보고서</w:t>
      </w:r>
    </w:p>
    <w:p>
      <w:pPr>
        <w:spacing w:after="1200" w:before="200"/>
        <w:jc w:val="center"/>
      </w:pPr>
      <w:r>
        <w:rPr>
          <w:color w:val="404040"/>
          <w:sz w:val="28"/>
          <w:szCs w:val="28"/>
        </w:rPr>
        <w:t xml:space="preserve">인공지능 기술의 현황, 영향, 그리고 미래 전망</w:t>
      </w:r>
    </w:p>
    <w:p>
      <w:pPr>
        <w:pBdr>
          <w:top w:val="single" w:color="1F4E79" w:sz="8" w:space="12"/>
        </w:pBdr>
        <w:jc w:val="center"/>
      </w:pPr>
      <w:r>
        <w:rPr>
          <w:sz w:val="22"/>
          <w:szCs w:val="22"/>
        </w:rPr>
        <w:t xml:space="preserve">작성일: 2026년 10월 4일</w:t>
      </w:r>
    </w:p>
    <w:p>
      <w:r>
        <w:br w:type="page"/>
      </w:r>
    </w:p>
    <w:p>
      <w:pPr>
        <w:spacing w:after="240"/>
      </w:pPr>
      <w:r>
        <w:rPr>
          <w:b/>
          <w:bCs/>
          <w:color w:val="1F4E79"/>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Ⅰ. 서론</w:t>
      </w:r>
    </w:p>
    <w:p>
      <w:pPr>
        <w:pStyle w:val="Heading2"/>
      </w:pPr>
      <w:r>
        <w:t xml:space="preserve">1. 연구 배경</w:t>
      </w:r>
    </w:p>
    <w:p>
      <w:pPr>
        <w:spacing w:after="160" w:line="360"/>
        <w:jc w:val="both"/>
      </w:pPr>
      <w:r>
        <w:rPr>
          <w:sz w:val="22"/>
          <w:szCs w:val="22"/>
        </w:rPr>
        <w:t xml:space="preserve">인공지능(AI)은 1956년 다트머스 워크숍에서 처음 학문 분야로 이름을 얻은 뒤, 두 차례의 "AI 겨울"을 거치며 발전과 정체를 되풀이해 왔다. 2012년 딥러닝의 성공과 2017년 트랜스포머 구조의 등장, 2022년 ChatGPT의 출시를 계기로 AI는 연구실을 벗어나 일상과 산업 전반에 빠르게 스며들었다. 2026년 현재 생성형 AI는 3년 만에 인구의 53%에게 보급되어 PC나 인터넷보다 빠른 확산 속도를 보이고 있다.</w:t>
      </w:r>
    </w:p>
    <w:p>
      <w:pPr>
        <w:spacing w:after="160" w:line="360"/>
        <w:jc w:val="both"/>
      </w:pPr>
      <w:r>
        <w:rPr>
          <w:sz w:val="22"/>
          <w:szCs w:val="22"/>
        </w:rPr>
        <w:t xml:space="preserve">그러나 기술 발전 속도와 사회가 이를 받아들이는 속도 사이에는 차이가 있다. 성능은 빠르게 좋아지는 반면, 실제 업무에서 가치를 내는 일, 에너지와 인프라 확보, 안전과 규제 체계 마련은 여전히 과제로 남아 있다.</w:t>
      </w:r>
    </w:p>
    <w:p>
      <w:pPr>
        <w:pStyle w:val="Heading2"/>
      </w:pPr>
      <w:r>
        <w:t xml:space="preserve">2. 연구 목적 및 범위</w:t>
      </w:r>
    </w:p>
    <w:p>
      <w:pPr>
        <w:spacing w:after="160" w:line="360"/>
        <w:jc w:val="both"/>
      </w:pPr>
      <w:r>
        <w:rPr>
          <w:sz w:val="22"/>
          <w:szCs w:val="22"/>
        </w:rPr>
        <w:t xml:space="preserve">이 보고서는 2026년 기준 AI 발전 현황을 종합적으로 살펴보고, 그 영향과 앞으로의 방향을 짚어 보는 것을 목적으로 한다. 다루는 범위는 다음과 같다.</w:t>
      </w:r>
    </w:p>
    <w:p>
      <w:pPr>
        <w:pStyle w:val="ListParagraph"/>
        <w:numPr>
          <w:ilvl w:val="0"/>
          <w:numId w:val="2"/>
        </w:numPr>
        <w:spacing w:after="100" w:line="340"/>
      </w:pPr>
      <w:r>
        <w:rPr>
          <w:sz w:val="22"/>
          <w:szCs w:val="22"/>
        </w:rPr>
        <w:t xml:space="preserve">AI 발전의 역사적 흐름</w:t>
      </w:r>
    </w:p>
    <w:p>
      <w:pPr>
        <w:pStyle w:val="ListParagraph"/>
        <w:numPr>
          <w:ilvl w:val="0"/>
          <w:numId w:val="2"/>
        </w:numPr>
        <w:spacing w:after="100" w:line="340"/>
      </w:pPr>
      <w:r>
        <w:rPr>
          <w:sz w:val="22"/>
          <w:szCs w:val="22"/>
        </w:rPr>
        <w:t xml:space="preserve">최신 기술 현황과 성능 수준</w:t>
      </w:r>
    </w:p>
    <w:p>
      <w:pPr>
        <w:pStyle w:val="ListParagraph"/>
        <w:numPr>
          <w:ilvl w:val="0"/>
          <w:numId w:val="2"/>
        </w:numPr>
        <w:spacing w:after="100" w:line="340"/>
      </w:pPr>
      <w:r>
        <w:rPr>
          <w:sz w:val="22"/>
          <w:szCs w:val="22"/>
        </w:rPr>
        <w:t xml:space="preserve">산업계의 도입과 투자 동향, AI 에이전트의 부상</w:t>
      </w:r>
    </w:p>
    <w:p>
      <w:pPr>
        <w:pStyle w:val="ListParagraph"/>
        <w:numPr>
          <w:ilvl w:val="0"/>
          <w:numId w:val="2"/>
        </w:numPr>
        <w:spacing w:after="100" w:line="340"/>
      </w:pPr>
      <w:r>
        <w:rPr>
          <w:sz w:val="22"/>
          <w:szCs w:val="22"/>
        </w:rPr>
        <w:t xml:space="preserve">인프라와 에너지 문제</w:t>
      </w:r>
    </w:p>
    <w:p>
      <w:pPr>
        <w:pStyle w:val="ListParagraph"/>
        <w:numPr>
          <w:ilvl w:val="0"/>
          <w:numId w:val="2"/>
        </w:numPr>
        <w:spacing w:after="100" w:line="340"/>
      </w:pPr>
      <w:r>
        <w:rPr>
          <w:sz w:val="22"/>
          <w:szCs w:val="22"/>
        </w:rPr>
        <w:t xml:space="preserve">일자리와 사회에 미치는 영향</w:t>
      </w:r>
    </w:p>
    <w:p>
      <w:pPr>
        <w:pStyle w:val="ListParagraph"/>
        <w:numPr>
          <w:ilvl w:val="0"/>
          <w:numId w:val="2"/>
        </w:numPr>
        <w:spacing w:after="100" w:line="340"/>
      </w:pPr>
      <w:r>
        <w:rPr>
          <w:sz w:val="22"/>
          <w:szCs w:val="22"/>
        </w:rPr>
        <w:t xml:space="preserve">안전, 윤리, 규제 동향(EU AI Act, 한국 AI 기본법)</w:t>
      </w:r>
    </w:p>
    <w:p>
      <w:pPr>
        <w:spacing w:after="160" w:line="360"/>
        <w:jc w:val="both"/>
      </w:pPr>
      <w:r>
        <w:rPr>
          <w:sz w:val="22"/>
          <w:szCs w:val="22"/>
        </w:rPr>
        <w:t xml:space="preserve">주요 자료로는 스탠퍼드 HAI의 「2026 AI Index」, 국제에너지기구(IEA)의 에너지·AI 보고서, 세계경제포럼(WEF)의 「미래 일자리 보고서」, 맥킨지 기술 트렌드 전망 등을 활용하였다.</w:t>
      </w:r>
    </w:p>
    <w:p>
      <w:r>
        <w:br w:type="page"/>
      </w:r>
    </w:p>
    <w:p>
      <w:pPr>
        <w:pStyle w:val="Heading1"/>
      </w:pPr>
      <w:r>
        <w:t xml:space="preserve">Ⅱ. 본론</w:t>
      </w:r>
    </w:p>
    <w:p>
      <w:pPr>
        <w:pStyle w:val="Heading2"/>
      </w:pPr>
      <w:r>
        <w:t xml:space="preserve">1. AI 발전의 역사적 흐름</w:t>
      </w:r>
    </w:p>
    <w:p>
      <w:pPr>
        <w:spacing w:after="160" w:line="360"/>
        <w:jc w:val="both"/>
      </w:pPr>
      <w:r>
        <w:rPr>
          <w:sz w:val="22"/>
          <w:szCs w:val="22"/>
        </w:rPr>
        <w:t xml:space="preserve">AI의 역사는 기대와 실망이 번갈아 나타난 과정이었다. 초기의 기호주의 AI와 전문가 시스템은 한계를 드러냈지만, 데이터와 연산 능력이 늘어나면서 기계학습, 특히 딥러닝이 돌파구를 열었다.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시기</w:t>
            </w:r>
          </w:p>
        </w:tc>
        <w:tc>
          <w:tcPr>
            <w:tcW w:type="dxa" w:w="7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주요 사건</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1956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다트머스 워크숍에서 "인공지능"이라는 용어가 처음 쓰임</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1970~1990년대</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전문가 시스템의 시대. 두 차례 "AI 겨울"을 겪음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1997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IBM 딥블루가 체스 세계 챔피언에게 승리</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AlexNet이 ImageNet 대회에서 우승하며 딥러닝 시대가 열림</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알파고가 이세돌 9단에게 승리</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트랜스포머 구조 발표("Attention Is All You Need")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ChatGPT 출시로 생성형 AI가 대중화됨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2024~2026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멀티모달 모델, 추론 모델, AI 에이전트가 주류로 자리잡음</w:t>
            </w:r>
          </w:p>
        </w:tc>
      </w:tr>
    </w:tbl>
    <w:p>
      <w:pPr>
        <w:spacing w:after="240" w:before="80"/>
        <w:jc w:val="center"/>
      </w:pPr>
      <w:r>
        <w:rPr>
          <w:i/>
          <w:iCs/>
          <w:color w:val="595959"/>
          <w:sz w:val="18"/>
          <w:szCs w:val="18"/>
        </w:rPr>
        <w:t xml:space="preserve">[표 1] AI 발전의 주요 사건</w:t>
      </w:r>
    </w:p>
    <w:p>
      <w:pPr>
        <w:pStyle w:val="Heading2"/>
      </w:pPr>
      <w:r>
        <w:t xml:space="preserve">2. 기술 현황: 빠르지만 고르지 않은 발전</w:t>
      </w:r>
    </w:p>
    <w:p>
      <w:pPr>
        <w:spacing w:after="160" w:line="360"/>
        <w:jc w:val="both"/>
      </w:pPr>
      <w:r>
        <w:rPr>
          <w:sz w:val="22"/>
          <w:szCs w:val="22"/>
        </w:rPr>
        <w:t xml:space="preserve">스탠퍼드 「2026 AI Index」에 따르면 AI 성능은 정체되지 않고 오히려 빨라지고 있다. 소프트웨어 개발 능력을 재는 SWE-bench Verified 점수는 1년 만에 약 60%에서 거의 100%로 올랐다. 최상위 모델은 박사 수준의 과학 문제, 경시대회 수학, 멀티모달 추론에서 인간 기준선과 같거나 더 높은 성적을 내며, 국제수학올림피아드에서 금메달 수준의 성과를 거두었다.</w:t>
      </w:r>
    </w:p>
    <w:p>
      <w:pPr>
        <w:spacing w:after="160" w:line="360"/>
        <w:jc w:val="both"/>
      </w:pPr>
      <w:r>
        <w:rPr>
          <w:sz w:val="22"/>
          <w:szCs w:val="22"/>
        </w:rPr>
        <w:t xml:space="preserve">하지만 같은 모델이 아날로그 시계는 50.1%만 맞게 읽는 등 과제에 따라 능력 차이가 크다. 이를 "들쭉날쭉한 최전선(jagged frontier)"이라 부르며, AI를 실제로 활용할 때 반드시 고려해야 할 특성이다.</w:t>
      </w:r>
    </w:p>
    <w:p>
      <w:pPr>
        <w:spacing w:after="160" w:line="360"/>
        <w:jc w:val="both"/>
      </w:pPr>
      <w:r>
        <w:rPr>
          <w:sz w:val="22"/>
          <w:szCs w:val="22"/>
        </w:rPr>
        <w:t xml:space="preserve">또한 2025년 주요 최첨단 모델의 90% 이상을 산업계가 만들어 AI 연구의 중심이 학계에서 기업으로 옮겨갔다. 국가 경쟁에서는 미국과 중국 모델이 1위를 여러 차례 주고받았으며, 2026년 3월 기준 두 나라 최고 모델의 성능 차이는 2.7%에 불과하다.</w:t>
      </w:r>
    </w:p>
    <w:p>
      <w:pPr>
        <w:pStyle w:val="Heading2"/>
      </w:pPr>
      <w:r>
        <w:t xml:space="preserve">3. 도입과 투자 동향</w:t>
      </w:r>
    </w:p>
    <w:p>
      <w:pPr>
        <w:spacing w:after="160" w:line="360"/>
        <w:jc w:val="both"/>
      </w:pPr>
      <w:r>
        <w:rPr>
          <w:sz w:val="22"/>
          <w:szCs w:val="22"/>
        </w:rPr>
        <w:t xml:space="preserve">AI는 기업 경영의 핵심 기술로 자리잡았다. 2025년 기업의 AI 도입률은 88%로 전년(78%)보다 높아졌고, 응답자의 79%가 한 개 이상의 업무 분야에서 생성형 AI를 쓰고 있다. 투자 규모도 크게 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지표</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수치</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기업 AI 도입률(2025)</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88% (전년 78%)</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생성형 AI 인구 보급률</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3년 만에 53%</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전 세계 기업 AI 투자</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5,817억 달러</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미국 민간 AI 투자(2025)</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2,859억 달러 (중국의 23배 이상)</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미국 소비자가 얻는 생성형 AI 가치</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연간 1,720억 달러</w:t>
            </w:r>
          </w:p>
        </w:tc>
      </w:tr>
    </w:tbl>
    <w:p>
      <w:pPr>
        <w:spacing w:after="240" w:before="80"/>
        <w:jc w:val="center"/>
      </w:pPr>
      <w:r>
        <w:rPr>
          <w:i/>
          <w:iCs/>
          <w:color w:val="595959"/>
          <w:sz w:val="18"/>
          <w:szCs w:val="18"/>
        </w:rPr>
        <w:t xml:space="preserve">[표 2] AI 도입과 투자 주요 지표 (출처: Stanford AI Index 2026)</w:t>
      </w:r>
    </w:p>
    <w:p>
      <w:pPr>
        <w:spacing w:after="160" w:line="360"/>
        <w:jc w:val="both"/>
      </w:pPr>
      <w:r>
        <w:rPr>
          <w:sz w:val="22"/>
          <w:szCs w:val="22"/>
        </w:rPr>
        <w:t xml:space="preserve">특히 주목할 흐름은 AI 에이전트의 부상이다. AI 에이전트는 스스로 계획을 세우고 도구를 쓰며 여러 단계의 일을 처리하는 AI 시스템이다. 조직의 62%가 AI 에이전트를 최소한 시험하고 있고, 그중 23%는 실제 업무 분야로 확대하고 있다. 맥킨지는 2026년 기술 트렌드에 "에이전트 기반 소프트웨어 개발"과 "과학적 발견을 위한 AI"를 새 분야로 추가하였다.</w:t>
      </w:r>
    </w:p>
    <w:p>
      <w:pPr>
        <w:spacing w:after="160" w:line="360"/>
        <w:jc w:val="both"/>
      </w:pPr>
      <w:r>
        <w:rPr>
          <w:sz w:val="22"/>
          <w:szCs w:val="22"/>
        </w:rPr>
        <w:t xml:space="preserve">반면 AI 도입에 어려움을 겪는다는 조직도 79%로 2025년보다 두 자릿수 늘었다. 도입은 넓게 퍼졌지만 이를 실제 성과로 연결하는 일은 아직 많은 기업에 숙제로 남아 있다.</w:t>
      </w:r>
    </w:p>
    <w:p>
      <w:pPr>
        <w:pStyle w:val="Heading2"/>
      </w:pPr>
      <w:r>
        <w:t xml:space="preserve">4. 인프라와 에너지</w:t>
      </w:r>
    </w:p>
    <w:p>
      <w:pPr>
        <w:spacing w:after="160" w:line="360"/>
        <w:jc w:val="both"/>
      </w:pPr>
      <w:r>
        <w:rPr>
          <w:sz w:val="22"/>
          <w:szCs w:val="22"/>
        </w:rPr>
        <w:t xml:space="preserve">AI의 발전은 막대한 컴퓨팅 자원과 전력을 필요로 한다. IEA에 따르면 2025년 데이터센터 전력 수요는 17%, AI 전용 데이터센터 전력 수요는 50% 늘어 전 세계 전력 수요 증가율(3%)을 크게 웃돌았다. 데이터센터 전력 소비는 2025년 485TWh에서 2030년 950TWh로 약 두 배가 될 전망이다.</w:t>
      </w:r>
    </w:p>
    <w:p>
      <w:pPr>
        <w:spacing w:after="160" w:line="360"/>
        <w:jc w:val="both"/>
      </w:pPr>
      <w:r>
        <w:rPr>
          <w:sz w:val="22"/>
          <w:szCs w:val="22"/>
        </w:rPr>
        <w:t xml:space="preserve">대형 기술 기업의 설비투자는 2025년 4,000억 달러를 넘었고 2026년에는 75% 더 늘어날 것으로 예상된다. 미국에는 5,427개의 데이터센터가 있어 다른 나라보다 10배 이상 많고, 첨단 AI 칩은 거의 모두 TSMC에서 만들어진다. 이처럼 공급망이 한곳에 몰려 있다는 점도 위험 요인으로 꼽힌다. AI 작업 하나에 드는 에너지는 빠르게 줄고 있지만, 사용량이 그보다 더 빠르게 늘어 전체 수요는 계속 커지고 있다.</w:t>
      </w:r>
    </w:p>
    <w:p>
      <w:pPr>
        <w:pStyle w:val="Heading2"/>
      </w:pPr>
      <w:r>
        <w:t xml:space="preserve">5. 일자리와 사회에 미치는 영향</w:t>
      </w:r>
    </w:p>
    <w:p>
      <w:pPr>
        <w:spacing w:after="160" w:line="360"/>
        <w:jc w:val="both"/>
      </w:pPr>
      <w:r>
        <w:rPr>
          <w:sz w:val="22"/>
          <w:szCs w:val="22"/>
        </w:rPr>
        <w:t xml:space="preserve">AI는 노동시장을 크게 바꾸고 있다. 미국 전체 채용공고의 2.5%가 AI 역량을 요구하며, 이는 전년보다 55% 늘어난 수치다. 세계경제포럼은 2030년까지 1억 7천만 개의 일자리가 새로 생기고 9천2백만 개가 사라져 7천8백만 개가 순증할 것으로 전망하였다. 다만 이 수치는 노동시장 전체의 변화를 뜻하며, 일자리를 잃은 사람이 재교육 없이 새 일자리로 옮겨가기는 어렵다는 점에 유의해야 한다.</w:t>
      </w:r>
    </w:p>
    <w:p>
      <w:pPr>
        <w:spacing w:after="160" w:line="360"/>
        <w:jc w:val="both"/>
      </w:pPr>
      <w:r>
        <w:rPr>
          <w:sz w:val="22"/>
          <w:szCs w:val="22"/>
        </w:rPr>
        <w:t xml:space="preserve">AI를 바라보는 인식의 차이도 크다. 전문가의 73%는 AI가 일자리에 긍정적일 것으로 보지만 일반 대중은 23%만 그렇게 생각해 50%p의 차이가 난다. 이런 차이를 줄이려면 AI 교육을 넓히고, 사회적으로 충분히 소통하며, 일자리를 잃는 사람을 위한 안전망을 갖춰야 한다.</w:t>
      </w:r>
    </w:p>
    <w:p>
      <w:pPr>
        <w:pStyle w:val="Heading2"/>
      </w:pPr>
      <w:r>
        <w:t xml:space="preserve">6. 안전, 윤리, 규제 동향</w:t>
      </w:r>
    </w:p>
    <w:p>
      <w:pPr>
        <w:spacing w:after="160" w:line="360"/>
        <w:jc w:val="both"/>
      </w:pPr>
      <w:r>
        <w:rPr>
          <w:sz w:val="22"/>
          <w:szCs w:val="22"/>
        </w:rPr>
        <w:t xml:space="preserve">기술 발전에 비해 안전과 거버넌스는 뒤처져 있다. 기록된 AI 사고는 2024년 233건에서 2025년 362건으로 늘었고, 개발사마다 안전성 평가를 보고하는 방식도 제각각이다. 이에 따라 각국은 AI 규제를 원칙 선언에서 실제 집행 단계로 옮기고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구분</w:t>
            </w:r>
          </w:p>
        </w:tc>
        <w:tc>
          <w:tcPr>
            <w:tcW w:type="dxa" w:w="36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EU AI Act</w:t>
            </w:r>
          </w:p>
        </w:tc>
        <w:tc>
          <w:tcPr>
            <w:tcW w:type="dxa" w:w="36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한국 AI 기본법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시행 시기</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GPAI 의무는 2025.8.2부터, 대부분 조항은 2026.8.2부터 적용</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2026.1.22 시행</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접근 방식</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위험 등급에 따른 규제</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진흥을 앞세우고 신뢰 기반을 조성</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주요 의무</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기술 문서 작성, 학습 데이터 요약 공개, 저작권 정책 마련, 시스템적 위험 평가</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투명성 확보(AI 생성물 표시), 안전성 확보, 고영향 AI 사업자의 책무, 영향평가, 국내 대리인 지정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제재</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최대 1,500만 유로 또는 연매출 3%(GPAI)</w:t>
            </w:r>
          </w:p>
        </w:tc>
        <w:tc>
          <w:tcPr>
            <w:tcW w:type="dxa" w:w="3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최소 1년 이상 계도 기간을 둔 뒤 과태료 부과</w:t>
            </w:r>
          </w:p>
        </w:tc>
      </w:tr>
    </w:tbl>
    <w:p>
      <w:pPr>
        <w:spacing w:after="240" w:before="80"/>
        <w:jc w:val="center"/>
      </w:pPr>
      <w:r>
        <w:rPr>
          <w:i/>
          <w:iCs/>
          <w:color w:val="595959"/>
          <w:sz w:val="18"/>
          <w:szCs w:val="18"/>
        </w:rPr>
        <w:t xml:space="preserve">[표 3] EU와 한국의 AI 규제 비교</w:t>
      </w:r>
    </w:p>
    <w:p>
      <w:pPr>
        <w:spacing w:after="160" w:line="360"/>
        <w:jc w:val="both"/>
      </w:pPr>
      <w:r>
        <w:rPr>
          <w:sz w:val="22"/>
          <w:szCs w:val="22"/>
        </w:rPr>
        <w:t xml:space="preserve">한국은 AI 기본법 시행으로 EU에 이어 세계에서 두 번째로 포괄적인 AI 법을 갖춘 국가가 되었다. 2026년은 두 주요 규제가 함께 적용되는 첫해로, AI 거버넌스가 본격적으로 시작되는 시점이라 할 수 있다.</w:t>
      </w:r>
    </w:p>
    <w:p>
      <w:r>
        <w:br w:type="page"/>
      </w:r>
    </w:p>
    <w:p>
      <w:pPr>
        <w:pStyle w:val="Heading1"/>
      </w:pPr>
      <w:r>
        <w:t xml:space="preserve">Ⅲ. 결론</w:t>
      </w:r>
    </w:p>
    <w:p>
      <w:pPr>
        <w:pStyle w:val="Heading2"/>
      </w:pPr>
      <w:r>
        <w:t xml:space="preserve">1. 요약</w:t>
      </w:r>
    </w:p>
    <w:p>
      <w:pPr>
        <w:spacing w:after="160" w:line="360"/>
        <w:jc w:val="both"/>
      </w:pPr>
      <w:r>
        <w:rPr>
          <w:sz w:val="22"/>
          <w:szCs w:val="22"/>
        </w:rPr>
        <w:t xml:space="preserve">이 보고서에서 살펴본 2026년 AI 발전 현황은 다음 네 가지로 정리할 수 있다.</w:t>
      </w:r>
    </w:p>
    <w:p>
      <w:pPr>
        <w:pStyle w:val="ListParagraph"/>
        <w:numPr>
          <w:ilvl w:val="0"/>
          <w:numId w:val="3"/>
        </w:numPr>
        <w:spacing w:after="100" w:line="340"/>
      </w:pPr>
      <w:r>
        <w:rPr>
          <w:b/>
          <w:bCs/>
          <w:sz w:val="22"/>
          <w:szCs w:val="22"/>
        </w:rPr>
        <w:t xml:space="preserve">성능은 빠르게, 그러나 고르지 않게 발전하고 있다.</w:t>
      </w:r>
      <w:r>
        <w:rPr>
          <w:sz w:val="22"/>
          <w:szCs w:val="22"/>
        </w:rPr>
        <w:t xml:space="preserve"> AI는 박사 수준의 문제를 풀 만큼 발전했지만, 과제마다 성능이 고르지 않다.</w:t>
      </w:r>
    </w:p>
    <w:p>
      <w:pPr>
        <w:pStyle w:val="ListParagraph"/>
        <w:numPr>
          <w:ilvl w:val="0"/>
          <w:numId w:val="3"/>
        </w:numPr>
        <w:spacing w:after="100" w:line="340"/>
      </w:pPr>
      <w:r>
        <w:rPr>
          <w:b/>
          <w:bCs/>
          <w:sz w:val="22"/>
          <w:szCs w:val="22"/>
        </w:rPr>
        <w:t xml:space="preserve">도입은 거의 모든 곳으로 퍼졌지만, 실제 성과를 내는 일은 아직 어렵다.</w:t>
      </w:r>
      <w:r>
        <w:rPr>
          <w:sz w:val="22"/>
          <w:szCs w:val="22"/>
        </w:rPr>
        <w:t xml:space="preserve"> 조직의 88%가 AI를 쓰고 있지만, 79%는 도입에 어려움을 겪고 있다.</w:t>
      </w:r>
    </w:p>
    <w:p>
      <w:pPr>
        <w:pStyle w:val="ListParagraph"/>
        <w:numPr>
          <w:ilvl w:val="0"/>
          <w:numId w:val="3"/>
        </w:numPr>
        <w:spacing w:after="100" w:line="340"/>
      </w:pPr>
      <w:r>
        <w:rPr>
          <w:b/>
          <w:bCs/>
          <w:sz w:val="22"/>
          <w:szCs w:val="22"/>
        </w:rPr>
        <w:t xml:space="preserve">에너지와 인프라가 새로운 병목이 되었다.</w:t>
      </w:r>
      <w:r>
        <w:rPr>
          <w:sz w:val="22"/>
          <w:szCs w:val="22"/>
        </w:rPr>
        <w:t xml:space="preserve"> 데이터센터 전력 수요가 2030년까지 두 배로 늘어날 전망이며, 칩 공급망은 한곳에 몰려 있다.</w:t>
      </w:r>
    </w:p>
    <w:p>
      <w:pPr>
        <w:pStyle w:val="ListParagraph"/>
        <w:numPr>
          <w:ilvl w:val="0"/>
          <w:numId w:val="3"/>
        </w:numPr>
        <w:spacing w:after="100" w:line="340"/>
      </w:pPr>
      <w:r>
        <w:rPr>
          <w:b/>
          <w:bCs/>
          <w:sz w:val="22"/>
          <w:szCs w:val="22"/>
        </w:rPr>
        <w:t xml:space="preserve">안전과 규제는 뒤처져 있지만 속도를 내고 있다.</w:t>
      </w:r>
      <w:r>
        <w:rPr>
          <w:sz w:val="22"/>
          <w:szCs w:val="22"/>
        </w:rPr>
        <w:t xml:space="preserve"> AI 사고는 늘고 있으며, EU와 한국은 2026년부터 포괄적인 AI 법을 적용하고 있다.</w:t>
      </w:r>
    </w:p>
    <w:p>
      <w:pPr>
        <w:pStyle w:val="Heading2"/>
      </w:pPr>
      <w:r>
        <w:t xml:space="preserve">2. 향후 전망 및 제언</w:t>
      </w:r>
    </w:p>
    <w:p>
      <w:pPr>
        <w:spacing w:after="160" w:line="360"/>
        <w:jc w:val="both"/>
      </w:pPr>
      <w:r>
        <w:rPr>
          <w:sz w:val="22"/>
          <w:szCs w:val="22"/>
        </w:rPr>
        <w:t xml:space="preserve">앞으로 AI는 단일 모델에서 여러 단계의 일을 스스로 처리하는 에이전트 시스템으로 발전하고, 과학 연구와 엔지니어링에서 새로운 발견을 이끄는 도구로 쓰임새가 넓어질 것이다. 이러한 변화에 대응하기 위해 다음을 제언한다.</w:t>
      </w:r>
    </w:p>
    <w:p>
      <w:pPr>
        <w:pStyle w:val="ListParagraph"/>
        <w:numPr>
          <w:ilvl w:val="0"/>
          <w:numId w:val="2"/>
        </w:numPr>
        <w:spacing w:after="100" w:line="340"/>
      </w:pPr>
      <w:r>
        <w:rPr>
          <w:b/>
          <w:bCs/>
          <w:sz w:val="22"/>
          <w:szCs w:val="22"/>
        </w:rPr>
        <w:t xml:space="preserve">기업: </w:t>
      </w:r>
      <w:r>
        <w:rPr>
          <w:sz w:val="22"/>
          <w:szCs w:val="22"/>
        </w:rPr>
        <w:t xml:space="preserve"> AI 도입을 시험 단계에서 끝내지 말고, 업무 과정을 다시 설계하고 성과를 측정하는 체계와 함께 추진해야 한다.</w:t>
      </w:r>
    </w:p>
    <w:p>
      <w:pPr>
        <w:pStyle w:val="ListParagraph"/>
        <w:numPr>
          <w:ilvl w:val="0"/>
          <w:numId w:val="2"/>
        </w:numPr>
        <w:spacing w:after="100" w:line="340"/>
      </w:pPr>
      <w:r>
        <w:rPr>
          <w:b/>
          <w:bCs/>
          <w:sz w:val="22"/>
          <w:szCs w:val="22"/>
        </w:rPr>
        <w:t xml:space="preserve">정부: </w:t>
      </w:r>
      <w:r>
        <w:rPr>
          <w:sz w:val="22"/>
          <w:szCs w:val="22"/>
        </w:rPr>
        <w:t xml:space="preserve"> 전력과 컴퓨팅 인프라를 확보하고 AI 기본법을 효과적으로 집행해야 하며, 일자리를 잃는 사람을 위한 재교육 체계를 갖춰야 한다.</w:t>
      </w:r>
    </w:p>
    <w:p>
      <w:pPr>
        <w:pStyle w:val="ListParagraph"/>
        <w:numPr>
          <w:ilvl w:val="0"/>
          <w:numId w:val="2"/>
        </w:numPr>
        <w:spacing w:after="100" w:line="340"/>
      </w:pPr>
      <w:r>
        <w:rPr>
          <w:b/>
          <w:bCs/>
          <w:sz w:val="22"/>
          <w:szCs w:val="22"/>
        </w:rPr>
        <w:t xml:space="preserve">개인: </w:t>
      </w:r>
      <w:r>
        <w:rPr>
          <w:sz w:val="22"/>
          <w:szCs w:val="22"/>
        </w:rPr>
        <w:t xml:space="preserve"> AI를 활용하는 능력과 AI 결과를 비판적으로 검토하는 능력을 함께 길러야 한다.</w:t>
      </w:r>
    </w:p>
    <w:p>
      <w:pPr>
        <w:spacing w:after="160" w:line="360"/>
        <w:jc w:val="both"/>
      </w:pPr>
      <w:r>
        <w:rPr>
          <w:sz w:val="22"/>
          <w:szCs w:val="22"/>
        </w:rPr>
        <w:t xml:space="preserve">AI는 생산성과 혁신의 강력한 원동력이지만, 그 혜택이 고르게 돌아가려면 기술 발전과 함께 사회적 준비가 뒷받침되어야 한다. 앞으로 AI 발전의 성패는 기술 그 자체보다 기술을 신뢰할 수 있는 방식으로 활용하는 사회의 역량에 달려 있을 것이다.</w:t>
      </w:r>
    </w:p>
    <w:p>
      <w:r>
        <w:br w:type="page"/>
      </w:r>
    </w:p>
    <w:p>
      <w:pPr>
        <w:pStyle w:val="Heading1"/>
      </w:pPr>
      <w:r>
        <w:t xml:space="preserve">참고문헌</w:t>
      </w:r>
    </w:p>
    <w:p>
      <w:pPr>
        <w:pStyle w:val="ListParagraph"/>
        <w:numPr>
          <w:ilvl w:val="0"/>
          <w:numId w:val="4"/>
        </w:numPr>
        <w:spacing w:after="120"/>
      </w:pPr>
      <w:r>
        <w:rPr>
          <w:sz w:val="20"/>
          <w:szCs w:val="20"/>
        </w:rPr>
        <w:t xml:space="preserve">Stanford HAI (2026). 2026 AI Index Report. https://hai.stanford.edu/ai-index/2026-ai-index-report</w:t>
      </w:r>
    </w:p>
    <w:p>
      <w:pPr>
        <w:pStyle w:val="ListParagraph"/>
        <w:numPr>
          <w:ilvl w:val="0"/>
          <w:numId w:val="4"/>
        </w:numPr>
        <w:spacing w:after="120"/>
      </w:pPr>
      <w:r>
        <w:rPr>
          <w:sz w:val="20"/>
          <w:szCs w:val="20"/>
        </w:rPr>
        <w:t xml:space="preserve">McKinsey &amp; Company (2026). Technology Trends Outlook 2026. https://www.mckinsey.com/capabilities/tech-and-ai/our-insights/the-top-trends-in-tech</w:t>
      </w:r>
    </w:p>
    <w:p>
      <w:pPr>
        <w:pStyle w:val="ListParagraph"/>
        <w:numPr>
          <w:ilvl w:val="0"/>
          <w:numId w:val="4"/>
        </w:numPr>
        <w:spacing w:after="120"/>
      </w:pPr>
      <w:r>
        <w:rPr>
          <w:sz w:val="20"/>
          <w:szCs w:val="20"/>
        </w:rPr>
        <w:t xml:space="preserve">International Energy Agency. Energy and AI – Executive summary. https://www.iea.org/reports/key-questions-on-energy-and-ai/executive-summary</w:t>
      </w:r>
    </w:p>
    <w:p>
      <w:pPr>
        <w:pStyle w:val="ListParagraph"/>
        <w:numPr>
          <w:ilvl w:val="0"/>
          <w:numId w:val="4"/>
        </w:numPr>
        <w:spacing w:after="120"/>
      </w:pPr>
      <w:r>
        <w:rPr>
          <w:sz w:val="20"/>
          <w:szCs w:val="20"/>
        </w:rPr>
        <w:t xml:space="preserve">E&amp;T (2026.4.22). IEA warns AI data centre electricity use will triple by 2030. https://eandt.theiet.org/2026/04/22/iea-warns-ai-data-centre-electricity-use-will-triple-2030</w:t>
      </w:r>
    </w:p>
    <w:p>
      <w:pPr>
        <w:pStyle w:val="ListParagraph"/>
        <w:numPr>
          <w:ilvl w:val="0"/>
          <w:numId w:val="4"/>
        </w:numPr>
        <w:spacing w:after="120"/>
      </w:pPr>
      <w:r>
        <w:rPr>
          <w:sz w:val="20"/>
          <w:szCs w:val="20"/>
        </w:rPr>
        <w:t xml:space="preserve">World Economic Forum (2025). Future of Jobs Report 2025 (AI Magazine 요약). https://aimagazine.com/articles/wef-report-the-impact-of-ai-driving-170m-new-jobs-by-2030</w:t>
      </w:r>
    </w:p>
    <w:p>
      <w:pPr>
        <w:pStyle w:val="ListParagraph"/>
        <w:numPr>
          <w:ilvl w:val="0"/>
          <w:numId w:val="4"/>
        </w:numPr>
        <w:spacing w:after="120"/>
      </w:pPr>
      <w:r>
        <w:rPr>
          <w:sz w:val="20"/>
          <w:szCs w:val="20"/>
        </w:rPr>
        <w:t xml:space="preserve">WRITER (2026). Enterprise AI adoption in 2026. https://writer.com/blog/enterprise-ai-adoption-2026/</w:t>
      </w:r>
    </w:p>
    <w:p>
      <w:pPr>
        <w:pStyle w:val="ListParagraph"/>
        <w:numPr>
          <w:ilvl w:val="0"/>
          <w:numId w:val="4"/>
        </w:numPr>
        <w:spacing w:after="120"/>
      </w:pPr>
      <w:r>
        <w:rPr>
          <w:sz w:val="20"/>
          <w:szCs w:val="20"/>
        </w:rPr>
        <w:t xml:space="preserve">Accelirate (2026). Agentic AI Statistics 2026. https://www.accelirate.com/agentic-ai-statistics-2026/</w:t>
      </w:r>
    </w:p>
    <w:p>
      <w:pPr>
        <w:pStyle w:val="ListParagraph"/>
        <w:numPr>
          <w:ilvl w:val="0"/>
          <w:numId w:val="4"/>
        </w:numPr>
        <w:spacing w:after="120"/>
      </w:pPr>
      <w:r>
        <w:rPr>
          <w:sz w:val="20"/>
          <w:szCs w:val="20"/>
        </w:rPr>
        <w:t xml:space="preserve">Info-Tech Research Group (2026). AI Trends 2026. https://www.infotech.com/research/ss/ai-trends-2026</w:t>
      </w:r>
    </w:p>
    <w:p>
      <w:pPr>
        <w:pStyle w:val="ListParagraph"/>
        <w:numPr>
          <w:ilvl w:val="0"/>
          <w:numId w:val="4"/>
        </w:numPr>
        <w:spacing w:after="120"/>
      </w:pPr>
      <w:r>
        <w:rPr>
          <w:sz w:val="20"/>
          <w:szCs w:val="20"/>
        </w:rPr>
        <w:t xml:space="preserve">EU AI Act. High-level summary / Implementation timeline. https://artificialintelligenceact.eu/</w:t>
      </w:r>
    </w:p>
    <w:p>
      <w:pPr>
        <w:pStyle w:val="ListParagraph"/>
        <w:numPr>
          <w:ilvl w:val="0"/>
          <w:numId w:val="4"/>
        </w:numPr>
        <w:spacing w:after="120"/>
      </w:pPr>
      <w:r>
        <w:rPr>
          <w:sz w:val="20"/>
          <w:szCs w:val="20"/>
        </w:rPr>
        <w:t xml:space="preserve">European Commission. AI Act Service Desk FAQ. https://ai-act-service-desk.ec.europa.eu/en/faq</w:t>
      </w:r>
    </w:p>
    <w:p>
      <w:pPr>
        <w:pStyle w:val="ListParagraph"/>
        <w:numPr>
          <w:ilvl w:val="0"/>
          <w:numId w:val="4"/>
        </w:numPr>
        <w:spacing w:after="120"/>
      </w:pPr>
      <w:r>
        <w:rPr>
          <w:sz w:val="20"/>
          <w:szCs w:val="20"/>
        </w:rPr>
        <w:t xml:space="preserve">법무법인 세종. AI 기본법 시행과 그 시사점. https://www.shinkim.com/kor/media/newsletter/3114</w:t>
      </w:r>
    </w:p>
    <w:p>
      <w:pPr>
        <w:pStyle w:val="ListParagraph"/>
        <w:numPr>
          <w:ilvl w:val="0"/>
          <w:numId w:val="4"/>
        </w:numPr>
        <w:spacing w:after="120"/>
      </w:pPr>
      <w:r>
        <w:rPr>
          <w:sz w:val="20"/>
          <w:szCs w:val="20"/>
        </w:rPr>
        <w:t xml:space="preserve">Law.asia. 한국 AI 기본법의 주요 특징과 의의. https://law.asia/ko/korea-ai-basic-act-characteristics-significance/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40" w:before="360"/>
      <w:outlineLvl w:val="0"/>
    </w:pPr>
    <w:rPr>
      <w:rFonts w:ascii="Malgun Gothic" w:cs="Malgun Gothic" w:eastAsia="Malgun Gothic" w:hAnsi="Malgun Gothic"/>
      <w:b/>
      <w:bCs/>
      <w:color w:val="1F4E79"/>
      <w:sz w:val="34"/>
      <w:szCs w:val="34"/>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발전 보고서</dc:title>
  <dc:creator>춘식</dc:creator>
  <cp:lastModifiedBy>Un-named</cp:lastModifiedBy>
  <cp:revision>1</cp:revision>
  <dcterms:created xsi:type="dcterms:W3CDTF">2026-10-04T07:28:58.248Z</dcterms:created>
  <dcterms:modified xsi:type="dcterms:W3CDTF">2026-10-04T07:28:58.249Z</dcterms:modified>
</cp:coreProperties>
</file>

<file path=docProps/custom.xml><?xml version="1.0" encoding="utf-8"?>
<Properties xmlns="http://schemas.openxmlformats.org/officeDocument/2006/custom-properties" xmlns:vt="http://schemas.openxmlformats.org/officeDocument/2006/docPropsVTypes"/>
</file>