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icrosoft JhengHei" w:cs="Microsoft JhengHei" w:eastAsia="Microsoft JhengHei" w:hAnsi="Microsoft JhengHei"/>
          <w:b/>
          <w:bCs/>
          <w:sz w:val="44"/>
          <w:szCs w:val="44"/>
        </w:rPr>
        <w:t xml:space="preserve">通用設計學習（UDL）講義筆記</w:t>
      </w:r>
    </w:p>
    <w:p>
      <w:pPr>
        <w:spacing w:after="240"/>
        <w:jc w:val="center"/>
      </w:pPr>
      <w:r>
        <w:rPr>
          <w:rFonts w:ascii="Microsoft JhengHei" w:cs="Microsoft JhengHei" w:eastAsia="Microsoft JhengHei" w:hAnsi="Microsoft JhengHei"/>
          <w:color w:val="555555"/>
          <w:sz w:val="20"/>
          <w:szCs w:val="20"/>
        </w:rPr>
        <w:t xml:space="preserve">大綱 → 前言 → 發展 → 四個名稱 → 重要內涵 → 融合教育 → 課程調整</w:t>
      </w:r>
    </w:p>
    <w:p>
      <w:pPr>
        <w:pStyle w:val="Heading2"/>
        <w:spacing w:after="120" w:before="280"/>
      </w:pPr>
      <w:r>
        <w:rPr>
          <w:rFonts w:ascii="Microsoft JhengHei" w:cs="Microsoft JhengHei" w:eastAsia="Microsoft JhengHei" w:hAnsi="Microsoft JhengHei"/>
          <w:b/>
          <w:bCs/>
          <w:sz w:val="28"/>
          <w:szCs w:val="28"/>
        </w:rPr>
        <w:t xml:space="preserve">大綱</w:t>
      </w:r>
    </w:p>
    <w:p>
      <w:pPr>
        <w:pStyle w:val="ListParagraph"/>
        <w:numPr>
          <w:ilvl w:val="0"/>
          <w:numId w:val="2"/>
        </w:numPr>
        <w:spacing w:after="60"/>
      </w:pPr>
      <w:r>
        <w:rPr>
          <w:rFonts w:ascii="Microsoft JhengHei" w:cs="Microsoft JhengHei" w:eastAsia="Microsoft JhengHei" w:hAnsi="Microsoft JhengHei"/>
        </w:rPr>
        <w:t xml:space="preserve">前言</w:t>
      </w:r>
    </w:p>
    <w:p>
      <w:pPr>
        <w:pStyle w:val="ListParagraph"/>
        <w:numPr>
          <w:ilvl w:val="0"/>
          <w:numId w:val="2"/>
        </w:numPr>
        <w:spacing w:after="60"/>
      </w:pPr>
      <w:r>
        <w:rPr>
          <w:rFonts w:ascii="Microsoft JhengHei" w:cs="Microsoft JhengHei" w:eastAsia="Microsoft JhengHei" w:hAnsi="Microsoft JhengHei"/>
        </w:rPr>
        <w:t xml:space="preserve">通用設計學習（UDL）的發展與重要內涵</w:t>
      </w:r>
    </w:p>
    <w:p>
      <w:pPr>
        <w:pStyle w:val="ListParagraph"/>
        <w:numPr>
          <w:ilvl w:val="0"/>
          <w:numId w:val="2"/>
        </w:numPr>
        <w:spacing w:after="60"/>
      </w:pPr>
      <w:r>
        <w:rPr>
          <w:rFonts w:ascii="Microsoft JhengHei" w:cs="Microsoft JhengHei" w:eastAsia="Microsoft JhengHei" w:hAnsi="Microsoft JhengHei"/>
        </w:rPr>
        <w:t xml:space="preserve">學校 UDL 的推動策略</w:t>
      </w:r>
    </w:p>
    <w:p>
      <w:pPr>
        <w:pStyle w:val="ListParagraph"/>
        <w:numPr>
          <w:ilvl w:val="0"/>
          <w:numId w:val="2"/>
        </w:numPr>
        <w:spacing w:after="60"/>
      </w:pPr>
      <w:r>
        <w:rPr>
          <w:rFonts w:ascii="Microsoft JhengHei" w:cs="Microsoft JhengHei" w:eastAsia="Microsoft JhengHei" w:hAnsi="Microsoft JhengHei"/>
        </w:rPr>
        <w:t xml:space="preserve">過去研究的發現</w:t>
      </w:r>
    </w:p>
    <w:p>
      <w:pPr>
        <w:pStyle w:val="ListParagraph"/>
        <w:numPr>
          <w:ilvl w:val="0"/>
          <w:numId w:val="2"/>
        </w:numPr>
        <w:spacing w:after="60"/>
      </w:pPr>
      <w:r>
        <w:rPr>
          <w:rFonts w:ascii="Microsoft JhengHei" w:cs="Microsoft JhengHei" w:eastAsia="Microsoft JhengHei" w:hAnsi="Microsoft JhengHei"/>
        </w:rPr>
        <w:t xml:space="preserve">透過 AI 落實 UDL</w:t>
      </w:r>
    </w:p>
    <w:p>
      <w:pPr>
        <w:pStyle w:val="ListParagraph"/>
        <w:numPr>
          <w:ilvl w:val="0"/>
          <w:numId w:val="2"/>
        </w:numPr>
        <w:spacing w:after="60"/>
      </w:pPr>
      <w:r>
        <w:rPr>
          <w:rFonts w:ascii="Microsoft JhengHei" w:cs="Microsoft JhengHei" w:eastAsia="Microsoft JhengHei" w:hAnsi="Microsoft JhengHei"/>
        </w:rPr>
        <w:t xml:space="preserve">結語</w:t>
      </w:r>
    </w:p>
    <w:p>
      <w:pPr>
        <w:pStyle w:val="Heading2"/>
        <w:spacing w:after="120" w:before="280"/>
      </w:pPr>
      <w:r>
        <w:rPr>
          <w:rFonts w:ascii="Microsoft JhengHei" w:cs="Microsoft JhengHei" w:eastAsia="Microsoft JhengHei" w:hAnsi="Microsoft JhengHei"/>
          <w:b/>
          <w:bCs/>
          <w:sz w:val="28"/>
          <w:szCs w:val="28"/>
        </w:rPr>
        <w:t xml:space="preserve">前言（投影片 3–4）</w:t>
      </w:r>
    </w:p>
    <w:p>
      <w:pPr>
        <w:pStyle w:val="ListParagraph"/>
        <w:numPr>
          <w:ilvl w:val="0"/>
          <w:numId w:val="2"/>
        </w:numPr>
        <w:spacing w:after="60"/>
      </w:pPr>
      <w:r>
        <w:rPr>
          <w:rFonts w:ascii="Microsoft JhengHei" w:cs="Microsoft JhengHei" w:eastAsia="Microsoft JhengHei" w:hAnsi="Microsoft JhengHei"/>
        </w:rPr>
        <w:t xml:space="preserve">SDGs 的優質教育</w:t>
      </w:r>
    </w:p>
    <w:p>
      <w:pPr>
        <w:pStyle w:val="ListParagraph"/>
        <w:numPr>
          <w:ilvl w:val="1"/>
          <w:numId w:val="2"/>
        </w:numPr>
        <w:spacing w:after="60"/>
      </w:pPr>
      <w:r>
        <w:rPr>
          <w:rFonts w:ascii="Microsoft JhengHei" w:cs="Microsoft JhengHei" w:eastAsia="Microsoft JhengHei" w:hAnsi="Microsoft JhengHei"/>
        </w:rPr>
        <w:t xml:space="preserve">確保有教無類、公平以及高品質的教育，及提倡終身學習</w:t>
      </w:r>
    </w:p>
    <w:p>
      <w:pPr>
        <w:spacing w:after="80"/>
        <w:ind w:left="1080"/>
      </w:pPr>
      <w:r>
        <w:rPr>
          <w:rFonts w:ascii="Microsoft JhengHei" w:cs="Microsoft JhengHei" w:eastAsia="Microsoft JhengHei" w:hAnsi="Microsoft JhengHei"/>
          <w:sz w:val="20"/>
          <w:szCs w:val="20"/>
        </w:rPr>
        <w:t xml:space="preserve">Ensure inclusive and equitable quality education and promote lifelong learning opportunities for all</w:t>
      </w:r>
    </w:p>
    <w:p>
      <w:pPr>
        <w:pStyle w:val="ListParagraph"/>
        <w:numPr>
          <w:ilvl w:val="2"/>
          <w:numId w:val="2"/>
        </w:numPr>
        <w:spacing w:after="60"/>
      </w:pPr>
      <w:r>
        <w:rPr>
          <w:rFonts w:ascii="Microsoft JhengHei" w:cs="Microsoft JhengHei" w:eastAsia="Microsoft JhengHei" w:hAnsi="Microsoft JhengHei"/>
        </w:rPr>
        <w:t xml:space="preserve">4.5 消除教育中的一切歧視</w:t>
      </w:r>
    </w:p>
    <w:p>
      <w:pPr>
        <w:spacing w:after="80"/>
        <w:ind w:left="1440"/>
      </w:pPr>
      <w:r>
        <w:rPr>
          <w:rFonts w:ascii="Microsoft JhengHei" w:cs="Microsoft JhengHei" w:eastAsia="Microsoft JhengHei" w:hAnsi="Microsoft JhengHei"/>
          <w:sz w:val="20"/>
          <w:szCs w:val="20"/>
        </w:rPr>
        <w:t xml:space="preserve">By 2030, eliminate gender disparities in education and ensure equal access to all levels of education and vocational training for the vulnerable, including persons with disabilities, indigenous peoples and children in vulnerable situations</w:t>
      </w:r>
    </w:p>
    <w:p>
      <w:pPr>
        <w:pStyle w:val="ListParagraph"/>
        <w:numPr>
          <w:ilvl w:val="2"/>
          <w:numId w:val="2"/>
        </w:numPr>
        <w:spacing w:after="60"/>
      </w:pPr>
      <w:r>
        <w:rPr>
          <w:rFonts w:ascii="Microsoft JhengHei" w:cs="Microsoft JhengHei" w:eastAsia="Microsoft JhengHei" w:hAnsi="Microsoft JhengHei"/>
        </w:rPr>
        <w:t xml:space="preserve">4.a 興建和升級具包容性、安全的學校</w:t>
      </w:r>
    </w:p>
    <w:p>
      <w:pPr>
        <w:spacing w:after="80"/>
        <w:ind w:left="1440"/>
      </w:pPr>
      <w:r>
        <w:rPr>
          <w:rFonts w:ascii="Microsoft JhengHei" w:cs="Microsoft JhengHei" w:eastAsia="Microsoft JhengHei" w:hAnsi="Microsoft JhengHei"/>
          <w:sz w:val="20"/>
          <w:szCs w:val="20"/>
        </w:rPr>
        <w:t xml:space="preserve">Build and upgrade education facilities that are child, disability and gender sensitive and provide safe, non-violent, inclusive and effective learning environments for all</w:t>
      </w:r>
    </w:p>
    <w:p>
      <w:pPr>
        <w:pBdr>
          <w:left w:val="single" w:color="C0C0C0" w:sz="12" w:space="8"/>
        </w:pBdr>
        <w:spacing w:after="100" w:before="60"/>
        <w:ind w:left="240"/>
      </w:pPr>
      <w:r>
        <w:rPr>
          <w:rFonts w:ascii="Microsoft JhengHei" w:cs="Microsoft JhengHei" w:eastAsia="Microsoft JhengHei" w:hAnsi="Microsoft JhengHei"/>
          <w:i/>
          <w:iCs/>
          <w:color w:val="555555"/>
          <w:sz w:val="20"/>
          <w:szCs w:val="20"/>
        </w:rPr>
        <w:t xml:space="preserve">原稿標記：「有教無類」與 "inclusive" 以橘色螢光筆標示。投影片右上角為 SDGs 17 項目標圖示。</w:t>
      </w:r>
    </w:p>
    <w:p>
      <w:pPr>
        <w:pStyle w:val="Heading2"/>
        <w:spacing w:after="120" w:before="280"/>
      </w:pPr>
      <w:r>
        <w:rPr>
          <w:rFonts w:ascii="Microsoft JhengHei" w:cs="Microsoft JhengHei" w:eastAsia="Microsoft JhengHei" w:hAnsi="Microsoft JhengHei"/>
          <w:b/>
          <w:bCs/>
          <w:sz w:val="28"/>
          <w:szCs w:val="28"/>
        </w:rPr>
        <w:t xml:space="preserve">通用設計學習（UDL）的發展與重要內涵（投影片 7）</w:t>
      </w:r>
    </w:p>
    <w:p>
      <w:pPr>
        <w:pStyle w:val="ListParagraph"/>
        <w:numPr>
          <w:ilvl w:val="0"/>
          <w:numId w:val="2"/>
        </w:numPr>
        <w:spacing w:after="60"/>
      </w:pPr>
      <w:r>
        <w:rPr>
          <w:rFonts w:ascii="Microsoft JhengHei" w:cs="Microsoft JhengHei" w:eastAsia="Microsoft JhengHei" w:hAnsi="Microsoft JhengHei"/>
        </w:rPr>
        <w:t xml:space="preserve">通用設計學習（UDL）的發展</w:t>
      </w:r>
    </w:p>
    <w:p>
      <w:pPr>
        <w:pStyle w:val="ListParagraph"/>
        <w:numPr>
          <w:ilvl w:val="0"/>
          <w:numId w:val="2"/>
        </w:numPr>
        <w:spacing w:after="60"/>
      </w:pPr>
      <w:r>
        <w:rPr>
          <w:rFonts w:ascii="Microsoft JhengHei" w:cs="Microsoft JhengHei" w:eastAsia="Microsoft JhengHei" w:hAnsi="Microsoft JhengHei"/>
        </w:rPr>
        <w:t xml:space="preserve">通用設計學習（UDL）的重要內涵</w:t>
      </w:r>
    </w:p>
    <w:p>
      <w:pPr>
        <w:pStyle w:val="Heading2"/>
        <w:spacing w:after="120" w:before="280"/>
      </w:pPr>
      <w:r>
        <w:rPr>
          <w:rFonts w:ascii="Microsoft JhengHei" w:cs="Microsoft JhengHei" w:eastAsia="Microsoft JhengHei" w:hAnsi="Microsoft JhengHei"/>
          <w:b/>
          <w:bCs/>
          <w:sz w:val="28"/>
          <w:szCs w:val="28"/>
        </w:rPr>
        <w:t xml:space="preserve">通用設計學習（UDL）的發展：Universal Design（投影片 8，講義頁 67）</w:t>
      </w:r>
    </w:p>
    <w:p>
      <w:pPr>
        <w:pStyle w:val="ListParagraph"/>
        <w:numPr>
          <w:ilvl w:val="0"/>
          <w:numId w:val="2"/>
        </w:numPr>
        <w:spacing w:after="60"/>
      </w:pPr>
      <w:r>
        <w:rPr>
          <w:rFonts w:ascii="Microsoft JhengHei" w:cs="Microsoft JhengHei" w:eastAsia="Microsoft JhengHei" w:hAnsi="Microsoft JhengHei"/>
        </w:rPr>
        <w:t xml:space="preserve">源於建築與產品設計</w:t>
      </w:r>
    </w:p>
    <w:p>
      <w:pPr>
        <w:pStyle w:val="ListParagraph"/>
        <w:numPr>
          <w:ilvl w:val="1"/>
          <w:numId w:val="2"/>
        </w:numPr>
        <w:spacing w:after="60"/>
      </w:pPr>
      <w:r>
        <w:rPr>
          <w:rFonts w:ascii="Microsoft JhengHei" w:cs="Microsoft JhengHei" w:eastAsia="Microsoft JhengHei" w:hAnsi="Microsoft JhengHei"/>
        </w:rPr>
        <w:t xml:space="preserve">equitable use</w:t>
      </w:r>
    </w:p>
    <w:p>
      <w:pPr>
        <w:pStyle w:val="ListParagraph"/>
        <w:numPr>
          <w:ilvl w:val="1"/>
          <w:numId w:val="2"/>
        </w:numPr>
        <w:spacing w:after="60"/>
      </w:pPr>
      <w:r>
        <w:rPr>
          <w:rFonts w:ascii="Microsoft JhengHei" w:cs="Microsoft JhengHei" w:eastAsia="Microsoft JhengHei" w:hAnsi="Microsoft JhengHei"/>
        </w:rPr>
        <w:t xml:space="preserve">flexibility in use</w:t>
      </w:r>
    </w:p>
    <w:p>
      <w:pPr>
        <w:pStyle w:val="ListParagraph"/>
        <w:numPr>
          <w:ilvl w:val="1"/>
          <w:numId w:val="2"/>
        </w:numPr>
        <w:spacing w:after="60"/>
      </w:pPr>
      <w:r>
        <w:rPr>
          <w:rFonts w:ascii="Microsoft JhengHei" w:cs="Microsoft JhengHei" w:eastAsia="Microsoft JhengHei" w:hAnsi="Microsoft JhengHei"/>
        </w:rPr>
        <w:t xml:space="preserve">simple and intuitive</w:t>
      </w:r>
    </w:p>
    <w:p>
      <w:pPr>
        <w:pStyle w:val="ListParagraph"/>
        <w:numPr>
          <w:ilvl w:val="1"/>
          <w:numId w:val="2"/>
        </w:numPr>
        <w:spacing w:after="60"/>
      </w:pPr>
      <w:r>
        <w:rPr>
          <w:rFonts w:ascii="Microsoft JhengHei" w:cs="Microsoft JhengHei" w:eastAsia="Microsoft JhengHei" w:hAnsi="Microsoft JhengHei"/>
        </w:rPr>
        <w:t xml:space="preserve">perceptible information</w:t>
      </w:r>
    </w:p>
    <w:p>
      <w:pPr>
        <w:pStyle w:val="ListParagraph"/>
        <w:numPr>
          <w:ilvl w:val="1"/>
          <w:numId w:val="2"/>
        </w:numPr>
        <w:spacing w:after="60"/>
      </w:pPr>
      <w:r>
        <w:rPr>
          <w:rFonts w:ascii="Microsoft JhengHei" w:cs="Microsoft JhengHei" w:eastAsia="Microsoft JhengHei" w:hAnsi="Microsoft JhengHei"/>
        </w:rPr>
        <w:t xml:space="preserve">tolerance for error</w:t>
      </w:r>
    </w:p>
    <w:p>
      <w:pPr>
        <w:pStyle w:val="ListParagraph"/>
        <w:numPr>
          <w:ilvl w:val="1"/>
          <w:numId w:val="2"/>
        </w:numPr>
        <w:spacing w:after="60"/>
      </w:pPr>
      <w:r>
        <w:rPr>
          <w:rFonts w:ascii="Microsoft JhengHei" w:cs="Microsoft JhengHei" w:eastAsia="Microsoft JhengHei" w:hAnsi="Microsoft JhengHei"/>
        </w:rPr>
        <w:t xml:space="preserve">low physical effort</w:t>
      </w:r>
    </w:p>
    <w:p>
      <w:pPr>
        <w:pStyle w:val="ListParagraph"/>
        <w:numPr>
          <w:ilvl w:val="1"/>
          <w:numId w:val="2"/>
        </w:numPr>
        <w:spacing w:after="60"/>
      </w:pPr>
      <w:r>
        <w:rPr>
          <w:rFonts w:ascii="Microsoft JhengHei" w:cs="Microsoft JhengHei" w:eastAsia="Microsoft JhengHei" w:hAnsi="Microsoft JhengHei"/>
        </w:rPr>
        <w:t xml:space="preserve">size and space for approach and use</w:t>
      </w:r>
    </w:p>
    <w:p>
      <w:pPr>
        <w:pStyle w:val="Heading2"/>
        <w:spacing w:after="120" w:before="280"/>
      </w:pPr>
      <w:r>
        <w:rPr>
          <w:rFonts w:ascii="Microsoft JhengHei" w:cs="Microsoft JhengHei" w:eastAsia="Microsoft JhengHei" w:hAnsi="Microsoft JhengHei"/>
          <w:b/>
          <w:bCs/>
          <w:sz w:val="28"/>
          <w:szCs w:val="28"/>
        </w:rPr>
        <w:t xml:space="preserve">通用設計學習（UDL）的發展：在教育應用 Universal Design</w:t>
      </w:r>
    </w:p>
    <w:p>
      <w:pPr>
        <w:pStyle w:val="ListParagraph"/>
        <w:numPr>
          <w:ilvl w:val="0"/>
          <w:numId w:val="2"/>
        </w:numPr>
        <w:spacing w:after="60"/>
      </w:pPr>
      <w:r>
        <w:rPr>
          <w:rFonts w:ascii="Microsoft JhengHei" w:cs="Microsoft JhengHei" w:eastAsia="Microsoft JhengHei" w:hAnsi="Microsoft JhengHei"/>
        </w:rPr>
        <w:t xml:space="preserve">Universal Design for Learning（UDL）</w:t>
      </w:r>
    </w:p>
    <w:p>
      <w:pPr>
        <w:pStyle w:val="ListParagraph"/>
        <w:numPr>
          <w:ilvl w:val="0"/>
          <w:numId w:val="2"/>
        </w:numPr>
        <w:spacing w:after="60"/>
      </w:pPr>
      <w:r>
        <w:rPr>
          <w:rFonts w:ascii="Microsoft JhengHei" w:cs="Microsoft JhengHei" w:eastAsia="Microsoft JhengHei" w:hAnsi="Microsoft JhengHei"/>
        </w:rPr>
        <w:t xml:space="preserve">Universal Design for Instruction（UDI）</w:t>
      </w:r>
    </w:p>
    <w:p>
      <w:pPr>
        <w:pStyle w:val="ListParagraph"/>
        <w:numPr>
          <w:ilvl w:val="0"/>
          <w:numId w:val="2"/>
        </w:numPr>
        <w:spacing w:after="60"/>
      </w:pPr>
      <w:r>
        <w:rPr>
          <w:rFonts w:ascii="Microsoft JhengHei" w:cs="Microsoft JhengHei" w:eastAsia="Microsoft JhengHei" w:hAnsi="Microsoft JhengHei"/>
        </w:rPr>
        <w:t xml:space="preserve">Universal Instructional Design（UID）</w:t>
      </w:r>
    </w:p>
    <w:p>
      <w:pPr>
        <w:pStyle w:val="ListParagraph"/>
        <w:numPr>
          <w:ilvl w:val="0"/>
          <w:numId w:val="2"/>
        </w:numPr>
        <w:spacing w:after="60"/>
      </w:pPr>
      <w:r>
        <w:rPr>
          <w:rFonts w:ascii="Microsoft JhengHei" w:cs="Microsoft JhengHei" w:eastAsia="Microsoft JhengHei" w:hAnsi="Microsoft JhengHei"/>
        </w:rPr>
        <w:t xml:space="preserve">Universal Design Educational Models（UDEM）</w:t>
      </w:r>
    </w:p>
    <w:p>
      <w:pPr>
        <w:pStyle w:val="Heading2"/>
        <w:spacing w:after="120" w:before="280"/>
      </w:pPr>
      <w:r>
        <w:rPr>
          <w:rFonts w:ascii="Microsoft JhengHei" w:cs="Microsoft JhengHei" w:eastAsia="Microsoft JhengHei" w:hAnsi="Microsoft JhengHei"/>
          <w:b/>
          <w:bCs/>
          <w:sz w:val="28"/>
          <w:szCs w:val="28"/>
        </w:rPr>
        <w:t xml:space="preserve">四個名稱（講義頁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84"/>
        <w:gridCol w:w="2084"/>
        <w:gridCol w:w="2085"/>
        <w:gridCol w:w="2085"/>
      </w:tblGrid>
      <w:tr>
        <w:trPr>
          <w:tblHeader/>
        </w:trPr>
        <w:tc>
          <w:tcPr>
            <w:tcW w:type="dxa" w:w="13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
            </w:r>
          </w:p>
        </w:tc>
        <w:tc>
          <w:tcPr>
            <w:tcW w:type="dxa" w:w="208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UDL</w:t>
            </w:r>
          </w:p>
        </w:tc>
        <w:tc>
          <w:tcPr>
            <w:tcW w:type="dxa" w:w="208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UDI</w:t>
            </w:r>
          </w:p>
        </w:tc>
        <w:tc>
          <w:tcPr>
            <w:tcW w:type="dxa" w:w="208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UID</w:t>
            </w:r>
          </w:p>
        </w:tc>
        <w:tc>
          <w:tcPr>
            <w:tcW w:type="dxa" w:w="208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UDEM</w:t>
            </w:r>
          </w:p>
        </w:tc>
      </w:tr>
      <w:tr>
        <w:trPr>
          <w:tblHeader w:val="false"/>
        </w:trPr>
        <w:tc>
          <w:tcPr>
            <w:tcW w:type="dxa" w:w="13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全名</w:t>
            </w:r>
          </w:p>
        </w:tc>
        <w:tc>
          <w:tcPr>
            <w:tcW w:type="dxa" w:w="2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Universal Design for Learning</w:t>
            </w:r>
          </w:p>
        </w:tc>
        <w:tc>
          <w:tcPr>
            <w:tcW w:type="dxa" w:w="2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Universal Design for Instruction</w:t>
            </w:r>
          </w:p>
        </w:tc>
        <w:tc>
          <w:tcPr>
            <w:tcW w:type="dxa" w:w="20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Universal Instructional Design</w:t>
            </w:r>
          </w:p>
        </w:tc>
        <w:tc>
          <w:tcPr>
            <w:tcW w:type="dxa" w:w="20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Universal Design Educational Models</w:t>
            </w:r>
          </w:p>
        </w:tc>
      </w:tr>
      <w:tr>
        <w:trPr>
          <w:tblHeader w:val="false"/>
        </w:trPr>
        <w:tc>
          <w:tcPr>
            <w:tcW w:type="dxa" w:w="13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人物／組織</w:t>
            </w:r>
          </w:p>
        </w:tc>
        <w:tc>
          <w:tcPr>
            <w:tcW w:type="dxa" w:w="2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主要架構者／組織：Meyer、Rose（主要架構者）；CAST（發展與推廣）</w:t>
            </w:r>
          </w:p>
        </w:tc>
        <w:tc>
          <w:tcPr>
            <w:tcW w:type="dxa" w:w="2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建構者／教育 UD 前驅：Scott、McGuire、Shaw、Bowe（教育 UD 前驅）</w:t>
            </w:r>
          </w:p>
        </w:tc>
        <w:tc>
          <w:tcPr>
            <w:tcW w:type="dxa" w:w="20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早期主要倡議者：Patricia Silver、Andrew Bourke、K. C. Strehorn</w:t>
            </w:r>
          </w:p>
        </w:tc>
        <w:tc>
          <w:tcPr>
            <w:tcW w:type="dxa" w:w="20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文獻綜整者：Kavita Rao、Min Wook Ok、Brian R. Bryant</w:t>
            </w:r>
          </w:p>
        </w:tc>
      </w:tr>
      <w:tr>
        <w:trPr>
          <w:tblHeader w:val="false"/>
        </w:trPr>
        <w:tc>
          <w:tcPr>
            <w:tcW w:type="dxa" w:w="13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核心定位</w:t>
            </w:r>
          </w:p>
        </w:tc>
        <w:tc>
          <w:tcPr>
            <w:tcW w:type="dxa" w:w="2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以學習者差異與能動性，設計目標、評量、方法、教材與環境。</w:t>
            </w:r>
          </w:p>
        </w:tc>
        <w:tc>
          <w:tcPr>
            <w:tcW w:type="dxa" w:w="2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以九項原則設計課程、教學與環境，促進高教公平參與。</w:t>
            </w:r>
          </w:p>
        </w:tc>
        <w:tc>
          <w:tcPr>
            <w:tcW w:type="dxa" w:w="20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由課程初期提供彈性教材、教學方法、參與機會與公平評量。</w:t>
            </w:r>
          </w:p>
        </w:tc>
        <w:tc>
          <w:tcPr>
            <w:tcW w:type="dxa" w:w="20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統整 UDL、UDI、UID 等教育模式的分析名稱；並非獨立模式。</w:t>
            </w:r>
          </w:p>
        </w:tc>
      </w:tr>
      <w:tr>
        <w:trPr>
          <w:tblHeader w:val="false"/>
        </w:trPr>
        <w:tc>
          <w:tcPr>
            <w:tcW w:type="dxa" w:w="13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常見場域／性質</w:t>
            </w:r>
          </w:p>
        </w:tc>
        <w:tc>
          <w:tcPr>
            <w:tcW w:type="dxa" w:w="2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各教育階段</w:t>
            </w:r>
          </w:p>
        </w:tc>
        <w:tc>
          <w:tcPr>
            <w:tcW w:type="dxa" w:w="20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高等教育</w:t>
            </w:r>
          </w:p>
        </w:tc>
        <w:tc>
          <w:tcPr>
            <w:tcW w:type="dxa" w:w="20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高等教育</w:t>
            </w:r>
          </w:p>
        </w:tc>
        <w:tc>
          <w:tcPr>
            <w:tcW w:type="dxa" w:w="20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研究統稱（性質）</w:t>
            </w:r>
          </w:p>
        </w:tc>
      </w:tr>
    </w:tbl>
    <w:p>
      <w:pPr>
        <w:spacing w:after="80"/>
      </w:pPr>
      <w:r>
        <w:rPr>
          <w:rFonts w:ascii="Microsoft JhengHei" w:cs="Microsoft JhengHei" w:eastAsia="Microsoft JhengHei" w:hAnsi="Microsoft JhengHei"/>
        </w:rPr>
        <w:t xml:space="preserve"/>
      </w:r>
    </w:p>
    <w:p>
      <w:pPr>
        <w:pStyle w:val="ListParagraph"/>
        <w:numPr>
          <w:ilvl w:val="0"/>
          <w:numId w:val="2"/>
        </w:numPr>
        <w:spacing w:after="60"/>
      </w:pPr>
      <w:r>
        <w:rPr>
          <w:rFonts w:ascii="Microsoft JhengHei" w:cs="Microsoft JhengHei" w:eastAsia="Microsoft JhengHei" w:hAnsi="Microsoft JhengHei"/>
        </w:rPr>
        <w:t xml:space="preserve">共同點：事前設計・減少障礙・多元途徑・公平參與</w:t>
      </w:r>
    </w:p>
    <w:p>
      <w:pPr>
        <w:pStyle w:val="ListParagraph"/>
        <w:numPr>
          <w:ilvl w:val="0"/>
          <w:numId w:val="2"/>
        </w:numPr>
        <w:spacing w:after="60"/>
      </w:pPr>
      <w:r>
        <w:rPr>
          <w:rFonts w:ascii="Microsoft JhengHei" w:cs="Microsoft JhengHei" w:eastAsia="Microsoft JhengHei" w:hAnsi="Microsoft JhengHei"/>
        </w:rPr>
        <w:t xml:space="preserve">關鍵差異：UDL 設計完整學習歷程；UDI／UID 轉化為課程與教學設計；UDEM 是研究統稱。</w:t>
      </w:r>
    </w:p>
    <w:p>
      <w:pPr>
        <w:pBdr>
          <w:left w:val="single" w:color="C0C0C0" w:sz="12" w:space="8"/>
        </w:pBdr>
        <w:spacing w:after="100" w:before="60"/>
        <w:ind w:left="240"/>
      </w:pPr>
      <w:r>
        <w:rPr>
          <w:rFonts w:ascii="Microsoft JhengHei" w:cs="Microsoft JhengHei" w:eastAsia="Microsoft JhengHei" w:hAnsi="Microsoft JhengHei"/>
          <w:i/>
          <w:iCs/>
          <w:color w:val="555555"/>
          <w:sz w:val="20"/>
          <w:szCs w:val="20"/>
        </w:rPr>
        <w:t xml:space="preserve">原稿標記：UDL 欄位的「UDL」、「主要架構者／組織」、「核心定位」以橘色螢光筆標示。</w:t>
      </w:r>
    </w:p>
    <w:p>
      <w:pPr>
        <w:pStyle w:val="Heading2"/>
        <w:spacing w:after="120" w:before="280"/>
      </w:pPr>
      <w:r>
        <w:rPr>
          <w:rFonts w:ascii="Microsoft JhengHei" w:cs="Microsoft JhengHei" w:eastAsia="Microsoft JhengHei" w:hAnsi="Microsoft JhengHei"/>
          <w:b/>
          <w:bCs/>
          <w:sz w:val="28"/>
          <w:szCs w:val="28"/>
        </w:rPr>
        <w:t xml:space="preserve">通用設計學習（UDL）的重要內涵（講義頁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134"/>
        <w:gridCol w:w="2134"/>
        <w:gridCol w:w="2135"/>
        <w:gridCol w:w="2135"/>
      </w:tblGrid>
      <w:tr>
        <w:trPr>
          <w:tblHeader/>
        </w:trPr>
        <w:tc>
          <w:tcPr>
            <w:tcW w:type="dxa" w:w="11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
            </w:r>
          </w:p>
        </w:tc>
        <w:tc>
          <w:tcPr>
            <w:tcW w:type="dxa" w:w="213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設計</w:t>
            </w:r>
          </w:p>
        </w:tc>
        <w:tc>
          <w:tcPr>
            <w:tcW w:type="dxa" w:w="213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腦</w:t>
            </w:r>
          </w:p>
        </w:tc>
        <w:tc>
          <w:tcPr>
            <w:tcW w:type="dxa" w:w="213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學習</w:t>
            </w:r>
          </w:p>
        </w:tc>
        <w:tc>
          <w:tcPr>
            <w:tcW w:type="dxa" w:w="213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平等</w:t>
            </w:r>
          </w:p>
        </w:tc>
      </w:tr>
      <w:tr>
        <w:trPr>
          <w:tblHeader w:val="false"/>
        </w:trPr>
        <w:tc>
          <w:tcPr>
            <w:tcW w:type="dxa" w:w="11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領域</w:t>
            </w:r>
          </w:p>
        </w:tc>
        <w:tc>
          <w:tcPr>
            <w:tcW w:type="dxa" w:w="21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Universal Design＋學習者變異</w:t>
            </w:r>
          </w:p>
        </w:tc>
        <w:tc>
          <w:tcPr>
            <w:tcW w:type="dxa" w:w="21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Cognitive Neuroscience 學習功能網絡</w:t>
            </w:r>
          </w:p>
        </w:tc>
        <w:tc>
          <w:tcPr>
            <w:tcW w:type="dxa" w:w="21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Learning Sciences 認知・動機・策略</w:t>
            </w:r>
          </w:p>
        </w:tc>
        <w:tc>
          <w:tcPr>
            <w:tcW w:type="dxa" w:w="21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Inclusive Education＋社會文化觀</w:t>
            </w:r>
          </w:p>
        </w:tc>
      </w:tr>
      <w:tr>
        <w:trPr>
          <w:tblHeader w:val="false"/>
        </w:trPr>
        <w:tc>
          <w:tcPr>
            <w:tcW w:type="dxa" w:w="11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要點</w:t>
            </w:r>
          </w:p>
        </w:tc>
        <w:tc>
          <w:tcPr>
            <w:tcW w:type="dxa" w:w="21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基本假設：沒有「平均學習者」，差異是可預期常態</w:t>
            </w:r>
          </w:p>
        </w:tc>
        <w:tc>
          <w:tcPr>
            <w:tcW w:type="dxa" w:w="21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功能性模型：情意・辨識・策略，三網絡交互運作</w:t>
            </w:r>
          </w:p>
        </w:tc>
        <w:tc>
          <w:tcPr>
            <w:tcW w:type="dxa" w:w="21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關鍵概念：近側發展區・鷹架；精熟・回饋・自我調節</w:t>
            </w:r>
          </w:p>
        </w:tc>
        <w:tc>
          <w:tcPr>
            <w:tcW w:type="dxa" w:w="21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UDL 3.0 擴充：障礙研究・身份；文化與資產取向</w:t>
            </w:r>
          </w:p>
        </w:tc>
      </w:tr>
      <w:tr>
        <w:trPr>
          <w:tblHeader w:val="false"/>
        </w:trPr>
        <w:tc>
          <w:tcPr>
            <w:tcW w:type="dxa" w:w="11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內涵</w:t>
            </w:r>
          </w:p>
        </w:tc>
        <w:tc>
          <w:tcPr>
            <w:tcW w:type="dxa" w:w="21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理論意涵：通用設計與可及性；事前減少課程及環境障礙。</w:t>
            </w:r>
          </w:p>
        </w:tc>
        <w:tc>
          <w:tcPr>
            <w:tcW w:type="dxa" w:w="21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形成原則：三原則用來組織教學設計，不代表三個獨立腦區。</w:t>
            </w:r>
          </w:p>
        </w:tc>
        <w:tc>
          <w:tcPr>
            <w:tcW w:type="dxa" w:w="21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設計意涵：連結先備知識，提供漸進支持、適度選擇與進度監控。</w:t>
            </w:r>
          </w:p>
        </w:tc>
        <w:tc>
          <w:tcPr>
            <w:tcW w:type="dxa" w:w="21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設計意涵：檢視偏見、排除與代表性，建立歸屬及多元知識方式。</w:t>
            </w:r>
          </w:p>
        </w:tc>
      </w:tr>
      <w:tr>
        <w:trPr>
          <w:tblHeader w:val="false"/>
        </w:trPr>
        <w:tc>
          <w:tcPr>
            <w:tcW w:type="dxa" w:w="11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標籤</w:t>
            </w:r>
          </w:p>
        </w:tc>
        <w:tc>
          <w:tcPr>
            <w:tcW w:type="dxa" w:w="21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設計轉化／事前減障</w:t>
            </w:r>
          </w:p>
        </w:tc>
        <w:tc>
          <w:tcPr>
            <w:tcW w:type="dxa" w:w="21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定位／設計啟發</w:t>
            </w:r>
          </w:p>
        </w:tc>
        <w:tc>
          <w:tcPr>
            <w:tcW w:type="dxa" w:w="21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目標／促進精熟</w:t>
            </w:r>
          </w:p>
        </w:tc>
        <w:tc>
          <w:tcPr>
            <w:tcW w:type="dxa" w:w="21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焦點／系統障礙</w:t>
            </w:r>
          </w:p>
        </w:tc>
      </w:tr>
    </w:tbl>
    <w:p>
      <w:pPr>
        <w:spacing w:after="80"/>
      </w:pPr>
      <w:r>
        <w:rPr>
          <w:rFonts w:ascii="Microsoft JhengHei" w:cs="Microsoft JhengHei" w:eastAsia="Microsoft JhengHei" w:hAnsi="Microsoft JhengHei"/>
        </w:rPr>
        <w:t xml:space="preserve"/>
      </w:r>
    </w:p>
    <w:p>
      <w:pPr>
        <w:pStyle w:val="ListParagraph"/>
        <w:numPr>
          <w:ilvl w:val="0"/>
          <w:numId w:val="2"/>
        </w:numPr>
        <w:spacing w:after="60"/>
      </w:pPr>
      <w:r>
        <w:rPr>
          <w:rFonts w:ascii="Microsoft JhengHei" w:cs="Microsoft JhengHei" w:eastAsia="Microsoft JhengHei" w:hAnsi="Microsoft JhengHei"/>
        </w:rPr>
        <w:t xml:space="preserve">統整路徑：理論來源 → 預測障礙 → 彈性設計 → 學習者能動性</w:t>
      </w:r>
    </w:p>
    <w:p>
      <w:pPr>
        <w:pStyle w:val="ListParagraph"/>
        <w:numPr>
          <w:ilvl w:val="0"/>
          <w:numId w:val="2"/>
        </w:numPr>
        <w:spacing w:after="60"/>
      </w:pPr>
      <w:r>
        <w:rPr>
          <w:rFonts w:ascii="Microsoft JhengHei" w:cs="Microsoft JhengHei" w:eastAsia="Microsoft JhengHei" w:hAnsi="Microsoft JhengHei"/>
        </w:rPr>
        <w:t xml:space="preserve">三原則是操作架構，不是三個獨立腦區；數位科技是實現彈性的工具，不是 UDL 本身。</w:t>
      </w:r>
    </w:p>
    <w:p>
      <w:pPr>
        <w:pBdr>
          <w:left w:val="single" w:color="C0C0C0" w:sz="12" w:space="8"/>
        </w:pBdr>
        <w:spacing w:after="100" w:before="60"/>
        <w:ind w:left="240"/>
      </w:pPr>
      <w:r>
        <w:rPr>
          <w:rFonts w:ascii="Microsoft JhengHei" w:cs="Microsoft JhengHei" w:eastAsia="Microsoft JhengHei" w:hAnsi="Microsoft JhengHei"/>
          <w:i/>
          <w:iCs/>
          <w:color w:val="555555"/>
          <w:sz w:val="20"/>
          <w:szCs w:val="20"/>
        </w:rPr>
        <w:t xml:space="preserve">手寫筆記（頁面底部，部分被截斷）：理論基礎／腦科學研究</w:t>
      </w:r>
    </w:p>
    <w:p>
      <w:pPr>
        <w:pStyle w:val="Heading2"/>
        <w:spacing w:after="120" w:before="280"/>
      </w:pPr>
      <w:r>
        <w:rPr>
          <w:rFonts w:ascii="Microsoft JhengHei" w:cs="Microsoft JhengHei" w:eastAsia="Microsoft JhengHei" w:hAnsi="Microsoft JhengHei"/>
          <w:b/>
          <w:bCs/>
          <w:sz w:val="28"/>
          <w:szCs w:val="28"/>
        </w:rPr>
        <w:t xml:space="preserve">融合教育設定方向，UDL 是實踐的策略</w:t>
      </w:r>
    </w:p>
    <w:p>
      <w:pPr>
        <w:pStyle w:val="ListParagraph"/>
        <w:numPr>
          <w:ilvl w:val="0"/>
          <w:numId w:val="2"/>
        </w:numPr>
        <w:spacing w:after="60"/>
      </w:pPr>
      <w:r>
        <w:rPr>
          <w:rFonts w:ascii="Microsoft JhengHei" w:cs="Microsoft JhengHei" w:eastAsia="Microsoft JhengHei" w:hAnsi="Microsoft JhengHei"/>
        </w:rPr>
        <w:t xml:space="preserve">成功的融合教育課程：共同且具挑戰性的學習目標｜真實參與、同儕互動與歸屬｜彈性教材、教法與評量｜跨專業協作、持續觀察與調整</w:t>
      </w:r>
    </w:p>
    <w:p>
      <w:pPr>
        <w:pStyle w:val="ListParagraph"/>
        <w:numPr>
          <w:ilvl w:val="0"/>
          <w:numId w:val="2"/>
        </w:numPr>
        <w:spacing w:after="60"/>
      </w:pPr>
      <w:r>
        <w:rPr>
          <w:rFonts w:ascii="Microsoft JhengHei" w:cs="Microsoft JhengHei" w:eastAsia="Microsoft JhengHei" w:hAnsi="Microsoft JhengHei"/>
        </w:rPr>
        <w:t xml:space="preserve">融合教育：教育系統主動回應所有學習者差異；改變課程、教學、結構，支持系統與學校文化</w:t>
      </w:r>
    </w:p>
    <w:p>
      <w:pPr>
        <w:pStyle w:val="ListParagraph"/>
        <w:numPr>
          <w:ilvl w:val="0"/>
          <w:numId w:val="2"/>
        </w:numPr>
        <w:spacing w:after="60"/>
      </w:pPr>
      <w:r>
        <w:rPr>
          <w:rFonts w:ascii="Microsoft JhengHei" w:cs="Microsoft JhengHei" w:eastAsia="Microsoft JhengHei" w:hAnsi="Microsoft JhengHei"/>
          <w:b/>
          <w:bCs/>
        </w:rPr>
        <w:t xml:space="preserve">→ UDL｜預防性的課程設計橋梁</w:t>
      </w:r>
    </w:p>
    <w:p>
      <w:pPr>
        <w:pStyle w:val="ListParagraph"/>
        <w:numPr>
          <w:ilvl w:val="1"/>
          <w:numId w:val="2"/>
        </w:numPr>
        <w:spacing w:after="60"/>
      </w:pPr>
      <w:r>
        <w:rPr>
          <w:rFonts w:ascii="Microsoft JhengHei" w:cs="Microsoft JhengHei" w:eastAsia="Microsoft JhengHei" w:hAnsi="Microsoft JhengHei"/>
        </w:rPr>
        <w:t xml:space="preserve">多元參與：動機・努力、身分・歸屬</w:t>
      </w:r>
    </w:p>
    <w:p>
      <w:pPr>
        <w:pStyle w:val="ListParagraph"/>
        <w:numPr>
          <w:ilvl w:val="1"/>
          <w:numId w:val="2"/>
        </w:numPr>
        <w:spacing w:after="60"/>
      </w:pPr>
      <w:r>
        <w:rPr>
          <w:rFonts w:ascii="Microsoft JhengHei" w:cs="Microsoft JhengHei" w:eastAsia="Microsoft JhengHei" w:hAnsi="Microsoft JhengHei"/>
        </w:rPr>
        <w:t xml:space="preserve">多元表徵：感知・語言、知識建構</w:t>
      </w:r>
    </w:p>
    <w:p>
      <w:pPr>
        <w:pStyle w:val="ListParagraph"/>
        <w:numPr>
          <w:ilvl w:val="1"/>
          <w:numId w:val="2"/>
        </w:numPr>
        <w:spacing w:after="60"/>
      </w:pPr>
      <w:r>
        <w:rPr>
          <w:rFonts w:ascii="Microsoft JhengHei" w:cs="Microsoft JhengHei" w:eastAsia="Microsoft JhengHei" w:hAnsi="Microsoft JhengHei"/>
        </w:rPr>
        <w:t xml:space="preserve">多元行動與表達：互動・溝通、策略發展</w:t>
      </w:r>
    </w:p>
    <w:p>
      <w:pPr>
        <w:pStyle w:val="ListParagraph"/>
        <w:numPr>
          <w:ilvl w:val="1"/>
          <w:numId w:val="2"/>
        </w:numPr>
        <w:spacing w:after="60"/>
      </w:pPr>
      <w:r>
        <w:rPr>
          <w:rFonts w:ascii="Microsoft JhengHei" w:cs="Microsoft JhengHei" w:eastAsia="Microsoft JhengHei" w:hAnsi="Microsoft JhengHei"/>
        </w:rPr>
        <w:t xml:space="preserve">目標保持一致｜達成途徑具有彈性</w:t>
      </w:r>
    </w:p>
    <w:p>
      <w:pPr>
        <w:pStyle w:val="ListParagraph"/>
        <w:numPr>
          <w:ilvl w:val="0"/>
          <w:numId w:val="2"/>
        </w:numPr>
        <w:spacing w:after="60"/>
      </w:pPr>
      <w:r>
        <w:rPr>
          <w:rFonts w:ascii="Microsoft JhengHei" w:cs="Microsoft JhengHei" w:eastAsia="Microsoft JhengHei" w:hAnsi="Microsoft JhengHei"/>
        </w:rPr>
        <w:t xml:space="preserve">→ 學生結果：進入 Access・參與 Participation・成就 Achievement・歸屬 Belonging・能動性 Agency</w:t>
      </w:r>
    </w:p>
    <w:p>
      <w:pPr>
        <w:pStyle w:val="ListParagraph"/>
        <w:numPr>
          <w:ilvl w:val="0"/>
          <w:numId w:val="2"/>
        </w:numPr>
        <w:spacing w:after="60"/>
      </w:pPr>
      <w:r>
        <w:rPr>
          <w:rFonts w:ascii="Microsoft JhengHei" w:cs="Microsoft JhengHei" w:eastAsia="Microsoft JhengHei" w:hAnsi="Microsoft JhengHei"/>
        </w:rPr>
        <w:t xml:space="preserve">UDL 後仍有個別需要：合理調整・特殊教育服務</w:t>
      </w:r>
    </w:p>
    <w:p>
      <w:pPr>
        <w:pStyle w:val="ListParagraph"/>
        <w:numPr>
          <w:ilvl w:val="0"/>
          <w:numId w:val="2"/>
        </w:numPr>
        <w:spacing w:after="60"/>
      </w:pPr>
      <w:r>
        <w:rPr>
          <w:rFonts w:ascii="Microsoft JhengHei" w:cs="Microsoft JhengHei" w:eastAsia="Microsoft JhengHei" w:hAnsi="Microsoft JhengHei"/>
        </w:rPr>
        <w:t xml:space="preserve">融合教育決定方向｜UDL 提供共同課程的設計方法｜個別支持補足仍存在的需求</w:t>
      </w:r>
    </w:p>
    <w:p>
      <w:pPr>
        <w:pBdr>
          <w:left w:val="single" w:color="C0C0C0" w:sz="12" w:space="8"/>
        </w:pBdr>
        <w:spacing w:after="100" w:before="60"/>
        <w:ind w:left="240"/>
      </w:pPr>
      <w:r>
        <w:rPr>
          <w:rFonts w:ascii="Microsoft JhengHei" w:cs="Microsoft JhengHei" w:eastAsia="Microsoft JhengHei" w:hAnsi="Microsoft JhengHei"/>
          <w:i/>
          <w:iCs/>
          <w:color w:val="555555"/>
          <w:sz w:val="20"/>
          <w:szCs w:val="20"/>
        </w:rPr>
        <w:t xml:space="preserve">原稿標記：「UDL｜預防性的課程設計橋梁」、三項多元、「目標保持一致｜達成途徑具有彈性」、「學生結果」及五項結果以橘色螢光筆標示；「學生結果」旁有紅筆星號。</w:t>
      </w:r>
    </w:p>
    <w:p>
      <w:pPr>
        <w:pBdr>
          <w:left w:val="single" w:color="C0C0C0" w:sz="12" w:space="8"/>
        </w:pBdr>
        <w:spacing w:after="100" w:before="60"/>
        <w:ind w:left="240"/>
      </w:pPr>
      <w:r>
        <w:rPr>
          <w:rFonts w:ascii="Microsoft JhengHei" w:cs="Microsoft JhengHei" w:eastAsia="Microsoft JhengHei" w:hAnsi="Microsoft JhengHei"/>
          <w:i/>
          <w:iCs/>
          <w:color w:val="555555"/>
          <w:sz w:val="20"/>
          <w:szCs w:val="20"/>
        </w:rPr>
        <w:t xml:space="preserve">手寫筆記：專家級學習者（右下，字跡較潦草）；「…獨立自主」（左下，與下頁頁首「培養獨立自主」相連）。</w:t>
      </w:r>
    </w:p>
    <w:p>
      <w:pPr>
        <w:pStyle w:val="Heading2"/>
        <w:spacing w:after="120" w:before="280"/>
      </w:pPr>
      <w:r>
        <w:rPr>
          <w:rFonts w:ascii="Microsoft JhengHei" w:cs="Microsoft JhengHei" w:eastAsia="Microsoft JhengHei" w:hAnsi="Microsoft JhengHei"/>
          <w:b/>
          <w:bCs/>
          <w:sz w:val="28"/>
          <w:szCs w:val="28"/>
        </w:rPr>
        <w:t xml:space="preserve">通用設計學習和課程調整（以臺灣高中以下學校教育情境為例）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169"/>
        <w:gridCol w:w="4169"/>
      </w:tblGrid>
      <w:tr>
        <w:trPr>
          <w:tblHeader/>
        </w:trPr>
        <w:tc>
          <w:tcPr>
            <w:tcW w:type="dxa" w:w="13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
            </w:r>
          </w:p>
        </w:tc>
        <w:tc>
          <w:tcPr>
            <w:tcW w:type="dxa" w:w="4169"/>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UDL 通用設計學習</w:t>
            </w:r>
          </w:p>
        </w:tc>
        <w:tc>
          <w:tcPr>
            <w:tcW w:type="dxa" w:w="4169"/>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課程調整（特殊教育課程調整）</w:t>
            </w:r>
          </w:p>
        </w:tc>
      </w:tr>
      <w:tr>
        <w:trPr>
          <w:tblHeader w:val="false"/>
        </w:trPr>
        <w:tc>
          <w:tcPr>
            <w:tcW w:type="dxa" w:w="13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概念</w:t>
            </w:r>
          </w:p>
        </w:tc>
        <w:tc>
          <w:tcPr>
            <w:tcW w:type="dxa" w:w="41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在課程設計之初，預先提供多元參與、多元表徵、多元行動與表達，降低學習障礙。</w:t>
            </w:r>
          </w:p>
        </w:tc>
        <w:tc>
          <w:tcPr>
            <w:tcW w:type="dxa" w:w="41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依特殊教育學生個別能力、特質與需求，調整學習內容、歷程、環境、評量及必要時節數／學分數。</w:t>
            </w:r>
          </w:p>
        </w:tc>
      </w:tr>
      <w:tr>
        <w:trPr>
          <w:tblHeader w:val="false"/>
        </w:trPr>
        <w:tc>
          <w:tcPr>
            <w:tcW w:type="dxa" w:w="13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適用對象</w:t>
            </w:r>
          </w:p>
        </w:tc>
        <w:tc>
          <w:tcPr>
            <w:tcW w:type="dxa" w:w="41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所有學生，包括一般學生、身心障礙學生、學習困難學生、高成就學生等。</w:t>
            </w:r>
          </w:p>
        </w:tc>
        <w:tc>
          <w:tcPr>
            <w:tcW w:type="dxa" w:w="41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特殊教育學生，包括身心障礙學生與資賦優異學生。</w:t>
            </w:r>
          </w:p>
        </w:tc>
      </w:tr>
      <w:tr>
        <w:trPr>
          <w:tblHeader w:val="false"/>
        </w:trPr>
        <w:tc>
          <w:tcPr>
            <w:tcW w:type="dxa" w:w="13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rFonts w:ascii="Microsoft JhengHei" w:cs="Microsoft JhengHei" w:eastAsia="Microsoft JhengHei" w:hAnsi="Microsoft JhengHei"/>
                <w:b/>
                <w:bCs/>
                <w:sz w:val="20"/>
                <w:szCs w:val="20"/>
              </w:rPr>
              <w:t xml:space="preserve">做法</w:t>
            </w:r>
          </w:p>
        </w:tc>
        <w:tc>
          <w:tcPr>
            <w:tcW w:type="dxa" w:w="41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提供多元教材（文字、圖像、影片、實作）；提供多元參與方式與學習選擇；允許多元表達與評量方式</w:t>
            </w:r>
          </w:p>
        </w:tc>
        <w:tc>
          <w:tcPr>
            <w:tcW w:type="dxa" w:w="41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Microsoft JhengHei" w:cs="Microsoft JhengHei" w:eastAsia="Microsoft JhengHei" w:hAnsi="Microsoft JhengHei"/>
                <w:b w:val="false"/>
                <w:bCs w:val="false"/>
                <w:sz w:val="20"/>
                <w:szCs w:val="20"/>
              </w:rPr>
              <w:t xml:space="preserve">調整學習重點、教材難度或替代內容；調整教學流程、支持策略與學習環境；調整評量方式、標準，必要時連結 IEP／IGP</w:t>
            </w:r>
          </w:p>
        </w:tc>
      </w:tr>
    </w:tbl>
    <w:p>
      <w:pPr>
        <w:spacing w:after="80"/>
      </w:pPr>
      <w:r>
        <w:rPr>
          <w:rFonts w:ascii="Microsoft JhengHei" w:cs="Microsoft JhengHei" w:eastAsia="Microsoft JhengHei" w:hAnsi="Microsoft JhengHei"/>
        </w:rPr>
        <w:t xml:space="preserve"/>
      </w:r>
    </w:p>
    <w:p>
      <w:pPr>
        <w:pStyle w:val="ListParagraph"/>
        <w:numPr>
          <w:ilvl w:val="0"/>
          <w:numId w:val="2"/>
        </w:numPr>
        <w:spacing w:after="60"/>
      </w:pPr>
      <w:r>
        <w:rPr>
          <w:rFonts w:ascii="Microsoft JhengHei" w:cs="Microsoft JhengHei" w:eastAsia="Microsoft JhengHei" w:hAnsi="Microsoft JhengHei"/>
        </w:rPr>
        <w:t xml:space="preserve">兩者關係：① UDL：先從課程設計降低障礙，讓更多學生可參與學習 → ② 課程調整：對特殊教育學生提供更個別化的課程支持</w:t>
      </w:r>
    </w:p>
    <w:p>
      <w:pPr>
        <w:pStyle w:val="ListParagraph"/>
        <w:numPr>
          <w:ilvl w:val="0"/>
          <w:numId w:val="2"/>
        </w:numPr>
        <w:spacing w:after="60"/>
      </w:pPr>
      <w:r>
        <w:rPr>
          <w:rFonts w:ascii="Microsoft JhengHei" w:cs="Microsoft JhengHei" w:eastAsia="Microsoft JhengHei" w:hAnsi="Microsoft JhengHei"/>
          <w:b/>
          <w:bCs/>
        </w:rPr>
        <w:t xml:space="preserve">UDL 強調普遍設計，課程調整則強調特殊教育學生的個別化課程支持。</w:t>
      </w:r>
    </w:p>
    <w:p>
      <w:pPr>
        <w:pBdr>
          <w:left w:val="single" w:color="C0C0C0" w:sz="12" w:space="8"/>
        </w:pBdr>
        <w:spacing w:after="100" w:before="60"/>
        <w:ind w:left="240"/>
      </w:pPr>
      <w:r>
        <w:rPr>
          <w:rFonts w:ascii="Microsoft JhengHei" w:cs="Microsoft JhengHei" w:eastAsia="Microsoft JhengHei" w:hAnsi="Microsoft JhengHei"/>
          <w:i/>
          <w:iCs/>
          <w:color w:val="555555"/>
          <w:sz w:val="20"/>
          <w:szCs w:val="20"/>
        </w:rPr>
        <w:t xml:space="preserve">手寫筆記（頁首）：培養獨立自主。</w:t>
      </w:r>
    </w:p>
    <w:sectPr>
      <w:pgSz w:w="11906" w:h="16838" w:orient="portrait"/>
      <w:pgMar w:top="1134" w:right="1077" w:bottom="1134"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15:tentative="1">
      <w:start w:val="1"/>
      <w:numFmt w:val="bullet"/>
      <w:lvlText w:val="◦"/>
      <w:lvlJc w:val="left"/>
      <w:pPr>
        <w:ind w:left="12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icrosoft JhengHei" w:cs="Microsoft JhengHei" w:eastAsia="Microsoft JhengHei" w:hAnsi="Microsoft JhengHei"/>
      <w:b/>
      <w:bCs/>
      <w:sz w:val="36"/>
      <w:szCs w:val="36"/>
    </w:rPr>
  </w:style>
  <w:style w:type="paragraph" w:styleId="Heading2">
    <w:name w:val="Heading 2"/>
    <w:basedOn w:val="Normal"/>
    <w:next w:val="Normal"/>
    <w:qFormat/>
    <w:pPr>
      <w:outlineLvl w:val="1"/>
    </w:pPr>
    <w:rPr>
      <w:rFonts w:ascii="Microsoft JhengHei" w:cs="Microsoft JhengHei" w:eastAsia="Microsoft JhengHei" w:hAnsi="Microsoft JhengHe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2026-10-19T07:49:34.238Z</dcterms:created>
  <dcterms:modified xsi:type="dcterms:W3CDTF">2026-10-19T07:49:34.238Z</dcterms:modified>
</cp:coreProperties>
</file>

<file path=docProps/custom.xml><?xml version="1.0" encoding="utf-8"?>
<Properties xmlns="http://schemas.openxmlformats.org/officeDocument/2006/custom-properties" xmlns:vt="http://schemas.openxmlformats.org/officeDocument/2006/docPropsVTypes"/>
</file>