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소장: 인테리어 부실공사 손해배상 청구</w:t>
      </w:r>
    </w:p>
    <w:p>
      <w:r>
        <w:t>원고는 피고 인테리어 업체와 아파트 올리모델링 공사계약을 체결하고 공사대금 6,000만 원을 완납하였으나, 피고는 누수 및 마감 불량 등 중대한 하자를 방치하였다.</w:t>
      </w:r>
    </w:p>
    <w:p>
      <w:r>
        <w:t>재판부는 감정 결과 피고의 시공상 과실로 인한 하자보수비 2,800만 원 및 위자료 500만 원을 원고에게 지급하라고 판결하였다.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