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4E79"/>
          <w:sz w:val="44"/>
          <w:szCs w:val="44"/>
        </w:rPr>
        <w:t xml:space="preserve">Gaia translator</w:t>
      </w:r>
    </w:p>
    <w:p>
      <w:pPr>
        <w:spacing w:after="80"/>
        <w:jc w:val="left"/>
      </w:pPr>
      <w:r>
        <w:rPr>
          <w:color w:val="1F4E79"/>
          <w:sz w:val="30"/>
          <w:szCs w:val="30"/>
        </w:rPr>
        <w:t xml:space="preserve">Reviewer instructions — v1</w:t>
      </w:r>
    </w:p>
    <w:p>
      <w:pPr>
        <w:spacing w:after="360"/>
        <w:jc w:val="left"/>
      </w:pPr>
      <w:r>
        <w:rPr>
          <w:i/>
          <w:iCs/>
          <w:color w:val="606060"/>
          <w:sz w:val="20"/>
          <w:szCs w:val="20"/>
        </w:rPr>
        <w:t xml:space="preserve">Denolle Group, University of Washington Earth and Space Sciences</w:t>
      </w:r>
    </w:p>
    <w:p>
      <w:pPr>
        <w:pStyle w:val="Heading1"/>
        <w:spacing w:after="180" w:before="360"/>
      </w:pPr>
      <w:r>
        <w:t xml:space="preserve">1. What this project is, in two paragraphs</w:t>
      </w:r>
    </w:p>
    <w:p>
      <w:pPr>
        <w:spacing w:after="120"/>
      </w:pPr>
      <w:r>
        <w:t xml:space="preserve">The Gaia translator is a research chatbot designed to help geoscientists interpret papers outside their primary discipline, discover how their work integrates with adjacent fields, and propose joint-observation strategies — with every answer grounded in cited scientific evidence. It is being built on top of a card-structured knowledge base that spans hydrology, seismology, geotechnical engineering, geomorphology, atmospheric sciences, ecology, agricultural sciences, near-surface geophysics, and the cross-cutting concepts that bridge them.</w:t>
      </w:r>
    </w:p>
    <w:p>
      <w:pPr>
        <w:spacing w:after="120"/>
      </w:pPr>
      <w:r>
        <w:t xml:space="preserve">You are here because we want to know whether the chatbot's answers are actually useful to a researcher in your discipline. Your scoring will (a) build a citable, expert-graded benchmark for evaluating LLM agents on cross-disciplinary geoscience questions, and (b) directly feed back into revisions of the underlying knowledge cards. Both of these outcomes depend on your scoring being independent, calibrated, and detailed enough to be actionable.</w:t>
      </w:r>
    </w:p>
    <w:p>
      <w:pPr>
        <w:pStyle w:val="Heading1"/>
        <w:spacing w:after="180" w:before="360"/>
      </w:pPr>
      <w:r>
        <w:t xml:space="preserve">2. The scoring workflow</w:t>
      </w:r>
    </w:p>
    <w:p>
      <w:pPr>
        <w:pStyle w:val="ListParagraph"/>
        <w:numPr>
          <w:ilvl w:val="0"/>
          <w:numId w:val="2"/>
        </w:numPr>
        <w:spacing w:after="80"/>
      </w:pPr>
      <w:r>
        <w:t xml:space="preserve">Pre-meeting reading. You're reading it now. Sections 1–3 are required; the rest can wait until after the kickoff meeting.</w:t>
      </w:r>
    </w:p>
    <w:p>
      <w:pPr>
        <w:pStyle w:val="ListParagraph"/>
        <w:numPr>
          <w:ilvl w:val="0"/>
          <w:numId w:val="2"/>
        </w:numPr>
        <w:spacing w:after="80"/>
      </w:pPr>
      <w:r>
        <w:t xml:space="preserve">Kickoff meeting (60 min). We score three calibration QAs together and discuss disagreements. This is where the rubric anchors get aligned across reviewers.</w:t>
      </w:r>
    </w:p>
    <w:p>
      <w:pPr>
        <w:pStyle w:val="ListParagraph"/>
        <w:numPr>
          <w:ilvl w:val="0"/>
          <w:numId w:val="2"/>
        </w:numPr>
        <w:spacing w:after="80"/>
      </w:pPr>
      <w:r>
        <w:t xml:space="preserve">Calibration round (1 week). You score the same three calibration QAs independently in your personal scoring sheet. We compute inter-rater reliability.</w:t>
      </w:r>
    </w:p>
    <w:p>
      <w:pPr>
        <w:pStyle w:val="ListParagraph"/>
        <w:numPr>
          <w:ilvl w:val="0"/>
          <w:numId w:val="2"/>
        </w:numPr>
        <w:spacing w:after="80"/>
      </w:pPr>
      <w:r>
        <w:t xml:space="preserve">Production scoring (4–6 weeks). You score ~25 QAs in your assigned domain. Your sheet has them pre-populated and progress-tracked.</w:t>
      </w:r>
    </w:p>
    <w:p>
      <w:pPr>
        <w:pStyle w:val="ListParagraph"/>
        <w:numPr>
          <w:ilvl w:val="0"/>
          <w:numId w:val="2"/>
        </w:numPr>
        <w:spacing w:after="80"/>
      </w:pPr>
      <w:r>
        <w:t xml:space="preserve">Card revision and re-evaluation. Your low-score comments are aggregated into a ranked revision list for the underlying knowledge cards. A held-out subset is re-scored on the revised chatbot to measure improvement.</w:t>
      </w:r>
    </w:p>
    <w:p>
      <w:pPr>
        <w:spacing w:after="120"/>
      </w:pPr>
      <w:r>
        <w:rPr>
          <w:i/>
          <w:iCs/>
        </w:rPr>
        <w:t xml:space="preserve">Throughout, you are scoring chatbot answers against a rubric — not writing answers yourself, not reviewing the chatbot's architecture, not validating individual citations beyond a 2-minute lookup. If something is outside your expertise, score what you can and mark Confidence low.</w:t>
      </w:r>
    </w:p>
    <w:p>
      <w:pPr>
        <w:pStyle w:val="Heading1"/>
        <w:spacing w:after="180" w:before="360"/>
      </w:pPr>
      <w:r>
        <w:t xml:space="preserve">3. The 8-criterion rubric</w:t>
      </w:r>
    </w:p>
    <w:p>
      <w:pPr>
        <w:spacing w:after="120"/>
      </w:pPr>
      <w:r>
        <w:t xml:space="preserve">Every chatbot answer is scored on eight criteria, each on a 1–5 Likert scale. Scores below 2 or above 4 require a free-text comment. Refusal correctness is N/A when the QA doesn't present a refusal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520"/>
        <w:gridCol w:w="1520"/>
        <w:gridCol w:w="1520"/>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sz w:val="20"/>
                <w:szCs w:val="20"/>
              </w:rPr>
              <w:t xml:space="preserve">Criterion</w:t>
            </w:r>
          </w:p>
        </w:tc>
        <w:tc>
          <w:tcPr>
            <w:tcW w:type="dxa" w:w="31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sz w:val="20"/>
                <w:szCs w:val="20"/>
              </w:rPr>
              <w:t xml:space="preserve">Definition</w:t>
            </w:r>
          </w:p>
        </w:tc>
        <w:tc>
          <w:tcPr>
            <w:tcW w:type="dxa" w:w="15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sz w:val="20"/>
                <w:szCs w:val="20"/>
              </w:rPr>
              <w:t xml:space="preserve">1 anchor (poor)</w:t>
            </w:r>
          </w:p>
        </w:tc>
        <w:tc>
          <w:tcPr>
            <w:tcW w:type="dxa" w:w="15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sz w:val="20"/>
                <w:szCs w:val="20"/>
              </w:rPr>
              <w:t xml:space="preserve">3 anchor (acceptable)</w:t>
            </w:r>
          </w:p>
        </w:tc>
        <w:tc>
          <w:tcPr>
            <w:tcW w:type="dxa" w:w="15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sz w:val="20"/>
                <w:szCs w:val="20"/>
              </w:rPr>
              <w:t xml:space="preserve">5 anchor (excellent)</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1. Technical accuracy</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Are the factual claims in the answer correct? Wrong physics, wrong units, wrong magnitudes, or wrong mechanisms get penalized here.</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Wrong claim that would mislead a researcher (e.g., wrong direction of effect, wrong order of magnitude, wrong governing equation).</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Mostly correct; one minor inaccuracy or one over-simplification that a researcher would catch.</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All claims correct; uncertainty appropriately quantified; no over-simplifications that mislead.</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2. Citation discipline</w:t>
            </w:r>
          </w:p>
        </w:tc>
        <w:tc>
          <w:tcPr>
            <w:tcW w:type="dxa" w:w="3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Are cited works real, with accurate DOIs? Do they actually support the claim made? Fabricated citations are an automatic 1.</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Fabricated citation, fake DOI, or citation that does not support the claim. Hard fail.</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Citations are real and verifiable but coverage is uneven; some claims uncited or weakly supported.</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Every factual claim is cited; citations are real and verifiable; coverage matches the claim's specificity.</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3. Vocabulary precision</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Is discipline-specific language used correctly? Are vocabulary collisions (Q, permeability, noise, stress, conductivity) handled?</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Vocabulary collision treated as physical equivalence; jargon used inconsistently; terms invented.</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Discipline language correct; vocabulary collisions disambiguated when prompted but not preemptively.</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Discipline language fully correct; vocabulary collisions disambiguated up front; cross-discipline equivalents named precisely.</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4. Cross-discipline integration</w:t>
            </w:r>
          </w:p>
        </w:tc>
        <w:tc>
          <w:tcPr>
            <w:tcW w:type="dxa" w:w="3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When the question spans disciplines, does the answer correctly bridge them? Does it use the right translation card or principle?</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Forces an analogy that does not survive scrutiny; misses an obvious bridge; conflates surface similarity with shared physics.</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Identifies the bridge correctly but does not exploit its full content; references a translation card without working through it.</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Identifies the right bridge, works through both sides correctly, and flags where the analogy holds vs. breaks. Score N/A for single-discipline QAs.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5. Refusal correctness</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When the question invites a forced analogy or fabrication, does the chatbot refuse cleanly? Score N/A if no refusal opportunity is present.</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Failed to refuse a forced analogy; fabricated a citation; gave a confident answer to an outside-knowledge question.</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Hedged appropriately but did not explicitly name the refusal pattern; partial credit.</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Cleanly refused with named pattern (vocabulary collision, missing causality, etc.); offered a constructive alternative.</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6. Completeness</w:t>
            </w:r>
          </w:p>
        </w:tc>
        <w:tc>
          <w:tcPr>
            <w:tcW w:type="dxa" w:w="3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Does the answer address what was asked? Are important parts missing? Score irrespective of style.</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Major aspects of the question unaddressed; misreads the question.</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Addresses the main question; some peripheral aspects unaddressed or hand-waved.</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Addresses every aspect of the question; surfaces the question-behind-the-question where productive.</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7. Presentation</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Clarity, structure, technical level appropriate to the audience (geoscience researchers). Not a measure of length.</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Disorganized; over- or under-technical; reads like a draft.</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Reasonably structured; technical level mostly appropriate; minor issues.</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sz w:val="20"/>
                <w:szCs w:val="20"/>
              </w:rPr>
              <w:t xml:space="preserve">Well-structured; technical level correct; figures/equations cited where helpful.</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8. Overall usefulness</w:t>
            </w:r>
          </w:p>
        </w:tc>
        <w:tc>
          <w:tcPr>
            <w:tcW w:type="dxa" w:w="3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Would a researcher in your discipline actually find this answer helpful? This is a holistic judgment, not an average of the other criteria.</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Not useful; would actively mislead or waste time.</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Useful as a starting point; researcher would need to verify before relying on it.</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Directly useful; researcher could quote the answer in a paper or proposal with a small attribution.</w:t>
            </w:r>
          </w:p>
        </w:tc>
      </w:tr>
    </w:tbl>
    <w:p>
      <w:pPr>
        <w:spacing w:before="240"/>
      </w:pPr>
    </w:p>
    <w:p>
      <w:pPr>
        <w:pStyle w:val="Heading3"/>
        <w:spacing w:after="100" w:before="200"/>
      </w:pPr>
      <w:r>
        <w:t xml:space="preserve">Scoring guidance</w:t>
      </w:r>
    </w:p>
    <w:p>
      <w:pPr>
        <w:pStyle w:val="ListParagraph"/>
        <w:numPr>
          <w:ilvl w:val="0"/>
          <w:numId w:val="3"/>
        </w:numPr>
        <w:spacing w:after="80"/>
      </w:pPr>
      <w:r>
        <w:t xml:space="preserve">Use the full range. If every score lands in 3–4, the rubric isn't being exercised. The calibration QAs are designed to require both 1s and 5s.</w:t>
      </w:r>
    </w:p>
    <w:p>
      <w:pPr>
        <w:pStyle w:val="ListParagraph"/>
        <w:numPr>
          <w:ilvl w:val="0"/>
          <w:numId w:val="3"/>
        </w:numPr>
        <w:spacing w:after="80"/>
      </w:pPr>
      <w:r>
        <w:t xml:space="preserve">Score the answer in front of you, not the answer you would have written. If the answer is correct but framed differently, that's a 5 on technical accuracy. Style preferences live in Presentation.</w:t>
      </w:r>
    </w:p>
    <w:p>
      <w:pPr>
        <w:pStyle w:val="ListParagraph"/>
        <w:numPr>
          <w:ilvl w:val="0"/>
          <w:numId w:val="3"/>
        </w:numPr>
        <w:spacing w:after="80"/>
      </w:pPr>
      <w:r>
        <w:t xml:space="preserve">Cite citations only after a brief lookup. Spend up to 2 minutes per citation. If you can't find a DOI or the paper title returns no plausible match, score Citation discipline ≤ 2 and flag it in the comment.</w:t>
      </w:r>
    </w:p>
    <w:p>
      <w:pPr>
        <w:pStyle w:val="ListParagraph"/>
        <w:numPr>
          <w:ilvl w:val="0"/>
          <w:numId w:val="3"/>
        </w:numPr>
        <w:spacing w:after="80"/>
      </w:pPr>
      <w:r>
        <w:t xml:space="preserve">Refusal correctness is its own criterion. A confident-sounding but technically wrong answer to a question that should have been refused gets a 1 here even if it scores high on Presentation.</w:t>
      </w:r>
    </w:p>
    <w:p>
      <w:pPr>
        <w:pStyle w:val="ListParagraph"/>
        <w:numPr>
          <w:ilvl w:val="0"/>
          <w:numId w:val="3"/>
        </w:numPr>
        <w:spacing w:after="80"/>
      </w:pPr>
      <w:r>
        <w:t xml:space="preserve">Cross-discipline integration is N/A for single-discipline QAs. Mark it N/A in the score column and move on.</w:t>
      </w:r>
    </w:p>
    <w:p>
      <w:r>
        <w:br w:type="page"/>
      </w:r>
    </w:p>
    <w:p>
      <w:pPr>
        <w:pStyle w:val="Heading1"/>
        <w:spacing w:after="180" w:before="360"/>
      </w:pPr>
      <w:r>
        <w:t xml:space="preserve">4. How to fill in your scoring sheet</w:t>
      </w:r>
    </w:p>
    <w:p>
      <w:pPr>
        <w:spacing w:after="120"/>
      </w:pPr>
      <w:r>
        <w:t xml:space="preserve">Your personal Google Sheet has four tabs:</w:t>
      </w:r>
    </w:p>
    <w:p>
      <w:pPr>
        <w:pStyle w:val="ListParagraph"/>
        <w:numPr>
          <w:ilvl w:val="0"/>
          <w:numId w:val="3"/>
        </w:numPr>
        <w:spacing w:after="80"/>
      </w:pPr>
      <w:r>
        <w:rPr>
          <w:b/>
          <w:bCs/>
        </w:rPr>
        <w:t xml:space="preserve">Instructions</w:t>
      </w:r>
      <w:r>
        <w:t xml:space="preserve"> — a short reminder of what you're doing; this document is the long version.</w:t>
      </w:r>
    </w:p>
    <w:p>
      <w:pPr>
        <w:pStyle w:val="ListParagraph"/>
        <w:numPr>
          <w:ilvl w:val="0"/>
          <w:numId w:val="3"/>
        </w:numPr>
        <w:spacing w:after="80"/>
      </w:pPr>
      <w:r>
        <w:rPr>
          <w:b/>
          <w:bCs/>
        </w:rPr>
        <w:t xml:space="preserve">Rubric</w:t>
      </w:r>
      <w:r>
        <w:t xml:space="preserve"> — the same eight criteria with the same anchors, in a one-screen format for quick reference.</w:t>
      </w:r>
    </w:p>
    <w:p>
      <w:pPr>
        <w:pStyle w:val="ListParagraph"/>
        <w:numPr>
          <w:ilvl w:val="0"/>
          <w:numId w:val="3"/>
        </w:numPr>
        <w:spacing w:after="80"/>
      </w:pPr>
      <w:r>
        <w:rPr>
          <w:b/>
          <w:bCs/>
        </w:rPr>
        <w:t xml:space="preserve">Scoring</w:t>
      </w:r>
      <w:r>
        <w:t xml:space="preserve"> — the main tab. One row per QA. The first three rows are the calibration QAs and are pre-filled. Subsequent rows are your assigned production QAs.</w:t>
      </w:r>
    </w:p>
    <w:p>
      <w:pPr>
        <w:pStyle w:val="ListParagraph"/>
        <w:numPr>
          <w:ilvl w:val="0"/>
          <w:numId w:val="3"/>
        </w:numPr>
        <w:spacing w:after="80"/>
      </w:pPr>
      <w:r>
        <w:rPr>
          <w:b/>
          <w:bCs/>
        </w:rPr>
        <w:t xml:space="preserve">Progress</w:t>
      </w:r>
      <w:r>
        <w:t xml:space="preserve"> — automatic summary of how many QAs you've completed, average scores, and any flagged-for-discussion items.</w:t>
      </w:r>
    </w:p>
    <w:p>
      <w:pPr>
        <w:pStyle w:val="Heading3"/>
        <w:spacing w:after="100" w:before="200"/>
      </w:pPr>
      <w:r>
        <w:t xml:space="preserve">Filling in a scoring row</w:t>
      </w:r>
    </w:p>
    <w:p>
      <w:pPr>
        <w:spacing w:after="120"/>
      </w:pPr>
      <w:r>
        <w:t xml:space="preserve">Each row contains: QA metadata (ID, discipline, query type, difficulty), the question, the chatbot's answer, the cards the chatbot retrieved, and (when available) a gold reference. Your job is to fill in the score columns to the right.</w:t>
      </w:r>
    </w:p>
    <w:p>
      <w:pPr>
        <w:spacing w:after="120"/>
      </w:pPr>
      <w:r>
        <w:t xml:space="preserve">Color conventions:</w:t>
      </w:r>
    </w:p>
    <w:p>
      <w:pPr>
        <w:pStyle w:val="ListParagraph"/>
        <w:numPr>
          <w:ilvl w:val="0"/>
          <w:numId w:val="3"/>
        </w:numPr>
        <w:spacing w:after="80"/>
      </w:pPr>
      <w:r>
        <w:t xml:space="preserve">Blue cells are your inputs. Type your scores and comments here.</w:t>
      </w:r>
    </w:p>
    <w:p>
      <w:pPr>
        <w:pStyle w:val="ListParagraph"/>
        <w:numPr>
          <w:ilvl w:val="0"/>
          <w:numId w:val="3"/>
        </w:numPr>
        <w:spacing w:after="80"/>
      </w:pPr>
      <w:r>
        <w:t xml:space="preserve">Black cells are formulas. Don't edit; they compute averages and flag missing-but-required comments.</w:t>
      </w:r>
    </w:p>
    <w:p>
      <w:pPr>
        <w:pStyle w:val="ListParagraph"/>
        <w:numPr>
          <w:ilvl w:val="0"/>
          <w:numId w:val="3"/>
        </w:numPr>
        <w:spacing w:after="80"/>
      </w:pPr>
      <w:r>
        <w:t xml:space="preserve">Yellow cells flag a score that needs a mandatory comment (≤ 2 or ≥ 5). The flag clears when you fill in the comment.</w:t>
      </w:r>
    </w:p>
    <w:p>
      <w:pPr>
        <w:pStyle w:val="Heading3"/>
        <w:spacing w:after="100" w:before="200"/>
      </w:pPr>
      <w:r>
        <w:t xml:space="preserve">Required columns to complete per row</w:t>
      </w:r>
    </w:p>
    <w:p>
      <w:pPr>
        <w:pStyle w:val="ListParagraph"/>
        <w:numPr>
          <w:ilvl w:val="0"/>
          <w:numId w:val="3"/>
        </w:numPr>
        <w:spacing w:after="80"/>
      </w:pPr>
      <w:r>
        <w:t xml:space="preserve">Scores 1–8: 1–5, or N/A. Refusal correctness is N/A when there's no refusal opportunity; Cross-discipline integration is N/A for single-discipline QAs.</w:t>
      </w:r>
    </w:p>
    <w:p>
      <w:pPr>
        <w:pStyle w:val="ListParagraph"/>
        <w:numPr>
          <w:ilvl w:val="0"/>
          <w:numId w:val="3"/>
        </w:numPr>
        <w:spacing w:after="80"/>
      </w:pPr>
      <w:r>
        <w:t xml:space="preserve">Comment per criterion: required for any score ≤ 2 or ≥ 5. Optional but encouraged otherwise.</w:t>
      </w:r>
    </w:p>
    <w:p>
      <w:pPr>
        <w:pStyle w:val="ListParagraph"/>
        <w:numPr>
          <w:ilvl w:val="0"/>
          <w:numId w:val="3"/>
        </w:numPr>
        <w:spacing w:after="80"/>
      </w:pPr>
      <w:r>
        <w:t xml:space="preserve">Overall comment: required, 1–3 sentences. The single most useful thing you write.</w:t>
      </w:r>
    </w:p>
    <w:p>
      <w:pPr>
        <w:pStyle w:val="ListParagraph"/>
        <w:numPr>
          <w:ilvl w:val="0"/>
          <w:numId w:val="3"/>
        </w:numPr>
        <w:spacing w:after="80"/>
      </w:pPr>
      <w:r>
        <w:t xml:space="preserve">Confidence in score: 1 (low — outside your expertise) to 5 (high — squarely in your domain). Not the same as the answer's quality; this is about your confidence in your scoring.</w:t>
      </w:r>
    </w:p>
    <w:p>
      <w:pPr>
        <w:pStyle w:val="ListParagraph"/>
        <w:numPr>
          <w:ilvl w:val="0"/>
          <w:numId w:val="3"/>
        </w:numPr>
        <w:spacing w:after="80"/>
      </w:pPr>
      <w:r>
        <w:t xml:space="preserve">Skill files to revise: list the card IDs (CC-*, MC-*, PD-*, TC-*) or playbook sections you think need work. This is the column that turns your scoring into actionable revision.</w:t>
      </w:r>
    </w:p>
    <w:p>
      <w:pPr>
        <w:pStyle w:val="ListParagraph"/>
        <w:numPr>
          <w:ilvl w:val="0"/>
          <w:numId w:val="3"/>
        </w:numPr>
        <w:spacing w:after="80"/>
      </w:pPr>
      <w:r>
        <w:t xml:space="preserve">Flag for discussion: Y if you want this QA brought up in the next group meeting; N otherwise.</w:t>
      </w:r>
    </w:p>
    <w:p>
      <w:pPr>
        <w:pStyle w:val="ListParagraph"/>
        <w:numPr>
          <w:ilvl w:val="0"/>
          <w:numId w:val="3"/>
        </w:numPr>
        <w:spacing w:after="80"/>
      </w:pPr>
      <w:r>
        <w:t xml:space="preserve">Time to score (minutes): a rough estimate. Helps us calibrate workload for future rounds.</w:t>
      </w:r>
    </w:p>
    <w:p>
      <w:pPr>
        <w:pStyle w:val="Heading1"/>
        <w:spacing w:after="180" w:before="360"/>
      </w:pPr>
      <w:r>
        <w:t xml:space="preserve">5. Conflicts of interest and confidentiality</w:t>
      </w:r>
    </w:p>
    <w:p>
      <w:pPr>
        <w:spacing w:after="120"/>
      </w:pPr>
      <w:r>
        <w:t xml:space="preserve">If you encounter a QA that references one of your own papers, methods, or software — even tangentially — flag it and do not score it. The master tracker will reassign. This includes:</w:t>
      </w:r>
    </w:p>
    <w:p>
      <w:pPr>
        <w:pStyle w:val="ListParagraph"/>
        <w:numPr>
          <w:ilvl w:val="0"/>
          <w:numId w:val="3"/>
        </w:numPr>
        <w:spacing w:after="80"/>
      </w:pPr>
      <w:r>
        <w:t xml:space="preserve">Papers you authored or co-authored, regardless of how long ago.</w:t>
      </w:r>
    </w:p>
    <w:p>
      <w:pPr>
        <w:pStyle w:val="ListParagraph"/>
        <w:numPr>
          <w:ilvl w:val="0"/>
          <w:numId w:val="3"/>
        </w:numPr>
        <w:spacing w:after="80"/>
      </w:pPr>
      <w:r>
        <w:t xml:space="preserve">Software or methods you developed (including open-source contributions).</w:t>
      </w:r>
    </w:p>
    <w:p>
      <w:pPr>
        <w:pStyle w:val="ListParagraph"/>
        <w:numPr>
          <w:ilvl w:val="0"/>
          <w:numId w:val="3"/>
        </w:numPr>
        <w:spacing w:after="80"/>
      </w:pPr>
      <w:r>
        <w:t xml:space="preserve">Datasets you maintain or have substantial involvement with.</w:t>
      </w:r>
    </w:p>
    <w:p>
      <w:pPr>
        <w:pStyle w:val="ListParagraph"/>
        <w:numPr>
          <w:ilvl w:val="0"/>
          <w:numId w:val="3"/>
        </w:numPr>
        <w:spacing w:after="80"/>
      </w:pPr>
      <w:r>
        <w:t xml:space="preserve">Students, postdocs, or close collaborators whose work is referenced.</w:t>
      </w:r>
    </w:p>
    <w:p>
      <w:pPr>
        <w:spacing w:after="120"/>
      </w:pPr>
      <w:r>
        <w:t xml:space="preserve">Conversely, knowing the literature deeply is the reason you were invited; recognizing your own work and naming it as a conflict is the integrity move, not a problem.</w:t>
      </w:r>
    </w:p>
    <w:p>
      <w:pPr>
        <w:pStyle w:val="Heading1"/>
        <w:spacing w:after="180" w:before="360"/>
      </w:pPr>
      <w:r>
        <w:t xml:space="preserve">6. Frequently asked questions</w:t>
      </w:r>
    </w:p>
    <w:p>
      <w:pPr>
        <w:pStyle w:val="Heading3"/>
        <w:spacing w:after="100" w:before="200"/>
      </w:pPr>
      <w:r>
        <w:t xml:space="preserve">Q: A QA is outside my expertise. Do I score it anyway?</w:t>
      </w:r>
    </w:p>
    <w:p>
      <w:pPr>
        <w:spacing w:after="120"/>
      </w:pPr>
      <w:r>
        <w:t xml:space="preserve">Yes, if you can speak to at least Presentation and Citation discipline. Mark Confidence low, write a 1-sentence overall comment explaining what you couldn't evaluate, and skip the score on criteria you genuinely can't judge (leave blank, not 3). We'd rather have a confident score on four criteria than a hedged score on eight.</w:t>
      </w:r>
    </w:p>
    <w:p>
      <w:pPr>
        <w:pStyle w:val="Heading3"/>
        <w:spacing w:after="100" w:before="200"/>
      </w:pPr>
      <w:r>
        <w:t xml:space="preserve">Q: What if the chatbot answer cites a paper I disagree with?</w:t>
      </w:r>
    </w:p>
    <w:p>
      <w:pPr>
        <w:spacing w:after="120"/>
      </w:pPr>
      <w:r>
        <w:t xml:space="preserve">Distinguish disagreement with the paper from disagreement with the citation choice. If the paper is real and supports the claim made, that's a 5 on Citation discipline regardless of your view of the paper. If you think the chatbot should have cited a different (better) paper, lower the Citation or Completeness score with a comment naming the missing reference.</w:t>
      </w:r>
    </w:p>
    <w:p>
      <w:pPr>
        <w:pStyle w:val="Heading3"/>
        <w:spacing w:after="100" w:before="200"/>
      </w:pPr>
      <w:r>
        <w:t xml:space="preserve">Q: The answer is correct but I'd have phrased it differently.</w:t>
      </w:r>
    </w:p>
    <w:p>
      <w:pPr>
        <w:spacing w:after="120"/>
      </w:pPr>
      <w:r>
        <w:t xml:space="preserve">That's a 5 on Technical accuracy. Phrasing preferences belong in Presentation, and only if the phrasing genuinely obscures the meaning. Style choices don't lower other criteria.</w:t>
      </w:r>
    </w:p>
    <w:p>
      <w:pPr>
        <w:pStyle w:val="Heading3"/>
        <w:spacing w:after="100" w:before="200"/>
      </w:pPr>
      <w:r>
        <w:t xml:space="preserve">Q: How long should this take?</w:t>
      </w:r>
    </w:p>
    <w:p>
      <w:pPr>
        <w:spacing w:after="120"/>
      </w:pPr>
      <w:r>
        <w:t xml:space="preserve">Aim for 6–10 minutes per QA in the production round. Calibration QAs may take 15+ minutes because you're reading carefully. If a QA is taking 20+ minutes, flag it — that probably means the QA itself is ambiguous or the answer is hard to evaluate, and we want to know.</w:t>
      </w:r>
    </w:p>
    <w:p>
      <w:pPr>
        <w:pStyle w:val="Heading3"/>
        <w:spacing w:after="100" w:before="200"/>
      </w:pPr>
      <w:r>
        <w:t xml:space="preserve">Q: What happens to my scores?</w:t>
      </w:r>
    </w:p>
    <w:p>
      <w:pPr>
        <w:spacing w:after="120"/>
      </w:pPr>
      <w:r>
        <w:t xml:space="preserve">Scores are aggregated into a per-QA mean and Krippendorff's α across reviewers. The aggregate dataset is released under CC-BY-4.0 per your consent form preference (identity-attached or aggregated-only). Your individual identity is never associated with a score in any public release without your opt-in.</w:t>
      </w:r>
    </w:p>
    <w:p>
      <w:pPr>
        <w:pStyle w:val="Heading3"/>
        <w:spacing w:after="100" w:before="200"/>
      </w:pPr>
      <w:r>
        <w:t xml:space="preserve">Q: I want to change the rubric.</w:t>
      </w:r>
    </w:p>
    <w:p>
      <w:pPr>
        <w:spacing w:after="120"/>
      </w:pPr>
      <w:r>
        <w:t xml:space="preserve">Flag the criterion that needs work in the overall comment, score against the v1 rubric for this round, and we'll roll your feedback into a v2 rubric for any future scoring round. The constraint is that the v1 round needs internally-consistent v1 scores; rubric drift mid-round destroys the signal.</w:t>
      </w:r>
    </w:p>
    <w:p>
      <w:pPr>
        <w:pStyle w:val="Heading1"/>
        <w:spacing w:after="180" w:before="360"/>
      </w:pPr>
      <w:r>
        <w:t xml:space="preserve">7. Logistics and contacts</w:t>
      </w:r>
    </w:p>
    <w:p>
      <w:pPr>
        <w:spacing w:after="120"/>
      </w:pPr>
      <w:r>
        <w:t xml:space="preserve">Communication: Slack workspace #gaia-eval (link in your welcome email), or direct email to the PI.</w:t>
      </w:r>
    </w:p>
    <w:p>
      <w:pPr>
        <w:spacing w:after="120"/>
      </w:pPr>
      <w:r>
        <w:t xml:space="preserve">Deadlines:</w:t>
      </w:r>
    </w:p>
    <w:p>
      <w:pPr>
        <w:pStyle w:val="ListParagraph"/>
        <w:numPr>
          <w:ilvl w:val="0"/>
          <w:numId w:val="3"/>
        </w:numPr>
        <w:spacing w:after="80"/>
      </w:pPr>
      <w:r>
        <w:t xml:space="preserve">Calibration round (3 QAs): one week after the kickoff meeting.</w:t>
      </w:r>
    </w:p>
    <w:p>
      <w:pPr>
        <w:pStyle w:val="ListParagraph"/>
        <w:numPr>
          <w:ilvl w:val="0"/>
          <w:numId w:val="3"/>
        </w:numPr>
        <w:spacing w:after="80"/>
      </w:pPr>
      <w:r>
        <w:t xml:space="preserve">Production scoring (~25 QAs): 6 weeks after the calibration deadline.</w:t>
      </w:r>
    </w:p>
    <w:p>
      <w:pPr>
        <w:pStyle w:val="ListParagraph"/>
        <w:numPr>
          <w:ilvl w:val="0"/>
          <w:numId w:val="3"/>
        </w:numPr>
        <w:spacing w:after="80"/>
      </w:pPr>
      <w:r>
        <w:t xml:space="preserve">If you fall behind, tell us — we'd rather reassign than push past a missed deadline.</w:t>
      </w:r>
    </w:p>
    <w:p>
      <w:pPr>
        <w:spacing w:after="120"/>
      </w:pPr>
      <w:r>
        <w:t xml:space="preserve">Honoraria and co-authorship: per your signed signup form. We acknowledge that institutional policy varies; we accept declined honoraria graciously.</w:t>
      </w:r>
    </w:p>
    <w:p>
      <w:pPr>
        <w:spacing w:after="120"/>
      </w:pPr>
      <w:r>
        <w:t xml:space="preserve">Data use and consent: per your signed signup form. Any change to your consent preferences can be made by emailing the PI at any point before the final dataset release.</w:t>
      </w:r>
    </w:p>
    <w:p>
      <w:pPr>
        <w:pBdr>
          <w:top w:val="single" w:color="1F4E79" w:sz="6" w:space="4"/>
        </w:pBdr>
        <w:spacing w:after="240" w:before="480"/>
      </w:pPr>
      <w:r>
        <w:rPr>
          <w:i/>
          <w:iCs/>
          <w:color w:val="606060"/>
        </w:rPr>
        <w:t xml:space="preserve">Thank you. This work is the difference between a chatbot we can publish about and one we can't.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Gaia translator — reviewer instructions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Reviewer instructions — Gaia translator evaluation v1</dc:title>
  <dc:creator>Gaia translator project</dc:creator>
  <dc:description>Instructions for domain-expert reviewers scoring Gaia translator chatbot answers.</dc:description>
  <cp:lastModifiedBy>Un-named</cp:lastModifiedBy>
  <cp:revision>1</cp:revision>
  <dcterms:created xsi:type="dcterms:W3CDTF">2026-05-14T12:59:00.985Z</dcterms:created>
  <dcterms:modified xsi:type="dcterms:W3CDTF">2026-05-14T12:59:00.985Z</dcterms:modified>
</cp:coreProperties>
</file>

<file path=docProps/custom.xml><?xml version="1.0" encoding="utf-8"?>
<Properties xmlns="http://schemas.openxmlformats.org/officeDocument/2006/custom-properties" xmlns:vt="http://schemas.openxmlformats.org/officeDocument/2006/docPropsVTypes"/>
</file>