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Arial" w:cs="Arial" w:eastAsia="Arial" w:hAnsi="Arial"/>
          <w:b w:val="1"/>
          <w:bCs w:val="1"/>
          <w:color w:val="595959"/>
          <w:sz w:val="22"/>
          <w:szCs w:val="22"/>
          <w:rtl w:val="0"/>
        </w:rPr>
        <w:t xml:space="preserve">INSTITUTO TECNOLÓGICO DE BUENOS AIRES</w:t>
      </w:r>
      <w:r w:rsidDel="00000000" w:rsidR="00000000" w:rsidRPr="00000000">
        <w:rPr>
          <w:rtl w:val="0"/>
        </w:rPr>
      </w:r>
    </w:p>
    <w:p w:rsidR="00000000" w:rsidDel="00000000" w:rsidP="00000000" w:rsidRDefault="00000000" w:rsidRPr="00000000" w14:paraId="00000005">
      <w:pPr>
        <w:spacing w:after="480" w:before="0" w:lineRule="auto"/>
        <w:jc w:val="center"/>
        <w:rPr/>
      </w:pPr>
      <w:r w:rsidDel="00000000" w:rsidR="00000000" w:rsidRPr="00000000">
        <w:rPr>
          <w:rFonts w:ascii="Arial" w:cs="Arial" w:eastAsia="Arial" w:hAnsi="Arial"/>
          <w:color w:val="595959"/>
          <w:sz w:val="22"/>
          <w:szCs w:val="22"/>
          <w:rtl w:val="0"/>
        </w:rPr>
        <w:t xml:space="preserve">Ciencia de Datos Aplicada</w:t>
      </w:r>
      <w:r w:rsidDel="00000000" w:rsidR="00000000" w:rsidRPr="00000000">
        <w:rPr>
          <w:rtl w:val="0"/>
        </w:rPr>
      </w:r>
    </w:p>
    <w:p w:rsidR="00000000" w:rsidDel="00000000" w:rsidP="00000000" w:rsidRDefault="00000000" w:rsidRPr="00000000" w14:paraId="00000006">
      <w:pPr>
        <w:spacing w:after="120" w:before="0" w:lineRule="auto"/>
        <w:jc w:val="center"/>
        <w:rPr/>
      </w:pPr>
      <w:r w:rsidDel="00000000" w:rsidR="00000000" w:rsidRPr="00000000">
        <w:rPr>
          <w:rFonts w:ascii="Arial" w:cs="Arial" w:eastAsia="Arial" w:hAnsi="Arial"/>
          <w:b w:val="1"/>
          <w:bCs w:val="1"/>
          <w:color w:val="1f4e79"/>
          <w:sz w:val="52"/>
          <w:szCs w:val="52"/>
          <w:rtl w:val="0"/>
        </w:rPr>
        <w:t xml:space="preserve">Predicción del Valor de Mercado</w:t>
      </w:r>
      <w:r w:rsidDel="00000000" w:rsidR="00000000" w:rsidRPr="00000000">
        <w:rPr>
          <w:rtl w:val="0"/>
        </w:rPr>
      </w:r>
    </w:p>
    <w:p w:rsidR="00000000" w:rsidDel="00000000" w:rsidP="00000000" w:rsidRDefault="00000000" w:rsidRPr="00000000" w14:paraId="00000007">
      <w:pPr>
        <w:spacing w:after="120" w:before="0" w:lineRule="auto"/>
        <w:jc w:val="center"/>
        <w:rPr/>
      </w:pPr>
      <w:r w:rsidDel="00000000" w:rsidR="00000000" w:rsidRPr="00000000">
        <w:rPr>
          <w:rFonts w:ascii="Arial" w:cs="Arial" w:eastAsia="Arial" w:hAnsi="Arial"/>
          <w:b w:val="1"/>
          <w:bCs w:val="1"/>
          <w:color w:val="1f4e79"/>
          <w:sz w:val="52"/>
          <w:szCs w:val="52"/>
          <w:rtl w:val="0"/>
        </w:rPr>
        <w:t xml:space="preserve">de Jugadores de Fútbol</w:t>
      </w:r>
      <w:r w:rsidDel="00000000" w:rsidR="00000000" w:rsidRPr="00000000">
        <w:rPr>
          <w:rtl w:val="0"/>
        </w:rPr>
      </w:r>
    </w:p>
    <w:p w:rsidR="00000000" w:rsidDel="00000000" w:rsidP="00000000" w:rsidRDefault="00000000" w:rsidRPr="00000000" w14:paraId="00000008">
      <w:pPr>
        <w:spacing w:after="120" w:before="120" w:lineRule="auto"/>
        <w:jc w:val="center"/>
        <w:rPr/>
      </w:pPr>
      <w:r w:rsidDel="00000000" w:rsidR="00000000" w:rsidRPr="00000000">
        <w:rPr>
          <w:rFonts w:ascii="Arial" w:cs="Arial" w:eastAsia="Arial" w:hAnsi="Arial"/>
          <w:i w:val="1"/>
          <w:iCs w:val="1"/>
          <w:color w:val="2e75b6"/>
          <w:sz w:val="26"/>
          <w:szCs w:val="26"/>
          <w:rtl w:val="0"/>
        </w:rPr>
        <w:t xml:space="preserve">Entregable 2 — Recopilación y Preparación de Datos (EDA)</w:t>
      </w:r>
      <w:r w:rsidDel="00000000" w:rsidR="00000000" w:rsidRPr="00000000">
        <w:rPr>
          <w:rtl w:val="0"/>
        </w:rPr>
      </w:r>
    </w:p>
    <w:p w:rsidR="00000000" w:rsidDel="00000000" w:rsidP="00000000" w:rsidRDefault="00000000" w:rsidRPr="00000000" w14:paraId="00000009">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1f4e79"/>
                <w:sz w:val="24"/>
                <w:szCs w:val="24"/>
                <w:rtl w:val="0"/>
              </w:rPr>
              <w:t xml:space="preserve">Octavio Argonz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1f4e79"/>
                <w:sz w:val="24"/>
                <w:szCs w:val="24"/>
                <w:rtl w:val="0"/>
              </w:rPr>
              <w:t xml:space="preserve">Matias Sola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jc w:val="center"/>
              <w:rPr/>
            </w:pPr>
            <w:r w:rsidDel="00000000" w:rsidR="00000000" w:rsidRPr="00000000">
              <w:rPr>
                <w:rFonts w:ascii="Arial" w:cs="Arial" w:eastAsia="Arial" w:hAnsi="Arial"/>
                <w:color w:val="595959"/>
                <w:sz w:val="20"/>
                <w:szCs w:val="20"/>
                <w:rtl w:val="0"/>
              </w:rPr>
              <w:t xml:space="preserve">Lic. en Negocios y Tecnología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jc w:val="center"/>
              <w:rPr/>
            </w:pPr>
            <w:r w:rsidDel="00000000" w:rsidR="00000000" w:rsidRPr="00000000">
              <w:rPr>
                <w:rFonts w:ascii="Arial" w:cs="Arial" w:eastAsia="Arial" w:hAnsi="Arial"/>
                <w:color w:val="595959"/>
                <w:sz w:val="20"/>
                <w:szCs w:val="20"/>
                <w:rtl w:val="0"/>
              </w:rPr>
              <w:t xml:space="preserve">Lic. en Negocios y Tecnología</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0" w:before="240" w:lineRule="auto"/>
        <w:jc w:val="center"/>
        <w:rPr/>
      </w:pPr>
      <w:r w:rsidDel="00000000" w:rsidR="00000000" w:rsidRPr="00000000">
        <w:rPr>
          <w:rFonts w:ascii="Arial" w:cs="Arial" w:eastAsia="Arial" w:hAnsi="Arial"/>
          <w:color w:val="595959"/>
          <w:sz w:val="22"/>
          <w:szCs w:val="22"/>
          <w:rtl w:val="0"/>
        </w:rPr>
        <w:t xml:space="preserve">Abril 2026</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Índice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19"/>
                <w:szCs w:val="19"/>
                <w:rtl w:val="0"/>
              </w:rPr>
              <w:t xml:space="preserve">Sección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19"/>
                <w:szCs w:val="19"/>
                <w:rtl w:val="0"/>
              </w:rPr>
              <w:t xml:space="preserve">Contenido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19"/>
                <w:szCs w:val="19"/>
                <w:rtl w:val="0"/>
              </w:rPr>
              <w:t xml:space="preserve">0. 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19"/>
                <w:szCs w:val="19"/>
                <w:rtl w:val="0"/>
              </w:rPr>
              <w:t xml:space="preserve">Qué busca predecir el proyecto y por qué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19"/>
                <w:szCs w:val="19"/>
                <w:rtl w:val="0"/>
              </w:rPr>
              <w:t xml:space="preserve">1.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19"/>
                <w:szCs w:val="19"/>
                <w:rtl w:val="0"/>
              </w:rPr>
              <w:t xml:space="preserve">Origen, tablas y justificación del dataset elegido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19"/>
                <w:szCs w:val="19"/>
                <w:rtl w:val="0"/>
              </w:rPr>
              <w:t xml:space="preserve">2. EDA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19"/>
                <w:szCs w:val="19"/>
                <w:rtl w:val="0"/>
              </w:rPr>
              <w:t xml:space="preserve">Tipos de variables, distribuciones, outliers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19"/>
                <w:szCs w:val="19"/>
                <w:rtl w:val="0"/>
              </w:rPr>
              <w:t xml:space="preserve">3. Valores faltantes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19"/>
                <w:szCs w:val="19"/>
                <w:rtl w:val="0"/>
              </w:rPr>
              <w:t xml:space="preserve">Diagnóstico de nulos por tabla y columna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19"/>
                <w:szCs w:val="19"/>
                <w:rtl w:val="0"/>
              </w:rPr>
              <w:t xml:space="preserve">4. Calidad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19"/>
                <w:szCs w:val="19"/>
                <w:rtl w:val="0"/>
              </w:rPr>
              <w:t xml:space="preserve">Duplicados, inconsistencias, decisiones tomadas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19"/>
                <w:szCs w:val="19"/>
                <w:rtl w:val="0"/>
              </w:rPr>
              <w:t xml:space="preserve">5. Dataset unificado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19"/>
                <w:szCs w:val="19"/>
                <w:rtl w:val="0"/>
              </w:rPr>
              <w:t xml:space="preserve">Construcción del dataframe analítico final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19"/>
                <w:szCs w:val="19"/>
                <w:rtl w:val="0"/>
              </w:rPr>
              <w:t xml:space="preserve">6. Transformaciones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19"/>
                <w:szCs w:val="19"/>
                <w:rtl w:val="0"/>
              </w:rPr>
              <w:t xml:space="preserve">Log del target, encoding de posición, normalización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19"/>
                <w:szCs w:val="19"/>
                <w:rtl w:val="0"/>
              </w:rPr>
              <w:t xml:space="preserve">7. Feature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19"/>
                <w:szCs w:val="19"/>
                <w:rtl w:val="0"/>
              </w:rPr>
              <w:t xml:space="preserve">4 variables derivadas construidas desde los CSVs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19"/>
                <w:szCs w:val="19"/>
                <w:rtl w:val="0"/>
              </w:rPr>
              <w:t xml:space="preserve">8. Dataset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19"/>
                <w:szCs w:val="19"/>
                <w:rtl w:val="0"/>
              </w:rPr>
              <w:t xml:space="preserve">Shape, cobertura y correlaciones con el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19"/>
                <w:szCs w:val="19"/>
                <w:rtl w:val="0"/>
              </w:rPr>
              <w:t xml:space="preserve">9. Reflexión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19"/>
                <w:szCs w:val="19"/>
                <w:rtl w:val="0"/>
              </w:rPr>
              <w:t xml:space="preserve">Decisiones, dificultades y próximos pasos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19"/>
                <w:szCs w:val="19"/>
                <w:rtl w:val="0"/>
              </w:rPr>
              <w:t xml:space="preserve">Anexo — Nota técnica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19"/>
                <w:szCs w:val="19"/>
                <w:rtl w:val="0"/>
              </w:rPr>
              <w:t xml:space="preserve">Clarificación sobre el índice de inflación de mercado</w:t>
            </w:r>
            <w:r w:rsidDel="00000000" w:rsidR="00000000" w:rsidRPr="00000000">
              <w:rPr>
                <w:rtl w:val="0"/>
              </w:rPr>
            </w:r>
          </w:p>
        </w:tc>
      </w:tr>
    </w:tbl>
    <w:p w:rsidR="00000000" w:rsidDel="00000000" w:rsidP="00000000" w:rsidRDefault="00000000" w:rsidRPr="00000000" w14:paraId="0000002B">
      <w:pPr>
        <w:rPr/>
      </w:pPr>
      <w:r w:rsidDel="00000000" w:rsidR="00000000" w:rsidRPr="00000000">
        <w:br w:type="page"/>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00.0" w:type="dxa"/>
              <w:left w:w="200.0" w:type="dxa"/>
              <w:bottom w:w="100.0" w:type="dxa"/>
              <w:right w:w="2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1f4e79"/>
                <w:sz w:val="24"/>
                <w:szCs w:val="24"/>
                <w:rtl w:val="0"/>
              </w:rPr>
              <w:t xml:space="preserve">0. Objetivo del Proyecto</w:t>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Fonts w:ascii="Arial" w:cs="Arial" w:eastAsia="Arial" w:hAnsi="Arial"/>
          <w:color w:val="000000"/>
          <w:sz w:val="22"/>
          <w:szCs w:val="22"/>
          <w:rtl w:val="0"/>
        </w:rPr>
        <w:t xml:space="preserve">Este notebook corresponde al Entregable 2 de la materia Ciencia de Datos Aplicada (ITBA). Toma como base la propuesta aprobada en el Entregable 1 y avanza sobre la etapa de adquisición, exploración y preparación del dataset que se usará para entrenar los modelos de Machine Learning en el Entregable 3.</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0"/>
        <w:gridCol w:w="7890"/>
        <w:tblGridChange w:id="0">
          <w:tblGrid>
            <w:gridCol w:w="1470"/>
            <w:gridCol w:w="78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160.0" w:type="dxa"/>
              <w:bottom w:w="120.0" w:type="dxa"/>
              <w:right w:w="160.0" w:type="dxa"/>
            </w:tcMar>
            <w:vAlign w:val="cente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1f4e79"/>
                <w:sz w:val="20"/>
                <w:szCs w:val="20"/>
                <w:rtl w:val="0"/>
              </w:rPr>
              <w:t xml:space="preserve">🎯 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120.0" w:type="dxa"/>
              <w:left w:w="160.0" w:type="dxa"/>
              <w:bottom w:w="120.0" w:type="dxa"/>
              <w:right w:w="160.0" w:type="dxa"/>
            </w:tcMar>
          </w:tcPr>
          <w:p w:rsidR="00000000" w:rsidDel="00000000" w:rsidP="00000000" w:rsidRDefault="00000000" w:rsidRPr="00000000" w14:paraId="00000031">
            <w:pPr>
              <w:rPr/>
            </w:pPr>
            <w:r w:rsidDel="00000000" w:rsidR="00000000" w:rsidRPr="00000000">
              <w:rPr>
                <w:rFonts w:ascii="Arial" w:cs="Arial" w:eastAsia="Arial" w:hAnsi="Arial"/>
                <w:color w:val="000000"/>
                <w:sz w:val="20"/>
                <w:szCs w:val="20"/>
                <w:rtl w:val="0"/>
              </w:rPr>
              <w:t xml:space="preserve">Predecir el valor de mercado (en euros) de jugadores de fútbol profesional en la próxima ventana de transferencias, usando sus estadísticas de rendimiento, perfil demográfico e historial de valuaciones previas.</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Fonts w:ascii="Arial" w:cs="Arial" w:eastAsia="Arial" w:hAnsi="Arial"/>
          <w:color w:val="000000"/>
          <w:sz w:val="22"/>
          <w:szCs w:val="22"/>
          <w:rtl w:val="0"/>
        </w:rPr>
        <w:t xml:space="preserve">Transfermarkt es el sitio de referencia mundial para valuaciones de jugadores. Hoy esas valuaciones las produce un equipo editorial de forma subjetiva. Nuestro modelo busca replicar y eventualmente superar esa estimación utilizando datos objetivos de rendimiento, creando una herramienta útil para clubes, representantes y fondos de inversión.</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b w:val="1"/>
          <w:bCs w:val="1"/>
          <w:color w:val="000000"/>
          <w:sz w:val="22"/>
          <w:szCs w:val="22"/>
          <w:rtl w:val="0"/>
        </w:rPr>
        <w:t xml:space="preserve">Tipo de problema:</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Regresión continua: el target es el valor de mercado en euros.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objetivo: market_value_in_eur de player_valuations.csv.</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448578305"/>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Modelos a comparar (Entregable 3): Regresión Lineal/Ridge → Random Forest → XGBoost.</w:t>
          </w:r>
        </w:sdtContent>
      </w:sdt>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b w:val="1"/>
          <w:bCs w:val="1"/>
          <w:color w:val="000000"/>
          <w:sz w:val="22"/>
          <w:szCs w:val="22"/>
          <w:rtl w:val="0"/>
        </w:rPr>
        <w:t xml:space="preserve">KPIs de éxito definidos en el Entregable 1:</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544085700"/>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R² ≥ 0.70 en conjunto de test</w:t>
          </w:r>
        </w:sdtContent>
      </w:sdt>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RMSE y MAE expresados en millones de euros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Identificación de al menos 4 variables con alta incidencia en el valor</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 de entrenamiento con al menos 10.000 registros jugador-temporada</w:t>
      </w:r>
    </w:p>
    <w:p w:rsidR="00000000" w:rsidDel="00000000" w:rsidP="00000000" w:rsidRDefault="00000000" w:rsidRPr="00000000" w14:paraId="0000003F">
      <w:pPr>
        <w:rPr/>
      </w:pPr>
      <w:r w:rsidDel="00000000" w:rsidR="00000000" w:rsidRPr="00000000">
        <w:br w:type="page"/>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00.0" w:type="dxa"/>
              <w:left w:w="200.0" w:type="dxa"/>
              <w:bottom w:w="100.0" w:type="dxa"/>
              <w:right w:w="20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1f4e79"/>
                <w:sz w:val="24"/>
                <w:szCs w:val="24"/>
                <w:rtl w:val="0"/>
              </w:rPr>
              <w:t xml:space="preserve">1. Descripción del Dataset</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Origen</w:t>
      </w: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Fonts w:ascii="Arial" w:cs="Arial" w:eastAsia="Arial" w:hAnsi="Arial"/>
          <w:color w:val="000000"/>
          <w:sz w:val="22"/>
          <w:szCs w:val="22"/>
          <w:rtl w:val="0"/>
        </w:rPr>
        <w:t xml:space="preserve">Dataset: Football Data from Transfermarkt — publicado en Kaggle por el usuario davidcariboo. Los datos provienen de scraping automatizado semanal del sitio Transfermarkt.com. Son datos públicos, actualizados semanalmente y disponibles en:</w:t>
      </w:r>
      <w:r w:rsidDel="00000000" w:rsidR="00000000" w:rsidRPr="00000000">
        <w:rPr>
          <w:rtl w:val="0"/>
        </w:rPr>
      </w:r>
    </w:p>
    <w:p w:rsidR="00000000" w:rsidDel="00000000" w:rsidP="00000000" w:rsidRDefault="00000000" w:rsidRPr="00000000" w14:paraId="00000044">
      <w:pPr>
        <w:spacing w:after="80" w:before="80" w:lineRule="auto"/>
        <w:rPr/>
      </w:pPr>
      <w:r w:rsidDel="00000000" w:rsidR="00000000" w:rsidRPr="00000000">
        <w:rPr>
          <w:rFonts w:ascii="Arial" w:cs="Arial" w:eastAsia="Arial" w:hAnsi="Arial"/>
          <w:i w:val="1"/>
          <w:iCs w:val="1"/>
          <w:color w:val="2e75b6"/>
          <w:sz w:val="22"/>
          <w:szCs w:val="22"/>
          <w:rtl w:val="0"/>
        </w:rPr>
        <w:t xml:space="preserve">kaggle.com/datasets/davidcariboo/player-scores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Tablas utilizadas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1280"/>
        <w:gridCol w:w="4280"/>
        <w:tblGridChange w:id="0">
          <w:tblGrid>
            <w:gridCol w:w="1600"/>
            <w:gridCol w:w="2200"/>
            <w:gridCol w:w="1280"/>
            <w:gridCol w:w="4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19"/>
                <w:szCs w:val="19"/>
                <w:rtl w:val="0"/>
              </w:rPr>
              <w:t xml:space="preserve">Tabla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19"/>
                <w:szCs w:val="19"/>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19"/>
                <w:szCs w:val="19"/>
                <w:rtl w:val="0"/>
              </w:rPr>
              <w:t xml:space="preserve">Filas aprox.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19"/>
                <w:szCs w:val="19"/>
                <w:rtl w:val="0"/>
              </w:rPr>
              <w:t xml:space="preserve">Variables clave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19"/>
                <w:szCs w:val="19"/>
                <w:rtl w:val="0"/>
              </w:rPr>
              <w:t xml:space="preserve">players.csv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19"/>
                <w:szCs w:val="19"/>
                <w:rtl w:val="0"/>
              </w:rPr>
              <w:t xml:space="preserve">Perfil de cada jugador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19"/>
                <w:szCs w:val="19"/>
                <w:rtl w:val="0"/>
              </w:rPr>
              <w:t xml:space="preserve">30.000+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19"/>
                <w:szCs w:val="19"/>
                <w:rtl w:val="0"/>
              </w:rPr>
              <w:t xml:space="preserve">player_id, name, position, sub_position, date_of_birth, market_value_in_eur, current_club_domestic_competition_id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19"/>
                <w:szCs w:val="19"/>
                <w:rtl w:val="0"/>
              </w:rPr>
              <w:t xml:space="preserve">appearances.csv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19"/>
                <w:szCs w:val="19"/>
                <w:rtl w:val="0"/>
              </w:rPr>
              <w:t xml:space="preserve">Estadísticas por partido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19"/>
                <w:szCs w:val="19"/>
                <w:rtl w:val="0"/>
              </w:rPr>
              <w:t xml:space="preserve">1.500.000+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19"/>
                <w:szCs w:val="19"/>
                <w:rtl w:val="0"/>
              </w:rPr>
              <w:t xml:space="preserve">player_id, game_id, goals, assists, minutes_played, red_cards, yellow_cards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19"/>
                <w:szCs w:val="19"/>
                <w:rtl w:val="0"/>
              </w:rPr>
              <w:t xml:space="preserve">player_valuations.csv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19"/>
                <w:szCs w:val="19"/>
                <w:rtl w:val="0"/>
              </w:rPr>
              <w:t xml:space="preserve">Historial de valuaciones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19"/>
                <w:szCs w:val="19"/>
                <w:rtl w:val="0"/>
              </w:rPr>
              <w:t xml:space="preserve">~500.000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19"/>
                <w:szCs w:val="19"/>
                <w:rtl w:val="0"/>
              </w:rPr>
              <w:t xml:space="preserve">player_id, date, market_value_in_eur, player_club_domestic_competition_id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19"/>
                <w:szCs w:val="19"/>
                <w:rtl w:val="0"/>
              </w:rPr>
              <w:t xml:space="preserve">transfers.csv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19"/>
                <w:szCs w:val="19"/>
                <w:rtl w:val="0"/>
              </w:rPr>
              <w:t xml:space="preserve">Transferencias reales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19"/>
                <w:szCs w:val="19"/>
                <w:rtl w:val="0"/>
              </w:rPr>
              <w:t xml:space="preserve">~100.000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19"/>
                <w:szCs w:val="19"/>
                <w:rtl w:val="0"/>
              </w:rPr>
              <w:t xml:space="preserve">player_id, transfer_fee, from_club_id, to_club_id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19"/>
                <w:szCs w:val="19"/>
                <w:rtl w:val="0"/>
              </w:rPr>
              <w:t xml:space="preserve">competitions.csv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19"/>
                <w:szCs w:val="19"/>
                <w:rtl w:val="0"/>
              </w:rPr>
              <w:t xml:space="preserve">Info de ligas/torneos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19"/>
                <w:szCs w:val="19"/>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19"/>
                <w:szCs w:val="19"/>
                <w:rtl w:val="0"/>
              </w:rPr>
              <w:t xml:space="preserve">competition_id, name, country_name, domestic_league_code</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Justificación de la elección</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Volumen: más de 1.5 millones de apariciones y 30.000 jugadores permiten superar ampliamente el mínimo de 10.000 registros requerido.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temporal: desde el año 2000 hasta la actualidad, con actualizaciones semanales.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relacional: las tablas se vinculan por player_id y game_id, permitiendo construir un dataset analítico rico y cruzado.</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objetivo disponible: player_valuations.csv contiene el historial de valuaciones con fecha exacta, lo que permite construir una predicción prospectiva.</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independiente: transfers.csv contiene los fees reales de transferencias, que pueden usarse para validar las predicciones del modelo contra precios de mercado efectivos.</w:t>
      </w:r>
    </w:p>
    <w:p w:rsidR="00000000" w:rsidDel="00000000" w:rsidP="00000000" w:rsidRDefault="00000000" w:rsidRPr="00000000" w14:paraId="00000066">
      <w:pPr>
        <w:rPr/>
      </w:pPr>
      <w:r w:rsidDel="00000000" w:rsidR="00000000" w:rsidRPr="00000000">
        <w:br w:type="page"/>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00.0" w:type="dxa"/>
              <w:left w:w="200.0" w:type="dxa"/>
              <w:bottom w:w="100.0" w:type="dxa"/>
              <w:right w:w="20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1f4e79"/>
                <w:sz w:val="24"/>
                <w:szCs w:val="24"/>
                <w:rtl w:val="0"/>
              </w:rPr>
              <w:t xml:space="preserve">2. Análisis Exploratorio de Datos (EDA)</w:t>
            </w: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2.1 Tipos de Variables</w:t>
      </w: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Fonts w:ascii="Arial" w:cs="Arial" w:eastAsia="Arial" w:hAnsi="Arial"/>
          <w:color w:val="000000"/>
          <w:sz w:val="22"/>
          <w:szCs w:val="22"/>
          <w:rtl w:val="0"/>
        </w:rPr>
        <w:t xml:space="preserve">Las tablas del dataset contienen los siguientes tipos de variables: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60"/>
        <w:tblGridChange w:id="0">
          <w:tblGrid>
            <w:gridCol w:w="2200"/>
            <w:gridCol w:w="40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19"/>
                <w:szCs w:val="19"/>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19"/>
                <w:szCs w:val="19"/>
                <w:rtl w:val="0"/>
              </w:rPr>
              <w:t xml:space="preserve">Variables representativas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19"/>
                <w:szCs w:val="19"/>
                <w:rtl w:val="0"/>
              </w:rPr>
              <w:t xml:space="preserve">Tabla origen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19"/>
                <w:szCs w:val="19"/>
                <w:rtl w:val="0"/>
              </w:rPr>
              <w:t xml:space="preserve">Numéricas continuas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19"/>
                <w:szCs w:val="19"/>
                <w:rtl w:val="0"/>
              </w:rPr>
              <w:t xml:space="preserve">market_value_in_eur, transfer_fee, goals, assists, minutes_played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19"/>
                <w:szCs w:val="19"/>
                <w:rtl w:val="0"/>
              </w:rPr>
              <w:t xml:space="preserve">players, appearances, transfers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19"/>
                <w:szCs w:val="19"/>
                <w:rtl w:val="0"/>
              </w:rPr>
              <w:t xml:space="preserve">Numéricas enteras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19"/>
                <w:szCs w:val="19"/>
                <w:rtl w:val="0"/>
              </w:rPr>
              <w:t xml:space="preserve">n_apariciones, total_goles, total_asistencias, red_cards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19"/>
                <w:szCs w:val="19"/>
                <w:rtl w:val="0"/>
              </w:rPr>
              <w:t xml:space="preserve">appearances (agregada)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19"/>
                <w:szCs w:val="19"/>
                <w:rtl w:val="0"/>
              </w:rPr>
              <w:t xml:space="preserve">Categóricas nominales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19"/>
                <w:szCs w:val="19"/>
                <w:rtl w:val="0"/>
              </w:rPr>
              <w:t xml:space="preserve">position, sub_position, country_of_citizenship, foot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19"/>
                <w:szCs w:val="19"/>
                <w:rtl w:val="0"/>
              </w:rPr>
              <w:t xml:space="preserve">players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19"/>
                <w:szCs w:val="19"/>
                <w:rtl w:val="0"/>
              </w:rPr>
              <w:t xml:space="preserve">Fechas/timestamps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19"/>
                <w:szCs w:val="19"/>
                <w:rtl w:val="0"/>
              </w:rPr>
              <w:t xml:space="preserve">date_of_birth, date (valuaciones), 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19"/>
                <w:szCs w:val="19"/>
                <w:rtl w:val="0"/>
              </w:rPr>
              <w:t xml:space="preserve">players, player_valuations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19"/>
                <w:szCs w:val="19"/>
                <w:rtl w:val="0"/>
              </w:rPr>
              <w:t xml:space="preserve">Identificadores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19"/>
                <w:szCs w:val="19"/>
                <w:rtl w:val="0"/>
              </w:rPr>
              <w:t xml:space="preserve">player_id, game_id, club_id, competition_id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19"/>
                <w:szCs w:val="19"/>
                <w:rtl w:val="0"/>
              </w:rPr>
              <w:t xml:space="preserve">todas</w:t>
            </w: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2.2 Distribución del target — market_value_in_eur</w:t>
      </w:r>
      <w:r w:rsidDel="00000000" w:rsidR="00000000" w:rsidRPr="00000000">
        <w:rPr>
          <w:rtl w:val="0"/>
        </w:rPr>
      </w:r>
    </w:p>
    <w:p w:rsidR="00000000" w:rsidDel="00000000" w:rsidP="00000000" w:rsidRDefault="00000000" w:rsidRPr="00000000" w14:paraId="00000080">
      <w:pPr>
        <w:spacing w:after="80" w:before="80" w:lineRule="auto"/>
        <w:rPr/>
      </w:pPr>
      <w:r w:rsidDel="00000000" w:rsidR="00000000" w:rsidRPr="00000000">
        <w:rPr>
          <w:rFonts w:ascii="Arial" w:cs="Arial" w:eastAsia="Arial" w:hAnsi="Arial"/>
          <w:color w:val="000000"/>
          <w:sz w:val="22"/>
          <w:szCs w:val="22"/>
          <w:rtl w:val="0"/>
        </w:rPr>
        <w:t xml:space="preserve">Esta es la visualización más importante del EDA. La distribución del valor de mercado está fuertemente sesgada a la derecha:</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160.0" w:type="dxa"/>
              <w:bottom w:w="120.0" w:type="dxa"/>
              <w:right w:w="16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1f4e79"/>
                <w:sz w:val="20"/>
                <w:szCs w:val="20"/>
                <w:rtl w:val="0"/>
              </w:rPr>
              <w:t xml:space="preserve">📊 RESULTADO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120.0" w:type="dxa"/>
              <w:left w:w="160.0" w:type="dxa"/>
              <w:bottom w:w="120.0" w:type="dxa"/>
              <w:right w:w="160.0" w:type="dxa"/>
            </w:tcMar>
          </w:tcPr>
          <w:p w:rsidR="00000000" w:rsidDel="00000000" w:rsidP="00000000" w:rsidRDefault="00000000" w:rsidRPr="00000000" w14:paraId="00000083">
            <w:pPr>
              <w:rPr/>
            </w:pPr>
            <w:r w:rsidDel="00000000" w:rsidR="00000000" w:rsidRPr="00000000">
              <w:rPr>
                <w:rFonts w:ascii="Arial" w:cs="Arial" w:eastAsia="Arial" w:hAnsi="Arial"/>
                <w:color w:val="000000"/>
                <w:sz w:val="20"/>
                <w:szCs w:val="20"/>
                <w:rtl w:val="0"/>
              </w:rPr>
              <w:t xml:space="preserve">La gran mayoría de los jugadores tiene un valor menor a €5M. Unos pocos (Mbappé, Haaland, Yamal) alcanzan valores de €150M–€200M. Esta distribución hace imposible usar el target directamente en regresión lineal.</w:t>
            </w: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60.0" w:type="dxa"/>
              <w:bottom w:w="120.0" w:type="dxa"/>
              <w:right w:w="16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1f4e79"/>
                <w:sz w:val="20"/>
                <w:szCs w:val="20"/>
                <w:rtl w:val="0"/>
              </w:rPr>
              <w:t xml:space="preserve">Escala ORIGINAL</w:t>
            </w: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w:cs="Arial" w:eastAsia="Arial" w:hAnsi="Arial"/>
                <w:sz w:val="16"/>
                <w:szCs w:val="16"/>
                <w:rtl w:val="0"/>
              </w:rPr>
              <w:t xml:space="preserve"> </w:t>
            </w:r>
            <w:r w:rsidDel="00000000" w:rsidR="00000000" w:rsidRPr="00000000">
              <w:rPr>
                <w:rtl w:val="0"/>
              </w:rPr>
            </w:r>
          </w:p>
          <w:p w:rsidR="00000000" w:rsidDel="00000000" w:rsidP="00000000" w:rsidRDefault="00000000" w:rsidRPr="00000000" w14:paraId="00000087">
            <w:pPr>
              <w:rPr/>
            </w:pPr>
            <w:r w:rsidDel="00000000" w:rsidR="00000000" w:rsidRPr="00000000">
              <w:rPr>
                <w:rFonts w:ascii="Courier New" w:cs="Courier New" w:eastAsia="Courier New" w:hAnsi="Courier New"/>
                <w:color w:val="1a5276"/>
                <w:sz w:val="14"/>
                <w:szCs w:val="14"/>
                <w:rtl w:val="0"/>
              </w:rPr>
              <w:t xml:space="preserve">▓▓▓▓▓▓▓▓▓▓▓▓▓▓▓▓▓▓▓▓▓▓▓▓▓░░</w:t>
            </w:r>
            <w:r w:rsidDel="00000000" w:rsidR="00000000" w:rsidRPr="00000000">
              <w:rPr>
                <w:rtl w:val="0"/>
              </w:rPr>
            </w:r>
          </w:p>
          <w:p w:rsidR="00000000" w:rsidDel="00000000" w:rsidP="00000000" w:rsidRDefault="00000000" w:rsidRPr="00000000" w14:paraId="00000088">
            <w:pPr>
              <w:rPr/>
            </w:pPr>
            <w:r w:rsidDel="00000000" w:rsidR="00000000" w:rsidRPr="00000000">
              <w:rPr>
                <w:rFonts w:ascii="Courier New" w:cs="Courier New" w:eastAsia="Courier New" w:hAnsi="Courier New"/>
                <w:color w:val="1a5276"/>
                <w:sz w:val="14"/>
                <w:szCs w:val="14"/>
                <w:rtl w:val="0"/>
              </w:rPr>
              <w:t xml:space="preserve">▓▓▓▓▓▓▓▓▓░░░░░░░░░░░░░░░░░░</w:t>
            </w:r>
            <w:r w:rsidDel="00000000" w:rsidR="00000000" w:rsidRPr="00000000">
              <w:rPr>
                <w:rtl w:val="0"/>
              </w:rPr>
            </w:r>
          </w:p>
          <w:p w:rsidR="00000000" w:rsidDel="00000000" w:rsidP="00000000" w:rsidRDefault="00000000" w:rsidRPr="00000000" w14:paraId="00000089">
            <w:pPr>
              <w:rPr/>
            </w:pPr>
            <w:r w:rsidDel="00000000" w:rsidR="00000000" w:rsidRPr="00000000">
              <w:rPr>
                <w:rFonts w:ascii="Courier New" w:cs="Courier New" w:eastAsia="Courier New" w:hAnsi="Courier New"/>
                <w:color w:val="1a5276"/>
                <w:sz w:val="14"/>
                <w:szCs w:val="14"/>
                <w:rtl w:val="0"/>
              </w:rPr>
              <w:t xml:space="preserve">▓▓░░░░░░░░░░░░░░░░░░░░░░░░░░</w:t>
            </w:r>
            <w:r w:rsidDel="00000000" w:rsidR="00000000" w:rsidRPr="00000000">
              <w:rPr>
                <w:rtl w:val="0"/>
              </w:rPr>
            </w:r>
          </w:p>
          <w:p w:rsidR="00000000" w:rsidDel="00000000" w:rsidP="00000000" w:rsidRDefault="00000000" w:rsidRPr="00000000" w14:paraId="0000008A">
            <w:pPr>
              <w:rPr/>
            </w:pPr>
            <w:r w:rsidDel="00000000" w:rsidR="00000000" w:rsidRPr="00000000">
              <w:rPr>
                <w:rFonts w:ascii="Courier New" w:cs="Courier New" w:eastAsia="Courier New" w:hAnsi="Courier New"/>
                <w:color w:val="1a5276"/>
                <w:sz w:val="14"/>
                <w:szCs w:val="14"/>
                <w:rtl w:val="0"/>
              </w:rPr>
              <w:t xml:space="preserve">░░░░░░░░░░░░░░░░░░░░░░░░░░░░</w:t>
            </w:r>
            <w:r w:rsidDel="00000000" w:rsidR="00000000" w:rsidRPr="00000000">
              <w:rPr>
                <w:rtl w:val="0"/>
              </w:rPr>
            </w:r>
          </w:p>
          <w:p w:rsidR="00000000" w:rsidDel="00000000" w:rsidP="00000000" w:rsidRDefault="00000000" w:rsidRPr="00000000" w14:paraId="0000008B">
            <w:pPr>
              <w:rPr/>
            </w:pPr>
            <w:r w:rsidDel="00000000" w:rsidR="00000000" w:rsidRPr="00000000">
              <w:rPr>
                <w:rFonts w:ascii="Courier New" w:cs="Courier New" w:eastAsia="Courier New" w:hAnsi="Courier New"/>
                <w:color w:val="595959"/>
                <w:sz w:val="16"/>
                <w:szCs w:val="16"/>
                <w:rtl w:val="0"/>
              </w:rPr>
              <w:t xml:space="preserve">0M        50M       100M     200M</w:t>
            </w: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w:cs="Arial" w:eastAsia="Arial" w:hAnsi="Arial"/>
                <w:sz w:val="16"/>
                <w:szCs w:val="16"/>
                <w:rtl w:val="0"/>
              </w:rPr>
              <w:t xml:space="preserve"> </w:t>
            </w: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w:cs="Arial" w:eastAsia="Arial" w:hAnsi="Arial"/>
                <w:i w:val="1"/>
                <w:iCs w:val="1"/>
                <w:color w:val="c00000"/>
                <w:sz w:val="18"/>
                <w:szCs w:val="18"/>
                <w:rtl w:val="0"/>
              </w:rPr>
              <w:t xml:space="preserve">Sesgo extremo. Inutilizable directamente.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120.0" w:type="dxa"/>
              <w:left w:w="160.0" w:type="dxa"/>
              <w:bottom w:w="120.0" w:type="dxa"/>
              <w:right w:w="16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1e6b3c"/>
                <w:sz w:val="20"/>
                <w:szCs w:val="20"/>
                <w:rtl w:val="0"/>
              </w:rPr>
              <w:t xml:space="preserve">Escala LOGARÍTMICA (log1p)</w:t>
            </w: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w:cs="Arial" w:eastAsia="Arial" w:hAnsi="Arial"/>
                <w:sz w:val="16"/>
                <w:szCs w:val="16"/>
                <w:rtl w:val="0"/>
              </w:rPr>
              <w:t xml:space="preserve"> </w:t>
            </w:r>
            <w:r w:rsidDel="00000000" w:rsidR="00000000" w:rsidRPr="00000000">
              <w:rPr>
                <w:rtl w:val="0"/>
              </w:rPr>
            </w:r>
          </w:p>
          <w:p w:rsidR="00000000" w:rsidDel="00000000" w:rsidP="00000000" w:rsidRDefault="00000000" w:rsidRPr="00000000" w14:paraId="00000090">
            <w:pPr>
              <w:rPr/>
            </w:pPr>
            <w:r w:rsidDel="00000000" w:rsidR="00000000" w:rsidRPr="00000000">
              <w:rPr>
                <w:rFonts w:ascii="Courier New" w:cs="Courier New" w:eastAsia="Courier New" w:hAnsi="Courier New"/>
                <w:color w:val="1e6b3c"/>
                <w:sz w:val="14"/>
                <w:szCs w:val="14"/>
                <w:rtl w:val="0"/>
              </w:rPr>
              <w:t xml:space="preserve">░░░░▓▓▓▓▓▓▓▓▓▓▓▓▓▓▓▓▓░░░░░</w:t>
            </w:r>
            <w:r w:rsidDel="00000000" w:rsidR="00000000" w:rsidRPr="00000000">
              <w:rPr>
                <w:rtl w:val="0"/>
              </w:rPr>
            </w:r>
          </w:p>
          <w:p w:rsidR="00000000" w:rsidDel="00000000" w:rsidP="00000000" w:rsidRDefault="00000000" w:rsidRPr="00000000" w14:paraId="00000091">
            <w:pPr>
              <w:rPr/>
            </w:pPr>
            <w:r w:rsidDel="00000000" w:rsidR="00000000" w:rsidRPr="00000000">
              <w:rPr>
                <w:rFonts w:ascii="Courier New" w:cs="Courier New" w:eastAsia="Courier New" w:hAnsi="Courier New"/>
                <w:color w:val="1e6b3c"/>
                <w:sz w:val="14"/>
                <w:szCs w:val="14"/>
                <w:rtl w:val="0"/>
              </w:rPr>
              <w:t xml:space="preserve">░░▓▓▓▓▓▓▓▓▓▓▓▓▓▓▓▓▓▓▓▓▓░░░</w:t>
            </w:r>
            <w:r w:rsidDel="00000000" w:rsidR="00000000" w:rsidRPr="00000000">
              <w:rPr>
                <w:rtl w:val="0"/>
              </w:rPr>
            </w:r>
          </w:p>
          <w:p w:rsidR="00000000" w:rsidDel="00000000" w:rsidP="00000000" w:rsidRDefault="00000000" w:rsidRPr="00000000" w14:paraId="00000092">
            <w:pPr>
              <w:rPr/>
            </w:pPr>
            <w:r w:rsidDel="00000000" w:rsidR="00000000" w:rsidRPr="00000000">
              <w:rPr>
                <w:rFonts w:ascii="Courier New" w:cs="Courier New" w:eastAsia="Courier New" w:hAnsi="Courier New"/>
                <w:color w:val="1e6b3c"/>
                <w:sz w:val="14"/>
                <w:szCs w:val="14"/>
                <w:rtl w:val="0"/>
              </w:rPr>
              <w:t xml:space="preserve">░▓▓▓▓▓▓▓▓▓▓▓▓▓▓▓▓▓▓▓▓▓▓▓░░</w:t>
            </w:r>
            <w:r w:rsidDel="00000000" w:rsidR="00000000" w:rsidRPr="00000000">
              <w:rPr>
                <w:rtl w:val="0"/>
              </w:rPr>
            </w:r>
          </w:p>
          <w:p w:rsidR="00000000" w:rsidDel="00000000" w:rsidP="00000000" w:rsidRDefault="00000000" w:rsidRPr="00000000" w14:paraId="00000093">
            <w:pPr>
              <w:rPr/>
            </w:pPr>
            <w:r w:rsidDel="00000000" w:rsidR="00000000" w:rsidRPr="00000000">
              <w:rPr>
                <w:rFonts w:ascii="Courier New" w:cs="Courier New" w:eastAsia="Courier New" w:hAnsi="Courier New"/>
                <w:color w:val="1e6b3c"/>
                <w:sz w:val="14"/>
                <w:szCs w:val="14"/>
                <w:rtl w:val="0"/>
              </w:rPr>
              <w:t xml:space="preserve">▓▓▓▓▓▓▓▓▓▓▓▓▓▓▓▓▓▓▓▓▓▓▓▓▓▓</w:t>
            </w:r>
            <w:r w:rsidDel="00000000" w:rsidR="00000000" w:rsidRPr="00000000">
              <w:rPr>
                <w:rtl w:val="0"/>
              </w:rPr>
            </w:r>
          </w:p>
          <w:p w:rsidR="00000000" w:rsidDel="00000000" w:rsidP="00000000" w:rsidRDefault="00000000" w:rsidRPr="00000000" w14:paraId="00000094">
            <w:pPr>
              <w:rPr/>
            </w:pPr>
            <w:r w:rsidDel="00000000" w:rsidR="00000000" w:rsidRPr="00000000">
              <w:rPr>
                <w:rFonts w:ascii="Courier New" w:cs="Courier New" w:eastAsia="Courier New" w:hAnsi="Courier New"/>
                <w:color w:val="595959"/>
                <w:sz w:val="16"/>
                <w:szCs w:val="16"/>
                <w:rtl w:val="0"/>
              </w:rPr>
              <w:t xml:space="preserve">6      10      14      18     22</w:t>
            </w: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w:cs="Arial" w:eastAsia="Arial" w:hAnsi="Arial"/>
                <w:sz w:val="16"/>
                <w:szCs w:val="16"/>
                <w:rtl w:val="0"/>
              </w:rPr>
              <w:t xml:space="preserve"> </w:t>
            </w: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w:cs="Arial" w:eastAsia="Arial" w:hAnsi="Arial"/>
                <w:i w:val="1"/>
                <w:iCs w:val="1"/>
                <w:color w:val="1e6b3c"/>
                <w:sz w:val="18"/>
                <w:szCs w:val="18"/>
                <w:rtl w:val="0"/>
              </w:rPr>
              <w:t xml:space="preserve">Distribución simétrica. Lista para modelar.</w:t>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2.3 Distribución por Posición</w:t>
      </w:r>
      <w:r w:rsidDel="00000000" w:rsidR="00000000" w:rsidRPr="00000000">
        <w:rPr>
          <w:rtl w:val="0"/>
        </w:rPr>
      </w:r>
    </w:p>
    <w:p w:rsidR="00000000" w:rsidDel="00000000" w:rsidP="00000000" w:rsidRDefault="00000000" w:rsidRPr="00000000" w14:paraId="00000099">
      <w:pPr>
        <w:spacing w:after="80" w:before="80" w:lineRule="auto"/>
        <w:rPr/>
      </w:pPr>
      <w:r w:rsidDel="00000000" w:rsidR="00000000" w:rsidRPr="00000000">
        <w:rPr>
          <w:rFonts w:ascii="Arial" w:cs="Arial" w:eastAsia="Arial" w:hAnsi="Arial"/>
          <w:color w:val="000000"/>
          <w:sz w:val="22"/>
          <w:szCs w:val="22"/>
          <w:rtl w:val="0"/>
        </w:rPr>
        <w:t xml:space="preserve">El análisis de valor mediano por posición muestra un patrón consistente con el mercado real:</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delanteros (Forward, Centre-Forward) tienen el mayor valor mediano.</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mediocampistas creativos (Attacking Midfield) siguen en segundo lugar.</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defensores centrales tienen valores intermedios.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arqueros presentan la mayor dispersión relativa a su mediana.</w:t>
      </w:r>
    </w:p>
    <w:p w:rsidR="00000000" w:rsidDel="00000000" w:rsidP="00000000" w:rsidRDefault="00000000" w:rsidRPr="00000000" w14:paraId="0000009E">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ce5cd" w:val="clear"/>
            <w:tcMar>
              <w:top w:w="120.0" w:type="dxa"/>
              <w:left w:w="160.0" w:type="dxa"/>
              <w:bottom w:w="120.0" w:type="dxa"/>
              <w:right w:w="160.0" w:type="dxa"/>
            </w:tcMar>
            <w:vAlign w:val="center"/>
          </w:tcPr>
          <w:p w:rsidR="00000000" w:rsidDel="00000000" w:rsidP="00000000" w:rsidRDefault="00000000" w:rsidRPr="00000000" w14:paraId="0000009F">
            <w:pPr>
              <w:jc w:val="center"/>
              <w:rPr/>
            </w:pPr>
            <w:r w:rsidDel="00000000" w:rsidR="00000000" w:rsidRPr="00000000">
              <w:rPr>
                <w:rFonts w:ascii="Arial" w:cs="Arial" w:eastAsia="Arial" w:hAnsi="Arial"/>
                <w:b w:val="1"/>
                <w:bCs w:val="1"/>
                <w:color w:val="c55a11"/>
                <w:sz w:val="20"/>
                <w:szCs w:val="20"/>
                <w:rtl w:val="0"/>
              </w:rPr>
              <w:t xml:space="preserve">💡 INSIGHT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ce5cd" w:val="clear"/>
            <w:tcMar>
              <w:top w:w="120.0" w:type="dxa"/>
              <w:left w:w="160.0" w:type="dxa"/>
              <w:bottom w:w="120.0" w:type="dxa"/>
              <w:right w:w="160.0" w:type="dxa"/>
            </w:tcMar>
          </w:tcPr>
          <w:p w:rsidR="00000000" w:rsidDel="00000000" w:rsidP="00000000" w:rsidRDefault="00000000" w:rsidRPr="00000000" w14:paraId="000000A0">
            <w:pPr>
              <w:rPr/>
            </w:pPr>
            <w:r w:rsidDel="00000000" w:rsidR="00000000" w:rsidRPr="00000000">
              <w:rPr>
                <w:rFonts w:ascii="Arial" w:cs="Arial" w:eastAsia="Arial" w:hAnsi="Arial"/>
                <w:color w:val="000000"/>
                <w:sz w:val="20"/>
                <w:szCs w:val="20"/>
                <w:rtl w:val="0"/>
              </w:rPr>
              <w:t xml:space="preserve">La posición es una variable ordinal con valor predictivo claro: el mercado paga más por jugadores que producen goles directamente (delanteros) que por los que defienden.</w:t>
            </w: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2.4 Evolución Temporal del Mercado</w:t>
      </w: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Fonts w:ascii="Arial" w:cs="Arial" w:eastAsia="Arial" w:hAnsi="Arial"/>
          <w:color w:val="000000"/>
          <w:sz w:val="22"/>
          <w:szCs w:val="22"/>
          <w:rtl w:val="0"/>
        </w:rPr>
        <w:t xml:space="preserve">La evolución de la mediana y la media de valuaciones por año revela tendencias importantes:</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2880"/>
        <w:gridCol w:w="4560"/>
        <w:tblGridChange w:id="0">
          <w:tblGrid>
            <w:gridCol w:w="1920"/>
            <w:gridCol w:w="288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19"/>
                <w:szCs w:val="19"/>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19"/>
                <w:szCs w:val="19"/>
                <w:rtl w:val="0"/>
              </w:rPr>
              <w:t xml:space="preserve">Tendencia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19"/>
                <w:szCs w:val="19"/>
                <w:rtl w:val="0"/>
              </w:rPr>
              <w:t xml:space="preserve">Causa probable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19"/>
                <w:szCs w:val="19"/>
                <w:rtl w:val="0"/>
              </w:rPr>
              <w:t xml:space="preserve">2000–2015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19"/>
                <w:szCs w:val="19"/>
                <w:rtl w:val="0"/>
              </w:rPr>
              <w:t xml:space="preserve">Crecimiento sostenido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19"/>
                <w:szCs w:val="19"/>
                <w:rtl w:val="0"/>
              </w:rPr>
              <w:t xml:space="preserve">Expansión del mercado europeo, contratos de TV, inversiones en clubes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19"/>
                <w:szCs w:val="19"/>
                <w:rtl w:val="0"/>
              </w:rPr>
              <w:t xml:space="preserve">2016–2019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19"/>
                <w:szCs w:val="19"/>
                <w:rtl w:val="0"/>
              </w:rPr>
              <w:t xml:space="preserve">Inflación acelerada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19"/>
                <w:szCs w:val="19"/>
                <w:rtl w:val="0"/>
              </w:rPr>
              <w:t xml:space="preserve">Boom de contratos televisivos (PL), inversiones árabes y americanas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19"/>
                <w:szCs w:val="19"/>
                <w:rtl w:val="0"/>
              </w:rPr>
              <w:t xml:space="preserve">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19"/>
                <w:szCs w:val="19"/>
                <w:rtl w:val="0"/>
              </w:rPr>
              <w:t xml:space="preserve">Caída brusca (-20% aprox.)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19"/>
                <w:szCs w:val="19"/>
                <w:rtl w:val="0"/>
              </w:rPr>
              <w:t xml:space="preserve">COVID-19: mercado de transferencias paralizado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19"/>
                <w:szCs w:val="19"/>
                <w:rtl w:val="0"/>
              </w:rPr>
              <w:t xml:space="preserve">2021–2023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19"/>
                <w:szCs w:val="19"/>
                <w:rtl w:val="0"/>
              </w:rPr>
              <w:t xml:space="preserve">Recuperación fuerte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19"/>
                <w:szCs w:val="19"/>
                <w:rtl w:val="0"/>
              </w:rPr>
              <w:t xml:space="preserve">Vuelta a la normalidad, PSG-Mbappé, fichajes récord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19"/>
                <w:szCs w:val="19"/>
                <w:rtl w:val="0"/>
              </w:rPr>
              <w:t xml:space="preserve">2024–2025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19"/>
                <w:szCs w:val="19"/>
                <w:rtl w:val="0"/>
              </w:rPr>
              <w:t xml:space="preserve">Estabilización en máximos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19"/>
                <w:szCs w:val="19"/>
                <w:rtl w:val="0"/>
              </w:rPr>
              <w:t xml:space="preserve">Regulación Fair Play Financiero, mayor cautela en clubs</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2.5 Top Ligas por Valor Mediano</w:t>
      </w:r>
      <w:r w:rsidDel="00000000" w:rsidR="00000000" w:rsidRPr="00000000">
        <w:rPr>
          <w:rtl w:val="0"/>
        </w:rPr>
      </w:r>
    </w:p>
    <w:p w:rsidR="00000000" w:rsidDel="00000000" w:rsidP="00000000" w:rsidRDefault="00000000" w:rsidRPr="00000000" w14:paraId="000000B9">
      <w:pPr>
        <w:spacing w:after="80" w:before="80" w:lineRule="auto"/>
        <w:rPr/>
      </w:pPr>
      <w:r w:rsidDel="00000000" w:rsidR="00000000" w:rsidRPr="00000000">
        <w:rPr>
          <w:rFonts w:ascii="Arial" w:cs="Arial" w:eastAsia="Arial" w:hAnsi="Arial"/>
          <w:color w:val="000000"/>
          <w:sz w:val="22"/>
          <w:szCs w:val="22"/>
          <w:rtl w:val="0"/>
        </w:rPr>
        <w:t xml:space="preserve">Las 5 grandes ligas europeas dominan los valores más altos: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Premier League (GB1): mediana más alta, impulsada por contratos televisivos récord.</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Liga (ES1): Real Madrid y FC Barcelona elevan la mediana global.</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Bundesliga (L1) y Serie A (IT1): ligas competitivas con valores altos pero menor desequilibrio interno.</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Ligue 1 (FR1): elevada por el PSG en los años de Neymar y Mbappé.</w:t>
      </w:r>
    </w:p>
    <w:p w:rsidR="00000000" w:rsidDel="00000000" w:rsidP="00000000" w:rsidRDefault="00000000" w:rsidRPr="00000000" w14:paraId="000000BE">
      <w:pPr>
        <w:rPr/>
      </w:pPr>
      <w:r w:rsidDel="00000000" w:rsidR="00000000" w:rsidRPr="00000000">
        <w:br w:type="page"/>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00.0" w:type="dxa"/>
              <w:left w:w="200.0" w:type="dxa"/>
              <w:bottom w:w="100.0" w:type="dxa"/>
              <w:right w:w="20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1f4e79"/>
                <w:sz w:val="24"/>
                <w:szCs w:val="24"/>
                <w:rtl w:val="0"/>
              </w:rPr>
              <w:t xml:space="preserve">3. Valores Faltantes</w:t>
            </w:r>
            <w:r w:rsidDel="00000000" w:rsidR="00000000" w:rsidRPr="00000000">
              <w:rPr>
                <w:rtl w:val="0"/>
              </w:rPr>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80" w:before="80" w:lineRule="auto"/>
        <w:rPr/>
      </w:pPr>
      <w:r w:rsidDel="00000000" w:rsidR="00000000" w:rsidRPr="00000000">
        <w:rPr>
          <w:rFonts w:ascii="Arial" w:cs="Arial" w:eastAsia="Arial" w:hAnsi="Arial"/>
          <w:color w:val="000000"/>
          <w:sz w:val="22"/>
          <w:szCs w:val="22"/>
          <w:rtl w:val="0"/>
        </w:rPr>
        <w:t xml:space="preserve">El análisis de nulos se realizó sobre las cuatro tablas principales. Los resultados son los esperados para un dataset construido mediante scraping web:</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000"/>
        <w:gridCol w:w="1760"/>
        <w:gridCol w:w="3000"/>
        <w:tblGridChange w:id="0">
          <w:tblGrid>
            <w:gridCol w:w="1600"/>
            <w:gridCol w:w="3000"/>
            <w:gridCol w:w="176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19"/>
                <w:szCs w:val="19"/>
                <w:rtl w:val="0"/>
              </w:rPr>
              <w:t xml:space="preserve">Tabla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19"/>
                <w:szCs w:val="19"/>
                <w:rtl w:val="0"/>
              </w:rPr>
              <w:t xml:space="preserve">Columnas con nulos relevantes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19"/>
                <w:szCs w:val="19"/>
                <w:rtl w:val="0"/>
              </w:rPr>
              <w:t xml:space="preserve">Porcentaje aproximado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19"/>
                <w:szCs w:val="19"/>
                <w:rtl w:val="0"/>
              </w:rPr>
              <w:t xml:space="preserve">Decisión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19"/>
                <w:szCs w:val="19"/>
                <w:rtl w:val="0"/>
              </w:rPr>
              <w:t xml:space="preserve">players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19"/>
                <w:szCs w:val="19"/>
                <w:rtl w:val="0"/>
              </w:rPr>
              <w:t xml:space="preserve">market_value_in_eur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19"/>
                <w:szCs w:val="19"/>
                <w:rtl w:val="0"/>
              </w:rPr>
              <w:t xml:space="preserve">~35–40%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19"/>
                <w:szCs w:val="19"/>
                <w:rtl w:val="0"/>
              </w:rPr>
              <w:t xml:space="preserve">Descartar: sin target no hay aprendizaje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19"/>
                <w:szCs w:val="19"/>
                <w:rtl w:val="0"/>
              </w:rPr>
              <w:t xml:space="preserve">players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19"/>
                <w:szCs w:val="19"/>
                <w:rtl w:val="0"/>
              </w:rPr>
              <w:t xml:space="preserve">agent_name, contract_expiration_date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19"/>
                <w:szCs w:val="19"/>
                <w:rtl w:val="0"/>
              </w:rPr>
              <w:t xml:space="preserve">~60–80%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19"/>
                <w:szCs w:val="19"/>
                <w:rtl w:val="0"/>
              </w:rPr>
              <w:t xml:space="preserve">Mantener: no son features del modelo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19"/>
                <w:szCs w:val="19"/>
                <w:rtl w:val="0"/>
              </w:rPr>
              <w:t xml:space="preserve">players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19"/>
                <w:szCs w:val="19"/>
                <w:rtl w:val="0"/>
              </w:rPr>
              <w:t xml:space="preserve">height_in_cm, foot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19"/>
                <w:szCs w:val="19"/>
                <w:rtl w:val="0"/>
              </w:rPr>
              <w:t xml:space="preserve">~10–20%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19"/>
                <w:szCs w:val="19"/>
                <w:rtl w:val="0"/>
              </w:rPr>
              <w:t xml:space="preserve">Mantener con nota: baja prioridad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19"/>
                <w:szCs w:val="19"/>
                <w:rtl w:val="0"/>
              </w:rPr>
              <w:t xml:space="preserve">appearances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19"/>
                <w:szCs w:val="19"/>
                <w:rtl w:val="0"/>
              </w:rPr>
              <w:t xml:space="preserve">Prácticamente ninguno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19"/>
                <w:szCs w:val="19"/>
                <w:rtl w:val="0"/>
              </w:rPr>
              <w:t xml:space="preserve">&lt;1%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19"/>
                <w:szCs w:val="19"/>
                <w:rtl w:val="0"/>
              </w:rPr>
              <w:t xml:space="preserve">Dataset limpio en esta tabla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19"/>
                <w:szCs w:val="19"/>
                <w:rtl w:val="0"/>
              </w:rPr>
              <w:t xml:space="preserve">player_valuations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19"/>
                <w:szCs w:val="19"/>
                <w:rtl w:val="0"/>
              </w:rPr>
              <w:t xml:space="preserve">Pocos nulos en columnas de liga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19"/>
                <w:szCs w:val="19"/>
                <w:rtl w:val="0"/>
              </w:rPr>
              <w:t xml:space="preserve">Imputar con mediana global del año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19"/>
                <w:szCs w:val="19"/>
                <w:rtl w:val="0"/>
              </w:rPr>
              <w:t xml:space="preserve">transfers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19"/>
                <w:szCs w:val="19"/>
                <w:rtl w:val="0"/>
              </w:rPr>
              <w:t xml:space="preserve">transfer_fee (muchas gratuitas)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19"/>
                <w:szCs w:val="19"/>
                <w:rtl w:val="0"/>
              </w:rPr>
              <w:t xml:space="preserve">~40–50%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19"/>
                <w:szCs w:val="19"/>
                <w:rtl w:val="0"/>
              </w:rPr>
              <w:t xml:space="preserve">Usar para validación, no entrenamiento</w:t>
            </w:r>
            <w:r w:rsidDel="00000000" w:rsidR="00000000" w:rsidRPr="00000000">
              <w:rPr>
                <w:rtl w:val="0"/>
              </w:rPr>
            </w:r>
          </w:p>
        </w:tc>
      </w:tr>
    </w:tbl>
    <w:p w:rsidR="00000000" w:rsidDel="00000000" w:rsidP="00000000" w:rsidRDefault="00000000" w:rsidRPr="00000000" w14:paraId="000000DF">
      <w:pPr>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ce5cd" w:val="clear"/>
            <w:tcMar>
              <w:top w:w="120.0" w:type="dxa"/>
              <w:left w:w="160.0" w:type="dxa"/>
              <w:bottom w:w="120.0" w:type="dxa"/>
              <w:right w:w="160.0" w:type="dxa"/>
            </w:tcMar>
            <w:vAlign w:val="center"/>
          </w:tcPr>
          <w:p w:rsidR="00000000" w:rsidDel="00000000" w:rsidP="00000000" w:rsidRDefault="00000000" w:rsidRPr="00000000" w14:paraId="000000E0">
            <w:pPr>
              <w:jc w:val="center"/>
              <w:rPr/>
            </w:pPr>
            <w:r w:rsidDel="00000000" w:rsidR="00000000" w:rsidRPr="00000000">
              <w:rPr>
                <w:rFonts w:ascii="Arial" w:cs="Arial" w:eastAsia="Arial" w:hAnsi="Arial"/>
                <w:b w:val="1"/>
                <w:bCs w:val="1"/>
                <w:color w:val="c55a11"/>
                <w:sz w:val="20"/>
                <w:szCs w:val="20"/>
                <w:rtl w:val="0"/>
              </w:rPr>
              <w:t xml:space="preserve">⚠️ ATENCIÓN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ce5cd" w:val="clear"/>
            <w:tcMar>
              <w:top w:w="120.0" w:type="dxa"/>
              <w:left w:w="160.0" w:type="dxa"/>
              <w:bottom w:w="120.0" w:type="dxa"/>
              <w:right w:w="160.0" w:type="dxa"/>
            </w:tcMar>
          </w:tcPr>
          <w:p w:rsidR="00000000" w:rsidDel="00000000" w:rsidP="00000000" w:rsidRDefault="00000000" w:rsidRPr="00000000" w14:paraId="000000E1">
            <w:pPr>
              <w:rPr/>
            </w:pPr>
            <w:r w:rsidDel="00000000" w:rsidR="00000000" w:rsidRPr="00000000">
              <w:rPr>
                <w:rFonts w:ascii="Arial" w:cs="Arial" w:eastAsia="Arial" w:hAnsi="Arial"/>
                <w:color w:val="000000"/>
                <w:sz w:val="20"/>
                <w:szCs w:val="20"/>
                <w:rtl w:val="0"/>
              </w:rPr>
              <w:t xml:space="preserve">El 35–40% de nulos en market_value_in_eur de players.csv es esperado: muchos jugadores en ligas menores no tienen valuación editorial en Transfermarkt. Estos registros se descartan porque son el target del modelo.</w:t>
            </w:r>
            <w:r w:rsidDel="00000000" w:rsidR="00000000" w:rsidRPr="00000000">
              <w:rPr>
                <w:rtl w:val="0"/>
              </w:rPr>
            </w:r>
          </w:p>
        </w:tc>
      </w:tr>
    </w:tbl>
    <w:p w:rsidR="00000000" w:rsidDel="00000000" w:rsidP="00000000" w:rsidRDefault="00000000" w:rsidRPr="00000000" w14:paraId="000000E2">
      <w:pPr>
        <w:rPr/>
      </w:pPr>
      <w:r w:rsidDel="00000000" w:rsidR="00000000" w:rsidRPr="00000000">
        <w:br w:type="page"/>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00.0" w:type="dxa"/>
              <w:left w:w="200.0" w:type="dxa"/>
              <w:bottom w:w="100.0" w:type="dxa"/>
              <w:right w:w="20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1f4e79"/>
                <w:sz w:val="24"/>
                <w:szCs w:val="24"/>
                <w:rtl w:val="0"/>
              </w:rPr>
              <w:t xml:space="preserve">4. Diagnóstico de Calidad de Datos</w:t>
            </w: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4.1 Duplicados</w:t>
      </w:r>
      <w:r w:rsidDel="00000000" w:rsidR="00000000" w:rsidRPr="00000000">
        <w:rPr>
          <w:rtl w:val="0"/>
        </w:rPr>
      </w:r>
    </w:p>
    <w:p w:rsidR="00000000" w:rsidDel="00000000" w:rsidP="00000000" w:rsidRDefault="00000000" w:rsidRPr="00000000" w14:paraId="000000E6">
      <w:pPr>
        <w:spacing w:after="80" w:before="80" w:lineRule="auto"/>
        <w:rPr/>
      </w:pPr>
      <w:r w:rsidDel="00000000" w:rsidR="00000000" w:rsidRPr="00000000">
        <w:rPr>
          <w:rFonts w:ascii="Arial" w:cs="Arial" w:eastAsia="Arial" w:hAnsi="Arial"/>
          <w:color w:val="000000"/>
          <w:sz w:val="22"/>
          <w:szCs w:val="22"/>
          <w:rtl w:val="0"/>
        </w:rPr>
        <w:t xml:space="preserve">El diagnóstico de duplicados arroja resultados muy limpios en todas las tablas: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players: 0 filas duplicadas (0.00%)</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appearances: &lt; 0.01% de duplicados — mínimos y sin impacto</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player_valuations: 0 duplicados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transfers: &lt; 0.05% de duplicados</w:t>
      </w:r>
    </w:p>
    <w:p w:rsidR="00000000" w:rsidDel="00000000" w:rsidP="00000000" w:rsidRDefault="00000000" w:rsidRPr="00000000" w14:paraId="000000EB">
      <w:pPr>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ad3" w:val="clear"/>
            <w:tcMar>
              <w:top w:w="120.0" w:type="dxa"/>
              <w:left w:w="160.0" w:type="dxa"/>
              <w:bottom w:w="120.0" w:type="dxa"/>
              <w:right w:w="160.0" w:type="dxa"/>
            </w:tcMar>
            <w:vAlign w:val="center"/>
          </w:tcPr>
          <w:p w:rsidR="00000000" w:rsidDel="00000000" w:rsidP="00000000" w:rsidRDefault="00000000" w:rsidRPr="00000000" w14:paraId="000000EC">
            <w:pPr>
              <w:jc w:val="center"/>
              <w:rPr/>
            </w:pPr>
            <w:sdt>
              <w:sdtPr>
                <w:id w:val="-573601752"/>
                <w:tag w:val="goog_rdk_2"/>
              </w:sdtPr>
              <w:sdtContent>
                <w:r w:rsidDel="00000000" w:rsidR="00000000" w:rsidRPr="00000000">
                  <w:rPr>
                    <w:rFonts w:ascii="Arial Unicode MS" w:cs="Arial Unicode MS" w:eastAsia="Arial Unicode MS" w:hAnsi="Arial Unicode MS"/>
                    <w:b w:val="1"/>
                    <w:bCs w:val="1"/>
                    <w:color w:val="1e6b3c"/>
                    <w:sz w:val="20"/>
                    <w:szCs w:val="20"/>
                    <w:rtl w:val="0"/>
                  </w:rPr>
                  <w:t xml:space="preserve">✅ RESULTADO</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ad3" w:val="clear"/>
            <w:tcMar>
              <w:top w:w="120.0" w:type="dxa"/>
              <w:left w:w="160.0" w:type="dxa"/>
              <w:bottom w:w="120.0" w:type="dxa"/>
              <w:right w:w="160.0" w:type="dxa"/>
            </w:tcMar>
          </w:tcPr>
          <w:p w:rsidR="00000000" w:rsidDel="00000000" w:rsidP="00000000" w:rsidRDefault="00000000" w:rsidRPr="00000000" w14:paraId="000000ED">
            <w:pPr>
              <w:rPr/>
            </w:pPr>
            <w:r w:rsidDel="00000000" w:rsidR="00000000" w:rsidRPr="00000000">
              <w:rPr>
                <w:rFonts w:ascii="Arial" w:cs="Arial" w:eastAsia="Arial" w:hAnsi="Arial"/>
                <w:color w:val="000000"/>
                <w:sz w:val="20"/>
                <w:szCs w:val="20"/>
                <w:rtl w:val="0"/>
              </w:rPr>
              <w:t xml:space="preserve">El dataset no presenta problemas de duplicados. No se requiere deduplicación.</w:t>
            </w:r>
            <w:r w:rsidDel="00000000" w:rsidR="00000000" w:rsidRPr="00000000">
              <w:rPr>
                <w:rtl w:val="0"/>
              </w:rPr>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4.2 Inconsistencias entre tablas</w:t>
      </w:r>
      <w:r w:rsidDel="00000000" w:rsidR="00000000" w:rsidRPr="00000000">
        <w:rPr>
          <w:rtl w:val="0"/>
        </w:rPr>
      </w:r>
    </w:p>
    <w:p w:rsidR="00000000" w:rsidDel="00000000" w:rsidP="00000000" w:rsidRDefault="00000000" w:rsidRPr="00000000" w14:paraId="000000F0">
      <w:pPr>
        <w:spacing w:after="80" w:before="80" w:lineRule="auto"/>
        <w:rPr/>
      </w:pPr>
      <w:r w:rsidDel="00000000" w:rsidR="00000000" w:rsidRPr="00000000">
        <w:rPr>
          <w:rFonts w:ascii="Arial" w:cs="Arial" w:eastAsia="Arial" w:hAnsi="Arial"/>
          <w:color w:val="000000"/>
          <w:sz w:val="22"/>
          <w:szCs w:val="22"/>
          <w:rtl w:val="0"/>
        </w:rPr>
        <w:t xml:space="preserve">Se detectaron tres inconsistencias menores:</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160"/>
        <w:gridCol w:w="4200"/>
        <w:tblGridChange w:id="0">
          <w:tblGrid>
            <w:gridCol w:w="3000"/>
            <w:gridCol w:w="2160"/>
            <w:gridCol w:w="4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19"/>
                <w:szCs w:val="19"/>
                <w:rtl w:val="0"/>
              </w:rPr>
              <w:t xml:space="preserve">Inconsistencia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ffffff"/>
                <w:sz w:val="19"/>
                <w:szCs w:val="19"/>
                <w:rtl w:val="0"/>
              </w:rPr>
              <w:t xml:space="preserve">Magnitud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19"/>
                <w:szCs w:val="19"/>
                <w:rtl w:val="0"/>
              </w:rPr>
              <w:t xml:space="preserve">Decisión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19"/>
                <w:szCs w:val="19"/>
                <w:rtl w:val="0"/>
              </w:rPr>
              <w:t xml:space="preserve">Jugadores en players sin ninguna aparición registrada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19"/>
                <w:szCs w:val="19"/>
                <w:rtl w:val="0"/>
              </w:rPr>
              <w:t xml:space="preserve">~30–40% de jugadores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19"/>
                <w:szCs w:val="19"/>
                <w:rtl w:val="0"/>
              </w:rPr>
              <w:t xml:space="preserve">Se filtrarán en la sección 6 (umbral de apariciones mínimas)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19"/>
                <w:szCs w:val="19"/>
                <w:rtl w:val="0"/>
              </w:rPr>
              <w:t xml:space="preserve">IDs en player_valuations sin match en players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19"/>
                <w:szCs w:val="19"/>
                <w:rtl w:val="0"/>
              </w:rPr>
              <w:t xml:space="preserve">&lt; 2% de IDs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19"/>
                <w:szCs w:val="19"/>
                <w:rtl w:val="0"/>
              </w:rPr>
              <w:t xml:space="preserve">Se ignoran: no afectan el modelo (no hay perfil del jugador)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19"/>
                <w:szCs w:val="19"/>
                <w:rtl w:val="0"/>
              </w:rPr>
              <w:t xml:space="preserve">Valores negativos o cero en transfer_fee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19"/>
                <w:szCs w:val="19"/>
                <w:rtl w:val="0"/>
              </w:rPr>
              <w:t xml:space="preserve">Algunos registros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19"/>
                <w:szCs w:val="19"/>
                <w:rtl w:val="0"/>
              </w:rPr>
              <w:t xml:space="preserve">Transferencias gratuitas o préstamos: legítimos, se mantienen</w:t>
            </w:r>
            <w:r w:rsidDel="00000000" w:rsidR="00000000" w:rsidRPr="00000000">
              <w:rPr>
                <w:rtl w:val="0"/>
              </w:rPr>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4.3 Outliers en el target</w:t>
      </w:r>
      <w:r w:rsidDel="00000000" w:rsidR="00000000" w:rsidRPr="00000000">
        <w:rPr>
          <w:rtl w:val="0"/>
        </w:rPr>
      </w:r>
    </w:p>
    <w:p w:rsidR="00000000" w:rsidDel="00000000" w:rsidP="00000000" w:rsidRDefault="00000000" w:rsidRPr="00000000" w14:paraId="00000100">
      <w:pPr>
        <w:spacing w:after="80" w:before="80" w:lineRule="auto"/>
        <w:rPr/>
      </w:pPr>
      <w:r w:rsidDel="00000000" w:rsidR="00000000" w:rsidRPr="00000000">
        <w:rPr>
          <w:rFonts w:ascii="Arial" w:cs="Arial" w:eastAsia="Arial" w:hAnsi="Arial"/>
          <w:color w:val="000000"/>
          <w:sz w:val="22"/>
          <w:szCs w:val="22"/>
          <w:rtl w:val="0"/>
        </w:rPr>
        <w:t xml:space="preserve">Usando el método IQR (límite = Q3 + 1.5×IQR) se detectan outliers en el valor de mercado:</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Límite superior IQR: aproximadamente €2–4M</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Outliers detectados: 5–10% de los jugadores con valuación</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Ejemplos: Mbappé (€180M), Haaland (€180M), Yamal (€180M+)</w:t>
      </w:r>
    </w:p>
    <w:p w:rsidR="00000000" w:rsidDel="00000000" w:rsidP="00000000" w:rsidRDefault="00000000" w:rsidRPr="00000000" w14:paraId="00000104">
      <w:pPr>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160.0" w:type="dxa"/>
              <w:bottom w:w="120.0" w:type="dxa"/>
              <w:right w:w="160.0" w:type="dxa"/>
            </w:tcMar>
            <w:vAlign w:val="center"/>
          </w:tcPr>
          <w:p w:rsidR="00000000" w:rsidDel="00000000" w:rsidP="00000000" w:rsidRDefault="00000000" w:rsidRPr="00000000" w14:paraId="00000105">
            <w:pPr>
              <w:jc w:val="center"/>
              <w:rPr/>
            </w:pPr>
            <w:r w:rsidDel="00000000" w:rsidR="00000000" w:rsidRPr="00000000">
              <w:rPr>
                <w:rFonts w:ascii="Arial" w:cs="Arial" w:eastAsia="Arial" w:hAnsi="Arial"/>
                <w:b w:val="1"/>
                <w:bCs w:val="1"/>
                <w:color w:val="1f4e79"/>
                <w:sz w:val="20"/>
                <w:szCs w:val="20"/>
                <w:rtl w:val="0"/>
              </w:rPr>
              <w:t xml:space="preserve">💡 DECISIÓN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120.0" w:type="dxa"/>
              <w:left w:w="160.0" w:type="dxa"/>
              <w:bottom w:w="120.0" w:type="dxa"/>
              <w:right w:w="160.0" w:type="dxa"/>
            </w:tcMar>
          </w:tcPr>
          <w:p w:rsidR="00000000" w:rsidDel="00000000" w:rsidP="00000000" w:rsidRDefault="00000000" w:rsidRPr="00000000" w14:paraId="00000106">
            <w:pPr>
              <w:rPr/>
            </w:pPr>
            <w:r w:rsidDel="00000000" w:rsidR="00000000" w:rsidRPr="00000000">
              <w:rPr>
                <w:rFonts w:ascii="Arial" w:cs="Arial" w:eastAsia="Arial" w:hAnsi="Arial"/>
                <w:color w:val="000000"/>
                <w:sz w:val="20"/>
                <w:szCs w:val="20"/>
                <w:rtl w:val="0"/>
              </w:rPr>
              <w:t xml:space="preserve">Los outliers NO se eliminan. Son valores legítimos (las estrellas existen). La transformación logarítmica del target en la sección 7 los atenúa lo suficiente para que no distorsionen el modelo.</w:t>
            </w:r>
            <w:r w:rsidDel="00000000" w:rsidR="00000000" w:rsidRPr="00000000">
              <w:rPr>
                <w:rtl w:val="0"/>
              </w:rPr>
            </w:r>
          </w:p>
        </w:tc>
      </w:tr>
    </w:tbl>
    <w:p w:rsidR="00000000" w:rsidDel="00000000" w:rsidP="00000000" w:rsidRDefault="00000000" w:rsidRPr="00000000" w14:paraId="00000107">
      <w:pPr>
        <w:rPr/>
      </w:pPr>
      <w:r w:rsidDel="00000000" w:rsidR="00000000" w:rsidRPr="00000000">
        <w:br w:type="page"/>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00.0" w:type="dxa"/>
              <w:left w:w="200.0" w:type="dxa"/>
              <w:bottom w:w="100.0" w:type="dxa"/>
              <w:right w:w="20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1f4e79"/>
                <w:sz w:val="24"/>
                <w:szCs w:val="24"/>
                <w:rtl w:val="0"/>
              </w:rPr>
              <w:t xml:space="preserve">5. Construcción del Dataset Analítico Unificado</w:t>
            </w: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after="80" w:before="80" w:lineRule="auto"/>
        <w:rPr/>
      </w:pPr>
      <w:r w:rsidDel="00000000" w:rsidR="00000000" w:rsidRPr="00000000">
        <w:rPr>
          <w:rFonts w:ascii="Arial" w:cs="Arial" w:eastAsia="Arial" w:hAnsi="Arial"/>
          <w:color w:val="000000"/>
          <w:sz w:val="22"/>
          <w:szCs w:val="22"/>
          <w:rtl w:val="0"/>
        </w:rPr>
        <w:t xml:space="preserve">Esta es la sección más importante técnicamente del Entregable 2. Aquí se construye el dataframe players_filtrado que será la base del modelo. Es un merge de players con estadísticas agregadas de appearances.</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Paso 1 — Agregación de estadísticas por jugador</w:t>
      </w:r>
      <w:r w:rsidDel="00000000" w:rsidR="00000000" w:rsidRPr="00000000">
        <w:rPr>
          <w:rtl w:val="0"/>
        </w:rPr>
      </w:r>
    </w:p>
    <w:p w:rsidR="00000000" w:rsidDel="00000000" w:rsidP="00000000" w:rsidRDefault="00000000" w:rsidRPr="00000000" w14:paraId="0000010D">
      <w:pPr>
        <w:spacing w:after="80" w:before="80" w:lineRule="auto"/>
        <w:rPr/>
      </w:pPr>
      <w:r w:rsidDel="00000000" w:rsidR="00000000" w:rsidRPr="00000000">
        <w:rPr>
          <w:rFonts w:ascii="Arial" w:cs="Arial" w:eastAsia="Arial" w:hAnsi="Arial"/>
          <w:color w:val="000000"/>
          <w:sz w:val="22"/>
          <w:szCs w:val="22"/>
          <w:rtl w:val="0"/>
        </w:rPr>
        <w:t xml:space="preserve">Desde appearances.csv se agrega por player_id, sumando o contando las siguientes métricas:</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560"/>
        <w:tblGridChange w:id="0">
          <w:tblGrid>
            <w:gridCol w:w="2400"/>
            <w:gridCol w:w="34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ffffff"/>
                <w:sz w:val="19"/>
                <w:szCs w:val="19"/>
                <w:rtl w:val="0"/>
              </w:rPr>
              <w:t xml:space="preserve">Variable creada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ffffff"/>
                <w:sz w:val="19"/>
                <w:szCs w:val="19"/>
                <w:rtl w:val="0"/>
              </w:rPr>
              <w:t xml:space="preserve">Cálculo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19"/>
                <w:szCs w:val="19"/>
                <w:rtl w:val="0"/>
              </w:rPr>
              <w:t xml:space="preserve">Tipo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19"/>
                <w:szCs w:val="19"/>
                <w:rtl w:val="0"/>
              </w:rPr>
              <w:t xml:space="preserve">n_apariciones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19"/>
                <w:szCs w:val="19"/>
                <w:rtl w:val="0"/>
              </w:rPr>
              <w:t xml:space="preserve">COUNT(game_id) por player_id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19"/>
                <w:szCs w:val="19"/>
                <w:rtl w:val="0"/>
              </w:rPr>
              <w:t xml:space="preserve">Entero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19"/>
                <w:szCs w:val="19"/>
                <w:rtl w:val="0"/>
              </w:rPr>
              <w:t xml:space="preserve">total_goles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19"/>
                <w:szCs w:val="19"/>
                <w:rtl w:val="0"/>
              </w:rPr>
              <w:t xml:space="preserve">SUM(goals) por player_id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19"/>
                <w:szCs w:val="19"/>
                <w:rtl w:val="0"/>
              </w:rPr>
              <w:t xml:space="preserve">Entero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19"/>
                <w:szCs w:val="19"/>
                <w:rtl w:val="0"/>
              </w:rPr>
              <w:t xml:space="preserve">total_asistencias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19"/>
                <w:szCs w:val="19"/>
                <w:rtl w:val="0"/>
              </w:rPr>
              <w:t xml:space="preserve">SUM(assists) por player_id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19"/>
                <w:szCs w:val="19"/>
                <w:rtl w:val="0"/>
              </w:rPr>
              <w:t xml:space="preserve">Entero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19"/>
                <w:szCs w:val="19"/>
                <w:rtl w:val="0"/>
              </w:rPr>
              <w:t xml:space="preserve">total_minutos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19"/>
                <w:szCs w:val="19"/>
                <w:rtl w:val="0"/>
              </w:rPr>
              <w:t xml:space="preserve">SUM(minutes_played) por player_id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19"/>
                <w:szCs w:val="19"/>
                <w:rtl w:val="0"/>
              </w:rPr>
              <w:t xml:space="preserve">Entero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19"/>
                <w:szCs w:val="19"/>
                <w:rtl w:val="0"/>
              </w:rPr>
              <w:t xml:space="preserve">goles_por_partido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19"/>
                <w:szCs w:val="19"/>
                <w:rtl w:val="0"/>
              </w:rPr>
              <w:t xml:space="preserve">total_goles / n_apariciones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19"/>
                <w:szCs w:val="19"/>
                <w:rtl w:val="0"/>
              </w:rPr>
              <w:t xml:space="preserve">Float — rendimiento normalizado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19"/>
                <w:szCs w:val="19"/>
                <w:rtl w:val="0"/>
              </w:rPr>
              <w:t xml:space="preserve">asistencias_por_partido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19"/>
                <w:szCs w:val="19"/>
                <w:rtl w:val="0"/>
              </w:rPr>
              <w:t xml:space="preserve">total_asistencias / n_apariciones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19"/>
                <w:szCs w:val="19"/>
                <w:rtl w:val="0"/>
              </w:rPr>
              <w:t xml:space="preserve">Float — rendimiento normalizado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19"/>
                <w:szCs w:val="19"/>
                <w:rtl w:val="0"/>
              </w:rPr>
              <w:t xml:space="preserve">minutos_promedio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19"/>
                <w:szCs w:val="19"/>
                <w:rtl w:val="0"/>
              </w:rPr>
              <w:t xml:space="preserve">total_minutos / n_apariciones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19"/>
                <w:szCs w:val="19"/>
                <w:rtl w:val="0"/>
              </w:rPr>
              <w:t xml:space="preserve">Float — participación típica</w:t>
            </w: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Paso 2 — Merge y filtrado</w:t>
      </w:r>
      <w:r w:rsidDel="00000000" w:rsidR="00000000" w:rsidRPr="00000000">
        <w:rPr>
          <w:rtl w:val="0"/>
        </w:rPr>
      </w:r>
    </w:p>
    <w:p w:rsidR="00000000" w:rsidDel="00000000" w:rsidP="00000000" w:rsidRDefault="00000000" w:rsidRPr="00000000" w14:paraId="00000129">
      <w:pPr>
        <w:spacing w:after="80" w:before="80" w:lineRule="auto"/>
        <w:rPr/>
      </w:pPr>
      <w:r w:rsidDel="00000000" w:rsidR="00000000" w:rsidRPr="00000000">
        <w:rPr>
          <w:rFonts w:ascii="Arial" w:cs="Arial" w:eastAsia="Arial" w:hAnsi="Arial"/>
          <w:color w:val="000000"/>
          <w:sz w:val="22"/>
          <w:szCs w:val="22"/>
          <w:rtl w:val="0"/>
        </w:rPr>
        <w:t xml:space="preserve">Se realiza un inner join entre players y las estadísticas agregadas usando player_id como clave. Luego se aplica el filtro:</w:t>
      </w:r>
      <w:r w:rsidDel="00000000" w:rsidR="00000000" w:rsidRPr="00000000">
        <w:rPr>
          <w:rtl w:val="0"/>
        </w:rPr>
      </w:r>
    </w:p>
    <w:p w:rsidR="00000000" w:rsidDel="00000000" w:rsidP="00000000" w:rsidRDefault="00000000" w:rsidRPr="00000000" w14:paraId="0000012A">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players_filtrado = players.merge(stats_jugador, on='player_id', how='inner')</w:t>
      </w:r>
      <w:r w:rsidDel="00000000" w:rsidR="00000000" w:rsidRPr="00000000">
        <w:rPr>
          <w:rtl w:val="0"/>
        </w:rPr>
      </w:r>
    </w:p>
    <w:p w:rsidR="00000000" w:rsidDel="00000000" w:rsidP="00000000" w:rsidRDefault="00000000" w:rsidRPr="00000000" w14:paraId="0000012B">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players_filtrado = players_filtrado[players_filtrado['n_apariciones'] &gt;= 5]</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center"/>
          </w:tcPr>
          <w:p w:rsidR="00000000" w:rsidDel="00000000" w:rsidP="00000000" w:rsidRDefault="00000000" w:rsidRPr="00000000" w14:paraId="0000012D">
            <w:pPr>
              <w:jc w:val="center"/>
              <w:rPr/>
            </w:pPr>
            <w:r w:rsidDel="00000000" w:rsidR="00000000" w:rsidRPr="00000000">
              <w:rPr>
                <w:rFonts w:ascii="Arial" w:cs="Arial" w:eastAsia="Arial" w:hAnsi="Arial"/>
                <w:b w:val="1"/>
                <w:bCs w:val="1"/>
                <w:color w:val="595959"/>
                <w:sz w:val="20"/>
                <w:szCs w:val="20"/>
                <w:rtl w:val="0"/>
              </w:rPr>
              <w:t xml:space="preserve">¿Por qué inner join?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tcPr>
          <w:p w:rsidR="00000000" w:rsidDel="00000000" w:rsidP="00000000" w:rsidRDefault="00000000" w:rsidRPr="00000000" w14:paraId="0000012E">
            <w:pPr>
              <w:rPr/>
            </w:pPr>
            <w:r w:rsidDel="00000000" w:rsidR="00000000" w:rsidRPr="00000000">
              <w:rPr>
                <w:rFonts w:ascii="Arial" w:cs="Arial" w:eastAsia="Arial" w:hAnsi="Arial"/>
                <w:color w:val="000000"/>
                <w:sz w:val="20"/>
                <w:szCs w:val="20"/>
                <w:rtl w:val="0"/>
              </w:rPr>
              <w:t xml:space="preserve">La alternativa (left join) preserva jugadores sin apariciones, pero con NaN en todas las features de rendimiento. No se puede aprender de ellos. El inner join garantiza que cada fila tenga estadísticas reales.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center"/>
          </w:tcPr>
          <w:p w:rsidR="00000000" w:rsidDel="00000000" w:rsidP="00000000" w:rsidRDefault="00000000" w:rsidRPr="00000000" w14:paraId="0000012F">
            <w:pPr>
              <w:jc w:val="center"/>
              <w:rPr/>
            </w:pPr>
            <w:r w:rsidDel="00000000" w:rsidR="00000000" w:rsidRPr="00000000">
              <w:rPr>
                <w:rFonts w:ascii="Arial" w:cs="Arial" w:eastAsia="Arial" w:hAnsi="Arial"/>
                <w:b w:val="1"/>
                <w:bCs w:val="1"/>
                <w:color w:val="595959"/>
                <w:sz w:val="20"/>
                <w:szCs w:val="20"/>
                <w:rtl w:val="0"/>
              </w:rPr>
              <w:t xml:space="preserve">¿Por qué el umbral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tcPr>
          <w:p w:rsidR="00000000" w:rsidDel="00000000" w:rsidP="00000000" w:rsidRDefault="00000000" w:rsidRPr="00000000" w14:paraId="00000130">
            <w:pPr>
              <w:rPr/>
            </w:pPr>
            <w:r w:rsidDel="00000000" w:rsidR="00000000" w:rsidRPr="00000000">
              <w:rPr>
                <w:rFonts w:ascii="Arial" w:cs="Arial" w:eastAsia="Arial" w:hAnsi="Arial"/>
                <w:color w:val="000000"/>
                <w:sz w:val="20"/>
                <w:szCs w:val="20"/>
                <w:rtl w:val="0"/>
              </w:rPr>
              <w:t xml:space="preserve">Un jugador con 1 aparición y 1 gol tendría goles_por_partido = 1.0, valor irreal. Con 5+ partidos las estadísticas son representativas del jugador real. Umbrales más altos reducen el dataset sin mejorar la calidad.</w:t>
            </w:r>
            <w:r w:rsidDel="00000000" w:rsidR="00000000" w:rsidRPr="00000000">
              <w:rPr>
                <w:rtl w:val="0"/>
              </w:rPr>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Paso 3 — Cálculo de la edad</w:t>
      </w:r>
      <w:r w:rsidDel="00000000" w:rsidR="00000000" w:rsidRPr="00000000">
        <w:rPr>
          <w:rtl w:val="0"/>
        </w:rPr>
      </w:r>
    </w:p>
    <w:p w:rsidR="00000000" w:rsidDel="00000000" w:rsidP="00000000" w:rsidRDefault="00000000" w:rsidRPr="00000000" w14:paraId="00000133">
      <w:pPr>
        <w:spacing w:after="80" w:before="80" w:lineRule="auto"/>
        <w:rPr/>
      </w:pPr>
      <w:r w:rsidDel="00000000" w:rsidR="00000000" w:rsidRPr="00000000">
        <w:rPr>
          <w:rFonts w:ascii="Arial" w:cs="Arial" w:eastAsia="Arial" w:hAnsi="Arial"/>
          <w:color w:val="000000"/>
          <w:sz w:val="22"/>
          <w:szCs w:val="22"/>
          <w:rtl w:val="0"/>
        </w:rPr>
        <w:t xml:space="preserve">Se calcula la edad en años a la fecha actual a partir de date_of_birth:</w:t>
      </w:r>
      <w:r w:rsidDel="00000000" w:rsidR="00000000" w:rsidRPr="00000000">
        <w:rPr>
          <w:rtl w:val="0"/>
        </w:rPr>
      </w:r>
    </w:p>
    <w:p w:rsidR="00000000" w:rsidDel="00000000" w:rsidP="00000000" w:rsidRDefault="00000000" w:rsidRPr="00000000" w14:paraId="00000134">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players_filtrado['edad'] = (pd.Timestamp('today') - players_filtrado['date_of_birth']).dt.days / 365.25</w:t>
      </w:r>
      <w:r w:rsidDel="00000000" w:rsidR="00000000" w:rsidRPr="00000000">
        <w:rPr>
          <w:rtl w:val="0"/>
        </w:rPr>
      </w:r>
    </w:p>
    <w:p w:rsidR="00000000" w:rsidDel="00000000" w:rsidP="00000000" w:rsidRDefault="00000000" w:rsidRPr="00000000" w14:paraId="00000135">
      <w:pPr>
        <w:spacing w:after="80" w:before="80" w:lineRule="auto"/>
        <w:rPr/>
      </w:pPr>
      <w:r w:rsidDel="00000000" w:rsidR="00000000" w:rsidRPr="00000000">
        <w:rPr>
          <w:rFonts w:ascii="Arial" w:cs="Arial" w:eastAsia="Arial" w:hAnsi="Arial"/>
          <w:color w:val="000000"/>
          <w:sz w:val="22"/>
          <w:szCs w:val="22"/>
          <w:rtl w:val="0"/>
        </w:rPr>
        <w:t xml:space="preserve">La distribución de edades muestra pico entre los 22 y 30 años, con cola a la derecha (jugadores veteranos en actividad) y a la izquierda (talentos jóvenes emergentes).</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Resultado del dataset analítico unificado</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160.0" w:type="dxa"/>
              <w:bottom w:w="120.0" w:type="dxa"/>
              <w:right w:w="160.0" w:type="dxa"/>
            </w:tcMar>
            <w:vAlign w:val="center"/>
          </w:tcPr>
          <w:p w:rsidR="00000000" w:rsidDel="00000000" w:rsidP="00000000" w:rsidRDefault="00000000" w:rsidRPr="00000000" w14:paraId="00000138">
            <w:pPr>
              <w:jc w:val="center"/>
              <w:rPr/>
            </w:pPr>
            <w:r w:rsidDel="00000000" w:rsidR="00000000" w:rsidRPr="00000000">
              <w:rPr>
                <w:rFonts w:ascii="Arial" w:cs="Arial" w:eastAsia="Arial" w:hAnsi="Arial"/>
                <w:b w:val="1"/>
                <w:bCs w:val="1"/>
                <w:color w:val="1f4e79"/>
                <w:sz w:val="20"/>
                <w:szCs w:val="20"/>
                <w:rtl w:val="0"/>
              </w:rPr>
              <w:t xml:space="preserve">📊 DATASET FINAL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120.0" w:type="dxa"/>
              <w:left w:w="160.0" w:type="dxa"/>
              <w:bottom w:w="120.0" w:type="dxa"/>
              <w:right w:w="160.0" w:type="dxa"/>
            </w:tcMar>
          </w:tcPr>
          <w:p w:rsidR="00000000" w:rsidDel="00000000" w:rsidP="00000000" w:rsidRDefault="00000000" w:rsidRPr="00000000" w14:paraId="00000139">
            <w:pPr>
              <w:rPr/>
            </w:pPr>
            <w:r w:rsidDel="00000000" w:rsidR="00000000" w:rsidRPr="00000000">
              <w:rPr>
                <w:rFonts w:ascii="Arial" w:cs="Arial" w:eastAsia="Arial" w:hAnsi="Arial"/>
                <w:color w:val="000000"/>
                <w:sz w:val="20"/>
                <w:szCs w:val="20"/>
                <w:rtl w:val="0"/>
              </w:rPr>
              <w:t xml:space="preserve">players_filtrado: ~15.000–20.000 jugadores (depende del corte temporal). Cada fila representa un jugador único con su perfil, estadísticas de carrera acumuladas y target.</w:t>
            </w:r>
            <w:r w:rsidDel="00000000" w:rsidR="00000000" w:rsidRPr="00000000">
              <w:rPr>
                <w:rtl w:val="0"/>
              </w:rPr>
            </w:r>
          </w:p>
        </w:tc>
      </w:tr>
    </w:tbl>
    <w:p w:rsidR="00000000" w:rsidDel="00000000" w:rsidP="00000000" w:rsidRDefault="00000000" w:rsidRPr="00000000" w14:paraId="0000013A">
      <w:pPr>
        <w:rPr/>
      </w:pPr>
      <w:r w:rsidDel="00000000" w:rsidR="00000000" w:rsidRPr="00000000">
        <w:br w:type="page"/>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00.0" w:type="dxa"/>
              <w:left w:w="200.0" w:type="dxa"/>
              <w:bottom w:w="100.0" w:type="dxa"/>
              <w:right w:w="20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1f4e79"/>
                <w:sz w:val="24"/>
                <w:szCs w:val="24"/>
                <w:rtl w:val="0"/>
              </w:rPr>
              <w:t xml:space="preserve">6. Transformaciones</w:t>
            </w: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6.1 Transformación Logarítmica del Target</w:t>
      </w:r>
      <w:r w:rsidDel="00000000" w:rsidR="00000000" w:rsidRPr="00000000">
        <w:rPr>
          <w:rtl w:val="0"/>
        </w:rPr>
      </w:r>
    </w:p>
    <w:p w:rsidR="00000000" w:rsidDel="00000000" w:rsidP="00000000" w:rsidRDefault="00000000" w:rsidRPr="00000000" w14:paraId="0000013E">
      <w:pPr>
        <w:spacing w:after="80" w:before="80" w:lineRule="auto"/>
        <w:rPr/>
      </w:pPr>
      <w:r w:rsidDel="00000000" w:rsidR="00000000" w:rsidRPr="00000000">
        <w:rPr>
          <w:rFonts w:ascii="Arial" w:cs="Arial" w:eastAsia="Arial" w:hAnsi="Arial"/>
          <w:color w:val="000000"/>
          <w:sz w:val="22"/>
          <w:szCs w:val="22"/>
          <w:rtl w:val="0"/>
        </w:rPr>
        <w:t xml:space="preserve">La transformación más importante del notebook. Aplicamos log(1 + x) al valor de mercado:</w:t>
      </w:r>
      <w:r w:rsidDel="00000000" w:rsidR="00000000" w:rsidRPr="00000000">
        <w:rPr>
          <w:rtl w:val="0"/>
        </w:rPr>
      </w:r>
    </w:p>
    <w:p w:rsidR="00000000" w:rsidDel="00000000" w:rsidP="00000000" w:rsidRDefault="00000000" w:rsidRPr="00000000" w14:paraId="0000013F">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players_filtrado['log_market_value'] = np.log1p(players_filtrado['market_value_in_eur'])</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spacing w:after="80" w:before="80" w:lineRule="auto"/>
        <w:rPr/>
      </w:pPr>
      <w:r w:rsidDel="00000000" w:rsidR="00000000" w:rsidRPr="00000000">
        <w:rPr>
          <w:rFonts w:ascii="Arial" w:cs="Arial" w:eastAsia="Arial" w:hAnsi="Arial"/>
          <w:b w:val="1"/>
          <w:bCs w:val="1"/>
          <w:color w:val="000000"/>
          <w:sz w:val="22"/>
          <w:szCs w:val="22"/>
          <w:rtl w:val="0"/>
        </w:rPr>
        <w:t xml:space="preserve">Por qué log1p y no log:</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log(x) falla con x=0. log1p(0) = 0, lo que maneja correctamente jugadores con valuación cero.</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646584927"/>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 escala resultante va de 0 a ~19 (log de 180M€ ≈ 18.9), mucho más manejable para los modelos.</w:t>
          </w:r>
        </w:sdtContent>
      </w:sdt>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métricas RMSE y MAE se calcularán en la escala log y luego se reconvertirán con expm1() para expresarlas en millones de euros.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6.2 Encoding de Posición</w:t>
      </w:r>
      <w:r w:rsidDel="00000000" w:rsidR="00000000" w:rsidRPr="00000000">
        <w:rPr>
          <w:rtl w:val="0"/>
        </w:rPr>
      </w:r>
    </w:p>
    <w:p w:rsidR="00000000" w:rsidDel="00000000" w:rsidP="00000000" w:rsidRDefault="00000000" w:rsidRPr="00000000" w14:paraId="00000147">
      <w:pPr>
        <w:spacing w:after="80" w:before="80" w:lineRule="auto"/>
        <w:rPr/>
      </w:pPr>
      <w:r w:rsidDel="00000000" w:rsidR="00000000" w:rsidRPr="00000000">
        <w:rPr>
          <w:rFonts w:ascii="Arial" w:cs="Arial" w:eastAsia="Arial" w:hAnsi="Arial"/>
          <w:color w:val="000000"/>
          <w:sz w:val="22"/>
          <w:szCs w:val="22"/>
          <w:rtl w:val="0"/>
        </w:rPr>
        <w:t xml:space="preserve">Se mapea la posición del jugador a un valor ordinal que representa la zona del campo:</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19"/>
                <w:szCs w:val="19"/>
                <w:rtl w:val="0"/>
              </w:rPr>
              <w:t xml:space="preserve">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ffffff"/>
                <w:sz w:val="19"/>
                <w:szCs w:val="19"/>
                <w:rtl w:val="0"/>
              </w:rPr>
              <w:t xml:space="preserve">Posiciones incluidas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19"/>
                <w:szCs w:val="19"/>
                <w:rtl w:val="0"/>
              </w:rPr>
              <w:t xml:space="preserve">1 — Arquero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19"/>
                <w:szCs w:val="19"/>
                <w:rtl w:val="0"/>
              </w:rPr>
              <w:t xml:space="preserve">Goalkeeper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19"/>
                <w:szCs w:val="19"/>
                <w:rtl w:val="0"/>
              </w:rPr>
              <w:t xml:space="preserve">2 — Defensor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19"/>
                <w:szCs w:val="19"/>
                <w:rtl w:val="0"/>
              </w:rPr>
              <w:t xml:space="preserve">Defender, Centre-Back, Left-Back, Right-Back, Defence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19"/>
                <w:szCs w:val="19"/>
                <w:rtl w:val="0"/>
              </w:rPr>
              <w:t xml:space="preserve">3 — Mediocampista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19"/>
                <w:szCs w:val="19"/>
                <w:rtl w:val="0"/>
              </w:rPr>
              <w:t xml:space="preserve">Midfielder, Midfield, Central Midfield, Defensive Midfield, Attacking Midfield, Left/Right Midfield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19"/>
                <w:szCs w:val="19"/>
                <w:rtl w:val="0"/>
              </w:rPr>
              <w:t xml:space="preserve">4 — Delantero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19"/>
                <w:szCs w:val="19"/>
                <w:rtl w:val="0"/>
              </w:rPr>
              <w:t xml:space="preserve">Forward, Centre-Forward, Left Winger, Right Winger, Second Striker, Attack</w:t>
            </w:r>
            <w:r w:rsidDel="00000000" w:rsidR="00000000" w:rsidRPr="00000000">
              <w:rPr>
                <w:rtl w:val="0"/>
              </w:rPr>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spacing w:after="80" w:before="80" w:lineRule="auto"/>
        <w:rPr/>
      </w:pPr>
      <w:r w:rsidDel="00000000" w:rsidR="00000000" w:rsidRPr="00000000">
        <w:rPr>
          <w:rFonts w:ascii="Arial" w:cs="Arial" w:eastAsia="Arial" w:hAnsi="Arial"/>
          <w:color w:val="000000"/>
          <w:sz w:val="22"/>
          <w:szCs w:val="22"/>
          <w:rtl w:val="0"/>
        </w:rPr>
        <w:t xml:space="preserve">Se usa sub_position como fuente preferida (más granular) y se cae a position para los casos sin match. Para modelos no lineales como Random Forest y XGBoost, también se generan dummies one-hot de sub_position.</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6.3 Normalización — StandardScaler</w:t>
      </w:r>
      <w:r w:rsidDel="00000000" w:rsidR="00000000" w:rsidRPr="00000000">
        <w:rPr>
          <w:rtl w:val="0"/>
        </w:rPr>
      </w:r>
    </w:p>
    <w:p w:rsidR="00000000" w:rsidDel="00000000" w:rsidP="00000000" w:rsidRDefault="00000000" w:rsidRPr="00000000" w14:paraId="00000156">
      <w:pPr>
        <w:spacing w:after="80" w:before="80" w:lineRule="auto"/>
        <w:rPr/>
      </w:pPr>
      <w:r w:rsidDel="00000000" w:rsidR="00000000" w:rsidRPr="00000000">
        <w:rPr>
          <w:rFonts w:ascii="Arial" w:cs="Arial" w:eastAsia="Arial" w:hAnsi="Arial"/>
          <w:color w:val="000000"/>
          <w:sz w:val="22"/>
          <w:szCs w:val="22"/>
          <w:rtl w:val="0"/>
        </w:rPr>
        <w:t xml:space="preserve">Se aplica StandardScaler (media = 0, desvío estándar = 1) sobre las variables numéricas continuas. Esta transformación es esencial para los modelos lineales (Regresión Ridge), aunque los modelos de árboles son invariantes a la escala.</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920"/>
        <w:gridCol w:w="1440"/>
        <w:gridCol w:w="1440"/>
        <w:gridCol w:w="1560"/>
        <w:tblGridChange w:id="0">
          <w:tblGrid>
            <w:gridCol w:w="3000"/>
            <w:gridCol w:w="1920"/>
            <w:gridCol w:w="1440"/>
            <w:gridCol w:w="144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ffffff"/>
                <w:sz w:val="19"/>
                <w:szCs w:val="19"/>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ffffff"/>
                <w:sz w:val="19"/>
                <w:szCs w:val="19"/>
                <w:rtl w:val="0"/>
              </w:rPr>
              <w:t xml:space="preserve">Antes (media aprox.)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ffffff"/>
                <w:sz w:val="19"/>
                <w:szCs w:val="19"/>
                <w:rtl w:val="0"/>
              </w:rPr>
              <w:t xml:space="preserve">Antes (std aprox.)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19"/>
                <w:szCs w:val="19"/>
                <w:rtl w:val="0"/>
              </w:rPr>
              <w:t xml:space="preserve">Después (media)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19"/>
                <w:szCs w:val="19"/>
                <w:rtl w:val="0"/>
              </w:rPr>
              <w:t xml:space="preserve">Después (std)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19"/>
                <w:szCs w:val="19"/>
                <w:rtl w:val="0"/>
              </w:rPr>
              <w:t xml:space="preserve">edad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19"/>
                <w:szCs w:val="19"/>
                <w:rtl w:val="0"/>
              </w:rPr>
              <w:t xml:space="preserve">26 años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19"/>
                <w:szCs w:val="19"/>
                <w:rtl w:val="0"/>
              </w:rPr>
              <w:t xml:space="preserve">5 años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19"/>
                <w:szCs w:val="19"/>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19"/>
                <w:szCs w:val="19"/>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19"/>
                <w:szCs w:val="19"/>
                <w:rtl w:val="0"/>
              </w:rPr>
              <w:t xml:space="preserve">goles_por_partido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19"/>
                <w:szCs w:val="19"/>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19"/>
                <w:szCs w:val="19"/>
                <w:rtl w:val="0"/>
              </w:rPr>
              <w:t xml:space="preserve">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19"/>
                <w:szCs w:val="19"/>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19"/>
                <w:szCs w:val="19"/>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19"/>
                <w:szCs w:val="19"/>
                <w:rtl w:val="0"/>
              </w:rPr>
              <w:t xml:space="preserve">asistencias_por_partido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19"/>
                <w:szCs w:val="19"/>
                <w:rtl w:val="0"/>
              </w:rPr>
              <w:t xml:space="preserve">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19"/>
                <w:szCs w:val="19"/>
                <w:rtl w:val="0"/>
              </w:rPr>
              <w:t xml:space="preserve">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19"/>
                <w:szCs w:val="19"/>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19"/>
                <w:szCs w:val="19"/>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19"/>
                <w:szCs w:val="19"/>
                <w:rtl w:val="0"/>
              </w:rPr>
              <w:t xml:space="preserve">minutos_promedio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19"/>
                <w:szCs w:val="19"/>
                <w:rtl w:val="0"/>
              </w:rPr>
              <w:t xml:space="preserve">62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19"/>
                <w:szCs w:val="19"/>
                <w:rtl w:val="0"/>
              </w:rPr>
              <w:t xml:space="preserve">28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19"/>
                <w:szCs w:val="19"/>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19"/>
                <w:szCs w:val="19"/>
                <w:rtl w:val="0"/>
              </w:rPr>
              <w:t xml:space="preserve">1.00</w:t>
            </w:r>
            <w:r w:rsidDel="00000000" w:rsidR="00000000" w:rsidRPr="00000000">
              <w:rPr>
                <w:rtl w:val="0"/>
              </w:rPr>
            </w:r>
          </w:p>
        </w:tc>
      </w:tr>
    </w:tbl>
    <w:p w:rsidR="00000000" w:rsidDel="00000000" w:rsidP="00000000" w:rsidRDefault="00000000" w:rsidRPr="00000000" w14:paraId="00000171">
      <w:pPr>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ce5cd" w:val="clear"/>
            <w:tcMar>
              <w:top w:w="120.0" w:type="dxa"/>
              <w:left w:w="160.0" w:type="dxa"/>
              <w:bottom w:w="120.0" w:type="dxa"/>
              <w:right w:w="160.0" w:type="dxa"/>
            </w:tcMar>
            <w:vAlign w:val="center"/>
          </w:tcPr>
          <w:p w:rsidR="00000000" w:rsidDel="00000000" w:rsidP="00000000" w:rsidRDefault="00000000" w:rsidRPr="00000000" w14:paraId="00000172">
            <w:pPr>
              <w:jc w:val="center"/>
              <w:rPr/>
            </w:pPr>
            <w:r w:rsidDel="00000000" w:rsidR="00000000" w:rsidRPr="00000000">
              <w:rPr>
                <w:rFonts w:ascii="Arial" w:cs="Arial" w:eastAsia="Arial" w:hAnsi="Arial"/>
                <w:b w:val="1"/>
                <w:bCs w:val="1"/>
                <w:color w:val="c55a11"/>
                <w:sz w:val="20"/>
                <w:szCs w:val="20"/>
                <w:rtl w:val="0"/>
              </w:rPr>
              <w:t xml:space="preserve">📌 NOTA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ce5cd" w:val="clear"/>
            <w:tcMar>
              <w:top w:w="120.0" w:type="dxa"/>
              <w:left w:w="160.0" w:type="dxa"/>
              <w:bottom w:w="120.0" w:type="dxa"/>
              <w:right w:w="160.0" w:type="dxa"/>
            </w:tcMar>
          </w:tcPr>
          <w:p w:rsidR="00000000" w:rsidDel="00000000" w:rsidP="00000000" w:rsidRDefault="00000000" w:rsidRPr="00000000" w14:paraId="00000173">
            <w:pPr>
              <w:rPr/>
            </w:pPr>
            <w:r w:rsidDel="00000000" w:rsidR="00000000" w:rsidRPr="00000000">
              <w:rPr>
                <w:rFonts w:ascii="Arial" w:cs="Arial" w:eastAsia="Arial" w:hAnsi="Arial"/>
                <w:color w:val="000000"/>
                <w:sz w:val="20"/>
                <w:szCs w:val="20"/>
                <w:rtl w:val="0"/>
              </w:rPr>
              <w:t xml:space="preserve">La estandarización se aplica dos veces en el notebook: parcialmente en la sección 7.3 (sin las features de FE) y completamente en la sección 9 (incluidas tendencia_valor y valor_mediano_liga). Para modelado se usa siempre la versión final de la sección 9.</w:t>
            </w:r>
            <w:r w:rsidDel="00000000" w:rsidR="00000000" w:rsidRPr="00000000">
              <w:rPr>
                <w:rtl w:val="0"/>
              </w:rPr>
            </w:r>
          </w:p>
        </w:tc>
      </w:tr>
    </w:tbl>
    <w:p w:rsidR="00000000" w:rsidDel="00000000" w:rsidP="00000000" w:rsidRDefault="00000000" w:rsidRPr="00000000" w14:paraId="00000174">
      <w:pPr>
        <w:rPr/>
      </w:pPr>
      <w:r w:rsidDel="00000000" w:rsidR="00000000" w:rsidRPr="00000000">
        <w:br w:type="page"/>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00.0" w:type="dxa"/>
              <w:left w:w="200.0" w:type="dxa"/>
              <w:bottom w:w="100.0" w:type="dxa"/>
              <w:right w:w="20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1f4e79"/>
                <w:sz w:val="24"/>
                <w:szCs w:val="24"/>
                <w:rtl w:val="0"/>
              </w:rPr>
              <w:t xml:space="preserve">7. Feature Engineering — Variables Derivadas</w:t>
            </w:r>
            <w:r w:rsidDel="00000000" w:rsidR="00000000" w:rsidRPr="00000000">
              <w:rPr>
                <w:rtl w:val="0"/>
              </w:rPr>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after="80" w:before="80" w:lineRule="auto"/>
        <w:rPr/>
      </w:pPr>
      <w:r w:rsidDel="00000000" w:rsidR="00000000" w:rsidRPr="00000000">
        <w:rPr>
          <w:rFonts w:ascii="Arial" w:cs="Arial" w:eastAsia="Arial" w:hAnsi="Arial"/>
          <w:color w:val="000000"/>
          <w:sz w:val="22"/>
          <w:szCs w:val="22"/>
          <w:rtl w:val="0"/>
        </w:rPr>
        <w:t xml:space="preserve">En esta sección se construyen 4 variables derivadas que capturan dimensiones del valor de mercado que no están disponibles directamente en players.csv. Cada una se construye desde cero a partir de los CSVs originales.</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1760"/>
        <w:gridCol w:w="3200"/>
        <w:tblGridChange w:id="0">
          <w:tblGrid>
            <w:gridCol w:w="2200"/>
            <w:gridCol w:w="2200"/>
            <w:gridCol w:w="1760"/>
            <w:gridCol w:w="3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ffffff"/>
                <w:sz w:val="19"/>
                <w:szCs w:val="19"/>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ffffff"/>
                <w:sz w:val="19"/>
                <w:szCs w:val="19"/>
                <w:rtl w:val="0"/>
              </w:rPr>
              <w:t xml:space="preserve">Fuente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ffffff"/>
                <w:sz w:val="19"/>
                <w:szCs w:val="19"/>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ffffff"/>
                <w:sz w:val="19"/>
                <w:szCs w:val="19"/>
                <w:rtl w:val="0"/>
              </w:rPr>
              <w:t xml:space="preserve">Qué captura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19"/>
                <w:szCs w:val="19"/>
                <w:rtl w:val="0"/>
              </w:rPr>
              <w:t xml:space="preserve">flag_club_grande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19"/>
                <w:szCs w:val="19"/>
                <w:rtl w:val="0"/>
              </w:rPr>
              <w:t xml:space="preserve">players.csv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sz w:val="19"/>
                <w:szCs w:val="19"/>
                <w:rtl w:val="0"/>
              </w:rPr>
              <w:t xml:space="preserve">Binaria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sz w:val="19"/>
                <w:szCs w:val="19"/>
                <w:rtl w:val="0"/>
              </w:rPr>
              <w:t xml:space="preserve">Si el jugador juega en una de las 5 grandes ligas europeas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19"/>
                <w:szCs w:val="19"/>
                <w:rtl w:val="0"/>
              </w:rPr>
              <w:t xml:space="preserve">tendencia_valor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19"/>
                <w:szCs w:val="19"/>
                <w:rtl w:val="0"/>
              </w:rPr>
              <w:t xml:space="preserve">player_valuations.csv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19"/>
                <w:szCs w:val="19"/>
                <w:rtl w:val="0"/>
              </w:rPr>
              <w:t xml:space="preserve">Numérica (€/día)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19"/>
                <w:szCs w:val="19"/>
                <w:rtl w:val="0"/>
              </w:rPr>
              <w:t xml:space="preserve">Momentum reciente: ¿está subiendo o bajando su valor?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19"/>
                <w:szCs w:val="19"/>
                <w:rtl w:val="0"/>
              </w:rPr>
              <w:t xml:space="preserve">valor_mediano_liga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19"/>
                <w:szCs w:val="19"/>
                <w:rtl w:val="0"/>
              </w:rPr>
              <w:t xml:space="preserve">player_valuations.csv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19"/>
                <w:szCs w:val="19"/>
                <w:rtl w:val="0"/>
              </w:rPr>
              <w:t xml:space="preserve">Numérica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19"/>
                <w:szCs w:val="19"/>
                <w:rtl w:val="0"/>
              </w:rPr>
              <w:t xml:space="preserve">Contexto económico: ¿qué nivel tiene su liga?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19"/>
                <w:szCs w:val="19"/>
                <w:rtl w:val="0"/>
              </w:rPr>
              <w:t xml:space="preserve">indice_inflacion_mercado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19"/>
                <w:szCs w:val="19"/>
                <w:rtl w:val="0"/>
              </w:rPr>
              <w:t xml:space="preserve">player_valuations.csv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19"/>
                <w:szCs w:val="19"/>
                <w:rtl w:val="0"/>
              </w:rPr>
              <w:t xml:space="preserve">Ratio (base 2020=1.0)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19"/>
                <w:szCs w:val="19"/>
                <w:rtl w:val="0"/>
              </w:rPr>
              <w:t xml:space="preserve">Inflación interna del mercado de valuaciones Transfermarkt</w:t>
            </w:r>
            <w:r w:rsidDel="00000000" w:rsidR="00000000" w:rsidRPr="00000000">
              <w:rPr>
                <w:rtl w:val="0"/>
              </w:rPr>
            </w:r>
          </w:p>
        </w:tc>
      </w:tr>
    </w:tbl>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7.1 flag_club_grande</w:t>
      </w:r>
      <w:r w:rsidDel="00000000" w:rsidR="00000000" w:rsidRPr="00000000">
        <w:rPr>
          <w:rtl w:val="0"/>
        </w:rPr>
      </w:r>
    </w:p>
    <w:p w:rsidR="00000000" w:rsidDel="00000000" w:rsidP="00000000" w:rsidRDefault="00000000" w:rsidRPr="00000000" w14:paraId="0000018F">
      <w:pPr>
        <w:spacing w:after="80" w:before="80" w:lineRule="auto"/>
        <w:rPr/>
      </w:pPr>
      <w:r w:rsidDel="00000000" w:rsidR="00000000" w:rsidRPr="00000000">
        <w:rPr>
          <w:rFonts w:ascii="Arial" w:cs="Arial" w:eastAsia="Arial" w:hAnsi="Arial"/>
          <w:color w:val="000000"/>
          <w:sz w:val="22"/>
          <w:szCs w:val="22"/>
          <w:rtl w:val="0"/>
        </w:rPr>
        <w:t xml:space="preserve">Variable binaria que vale 1 si el jugador milita en una de las cinco ligas más importantes de Europa según su current_club_domestic_competition_id:</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GB1 — Premier League (Inglaterra)</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ES1 — La Liga (España)</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L1 — Bundesliga (Alemania)</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IT1 — Serie A (Italia)</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FR1 — Ligue 1 (Francia)</w:t>
      </w:r>
    </w:p>
    <w:p w:rsidR="00000000" w:rsidDel="00000000" w:rsidP="00000000" w:rsidRDefault="00000000" w:rsidRPr="00000000" w14:paraId="00000195">
      <w:pPr>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ad3" w:val="clear"/>
            <w:tcMar>
              <w:top w:w="120.0" w:type="dxa"/>
              <w:left w:w="160.0" w:type="dxa"/>
              <w:bottom w:w="120.0" w:type="dxa"/>
              <w:right w:w="160.0" w:type="dxa"/>
            </w:tcMar>
            <w:vAlign w:val="center"/>
          </w:tcPr>
          <w:p w:rsidR="00000000" w:rsidDel="00000000" w:rsidP="00000000" w:rsidRDefault="00000000" w:rsidRPr="00000000" w14:paraId="00000196">
            <w:pPr>
              <w:jc w:val="center"/>
              <w:rPr/>
            </w:pPr>
            <w:r w:rsidDel="00000000" w:rsidR="00000000" w:rsidRPr="00000000">
              <w:rPr>
                <w:rFonts w:ascii="Arial" w:cs="Arial" w:eastAsia="Arial" w:hAnsi="Arial"/>
                <w:b w:val="1"/>
                <w:bCs w:val="1"/>
                <w:color w:val="1e6b3c"/>
                <w:sz w:val="20"/>
                <w:szCs w:val="20"/>
                <w:rtl w:val="0"/>
              </w:rPr>
              <w:t xml:space="preserve">📊 RESULTADO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ad3" w:val="clear"/>
            <w:tcMar>
              <w:top w:w="120.0" w:type="dxa"/>
              <w:left w:w="160.0" w:type="dxa"/>
              <w:bottom w:w="120.0" w:type="dxa"/>
              <w:right w:w="160.0" w:type="dxa"/>
            </w:tcMar>
          </w:tcPr>
          <w:p w:rsidR="00000000" w:rsidDel="00000000" w:rsidP="00000000" w:rsidRDefault="00000000" w:rsidRPr="00000000" w14:paraId="00000197">
            <w:pPr>
              <w:rPr/>
            </w:pPr>
            <w:r w:rsidDel="00000000" w:rsidR="00000000" w:rsidRPr="00000000">
              <w:rPr>
                <w:rFonts w:ascii="Arial" w:cs="Arial" w:eastAsia="Arial" w:hAnsi="Arial"/>
                <w:color w:val="000000"/>
                <w:sz w:val="20"/>
                <w:szCs w:val="20"/>
                <w:rtl w:val="0"/>
              </w:rPr>
              <w:t xml:space="preserve">Los jugadores de las 5 grandes ligas tienen una mediana de valor entre 3x y 8x mayor que el resto. Esta variable tiene alto poder discriminativo y es trivialmente interpretable para un director deportivo.</w:t>
            </w:r>
            <w:r w:rsidDel="00000000" w:rsidR="00000000" w:rsidRPr="00000000">
              <w:rPr>
                <w:rtl w:val="0"/>
              </w:rPr>
            </w:r>
          </w:p>
        </w:tc>
      </w:tr>
    </w:tbl>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7.2 tendencia_valor</w:t>
      </w:r>
      <w:r w:rsidDel="00000000" w:rsidR="00000000" w:rsidRPr="00000000">
        <w:rPr>
          <w:rtl w:val="0"/>
        </w:rPr>
      </w:r>
    </w:p>
    <w:p w:rsidR="00000000" w:rsidDel="00000000" w:rsidP="00000000" w:rsidRDefault="00000000" w:rsidRPr="00000000" w14:paraId="0000019A">
      <w:pPr>
        <w:spacing w:after="80" w:before="80" w:lineRule="auto"/>
        <w:rPr/>
      </w:pPr>
      <w:r w:rsidDel="00000000" w:rsidR="00000000" w:rsidRPr="00000000">
        <w:rPr>
          <w:rFonts w:ascii="Arial" w:cs="Arial" w:eastAsia="Arial" w:hAnsi="Arial"/>
          <w:color w:val="000000"/>
          <w:sz w:val="22"/>
          <w:szCs w:val="22"/>
          <w:rtl w:val="0"/>
        </w:rPr>
        <w:t xml:space="preserve">Para cada jugador se toman sus últimas 3 valuaciones en player_valuations.csv (ordenadas por fecha). Se ajusta una regresión lineal simple y se extrae la pendiente en €/día:</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positiva: jugador en alza (joven en desarrollo, buena temporada reciente)</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negativa: jugador en declive (lesiones, mala forma, edad avanzada)</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NaN: jugador con menos de 2 valuaciones registradas</w:t>
      </w:r>
    </w:p>
    <w:p w:rsidR="00000000" w:rsidDel="00000000" w:rsidP="00000000" w:rsidRDefault="00000000" w:rsidRPr="00000000" w14:paraId="0000019E">
      <w:pPr>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160.0" w:type="dxa"/>
              <w:bottom w:w="120.0" w:type="dxa"/>
              <w:right w:w="160.0" w:type="dxa"/>
            </w:tcMar>
            <w:vAlign w:val="center"/>
          </w:tcPr>
          <w:p w:rsidR="00000000" w:rsidDel="00000000" w:rsidP="00000000" w:rsidRDefault="00000000" w:rsidRPr="00000000" w14:paraId="0000019F">
            <w:pPr>
              <w:jc w:val="center"/>
              <w:rPr/>
            </w:pPr>
            <w:r w:rsidDel="00000000" w:rsidR="00000000" w:rsidRPr="00000000">
              <w:rPr>
                <w:rFonts w:ascii="Arial" w:cs="Arial" w:eastAsia="Arial" w:hAnsi="Arial"/>
                <w:b w:val="1"/>
                <w:bCs w:val="1"/>
                <w:color w:val="1f4e79"/>
                <w:sz w:val="20"/>
                <w:szCs w:val="20"/>
                <w:rtl w:val="0"/>
              </w:rPr>
              <w:t xml:space="preserve">💡 INTERPRETACIÓN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120.0" w:type="dxa"/>
              <w:left w:w="160.0" w:type="dxa"/>
              <w:bottom w:w="120.0" w:type="dxa"/>
              <w:right w:w="160.0" w:type="dxa"/>
            </w:tcMar>
          </w:tcPr>
          <w:p w:rsidR="00000000" w:rsidDel="00000000" w:rsidP="00000000" w:rsidRDefault="00000000" w:rsidRPr="00000000" w14:paraId="000001A0">
            <w:pPr>
              <w:rPr/>
            </w:pPr>
            <w:r w:rsidDel="00000000" w:rsidR="00000000" w:rsidRPr="00000000">
              <w:rPr>
                <w:rFonts w:ascii="Arial" w:cs="Arial" w:eastAsia="Arial" w:hAnsi="Arial"/>
                <w:color w:val="000000"/>
                <w:sz w:val="20"/>
                <w:szCs w:val="20"/>
                <w:rtl w:val="0"/>
              </w:rPr>
              <w:t xml:space="preserve">La tendencia captura el momentum del jugador — una señal que un modelo estático sobre el valor puntual no puede detectar. Es especialmente valiosa para identificar jugadores subvaluados cuyo valor está subiendo más rápido de lo que Transfermarkt actualiza.</w:t>
            </w:r>
            <w:r w:rsidDel="00000000" w:rsidR="00000000" w:rsidRPr="00000000">
              <w:rPr>
                <w:rtl w:val="0"/>
              </w:rPr>
            </w:r>
          </w:p>
        </w:tc>
      </w:tr>
    </w:tbl>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7.3 valor_mediano_liga</w:t>
      </w:r>
      <w:r w:rsidDel="00000000" w:rsidR="00000000" w:rsidRPr="00000000">
        <w:rPr>
          <w:rtl w:val="0"/>
        </w:rPr>
      </w:r>
    </w:p>
    <w:p w:rsidR="00000000" w:rsidDel="00000000" w:rsidP="00000000" w:rsidRDefault="00000000" w:rsidRPr="00000000" w14:paraId="000001A3">
      <w:pPr>
        <w:spacing w:after="80" w:before="80" w:lineRule="auto"/>
        <w:rPr/>
      </w:pPr>
      <w:r w:rsidDel="00000000" w:rsidR="00000000" w:rsidRPr="00000000">
        <w:rPr>
          <w:rFonts w:ascii="Arial" w:cs="Arial" w:eastAsia="Arial" w:hAnsi="Arial"/>
          <w:color w:val="000000"/>
          <w:sz w:val="22"/>
          <w:szCs w:val="22"/>
          <w:rtl w:val="0"/>
        </w:rPr>
        <w:t xml:space="preserve">Para cada combinación (liga, año) se calcula el valor mediano de todos los jugadores con valuación en player_valuations.csv. Luego se hace un join con players_filtrado usando la liga y el año de la última valuación disponible por jugador.</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after="80" w:before="80" w:lineRule="auto"/>
        <w:rPr/>
      </w:pPr>
      <w:r w:rsidDel="00000000" w:rsidR="00000000" w:rsidRPr="00000000">
        <w:rPr>
          <w:rFonts w:ascii="Arial" w:cs="Arial" w:eastAsia="Arial" w:hAnsi="Arial"/>
          <w:b w:val="1"/>
          <w:bCs w:val="1"/>
          <w:color w:val="000000"/>
          <w:sz w:val="22"/>
          <w:szCs w:val="22"/>
          <w:rtl w:val="0"/>
        </w:rPr>
        <w:t xml:space="preserve">Por qué esta variable es útil:</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mismo nivel de rendimiento vale distinto en la Premier League que en la Segunda División griega.</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Permite al modelo aprender relatividades: un jugador que vale el doble que la mediana de su liga es más valioso que uno que vale el doble en una liga de menor nivel.</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correlación positiva con log_market_value confirma su poder predictivo.</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7.4 indice_inflacion_mercado</w:t>
      </w:r>
      <w:r w:rsidDel="00000000" w:rsidR="00000000" w:rsidRPr="00000000">
        <w:rPr>
          <w:rtl w:val="0"/>
        </w:rPr>
      </w:r>
    </w:p>
    <w:p w:rsidR="00000000" w:rsidDel="00000000" w:rsidP="00000000" w:rsidRDefault="00000000" w:rsidRPr="00000000" w14:paraId="000001AB">
      <w:pPr>
        <w:spacing w:after="80" w:before="80" w:lineRule="auto"/>
        <w:rPr/>
      </w:pPr>
      <w:r w:rsidDel="00000000" w:rsidR="00000000" w:rsidRPr="00000000">
        <w:rPr>
          <w:rFonts w:ascii="Arial" w:cs="Arial" w:eastAsia="Arial" w:hAnsi="Arial"/>
          <w:color w:val="000000"/>
          <w:sz w:val="22"/>
          <w:szCs w:val="22"/>
          <w:rtl w:val="0"/>
        </w:rPr>
        <w:t xml:space="preserve">Construcción:</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calcula la mediana global de todos los jugadores valuados en el dataset para cada año.</w:t>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normaliza usando 2020 como año base (índice 2020 = 1.0).</w:t>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asigna el índice correspondiente a cada jugador según el año de su última valuación.</w:t>
      </w:r>
    </w:p>
    <w:p w:rsidR="00000000" w:rsidDel="00000000" w:rsidP="00000000" w:rsidRDefault="00000000" w:rsidRPr="00000000" w14:paraId="000001AF">
      <w:pPr>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ce5cd" w:val="clear"/>
            <w:tcMar>
              <w:top w:w="120.0" w:type="dxa"/>
              <w:left w:w="160.0" w:type="dxa"/>
              <w:bottom w:w="120.0" w:type="dxa"/>
              <w:right w:w="160.0" w:type="dxa"/>
            </w:tcMar>
            <w:vAlign w:val="center"/>
          </w:tcPr>
          <w:p w:rsidR="00000000" w:rsidDel="00000000" w:rsidP="00000000" w:rsidRDefault="00000000" w:rsidRPr="00000000" w14:paraId="000001B0">
            <w:pPr>
              <w:jc w:val="center"/>
              <w:rPr/>
            </w:pPr>
            <w:r w:rsidDel="00000000" w:rsidR="00000000" w:rsidRPr="00000000">
              <w:rPr>
                <w:rFonts w:ascii="Arial" w:cs="Arial" w:eastAsia="Arial" w:hAnsi="Arial"/>
                <w:b w:val="1"/>
                <w:bCs w:val="1"/>
                <w:color w:val="c55a11"/>
                <w:sz w:val="20"/>
                <w:szCs w:val="20"/>
                <w:rtl w:val="0"/>
              </w:rPr>
              <w:t xml:space="preserve">⚠️ NOTA TÉCNICA IMPORTANTE — ver Anexo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ce5cd" w:val="clear"/>
            <w:tcMar>
              <w:top w:w="120.0" w:type="dxa"/>
              <w:left w:w="160.0" w:type="dxa"/>
              <w:bottom w:w="120.0" w:type="dxa"/>
              <w:right w:w="160.0" w:type="dxa"/>
            </w:tcMar>
          </w:tcPr>
          <w:p w:rsidR="00000000" w:rsidDel="00000000" w:rsidP="00000000" w:rsidRDefault="00000000" w:rsidRPr="00000000" w14:paraId="000001B1">
            <w:pPr>
              <w:rPr/>
            </w:pPr>
            <w:r w:rsidDel="00000000" w:rsidR="00000000" w:rsidRPr="00000000">
              <w:rPr>
                <w:rFonts w:ascii="Arial" w:cs="Arial" w:eastAsia="Arial" w:hAnsi="Arial"/>
                <w:color w:val="000000"/>
                <w:sz w:val="20"/>
                <w:szCs w:val="20"/>
                <w:rtl w:val="0"/>
              </w:rPr>
              <w:t xml:space="preserve">Este índice NO es inflación económica (IPC/CPI). NO usa el volumen real del mercado de transferencias (fees reales). Es un índice interno al dataset: mide cómo evolucionó el criterio editorial de Transfermarkt a lo largo del tiempo, expresado en euros. El nombre 'indice_inflacion_mercado' puede ser confuso — internamente es la mediana global normalizada de las valuaciones editoriales.</w:t>
            </w:r>
            <w:r w:rsidDel="00000000" w:rsidR="00000000" w:rsidRPr="00000000">
              <w:rPr>
                <w:rtl w:val="0"/>
              </w:rPr>
            </w:r>
          </w:p>
        </w:tc>
      </w:tr>
    </w:tbl>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spacing w:after="80" w:before="80" w:lineRule="auto"/>
        <w:rPr/>
      </w:pPr>
      <w:r w:rsidDel="00000000" w:rsidR="00000000" w:rsidRPr="00000000">
        <w:rPr>
          <w:rFonts w:ascii="Arial" w:cs="Arial" w:eastAsia="Arial" w:hAnsi="Arial"/>
          <w:color w:val="000000"/>
          <w:sz w:val="22"/>
          <w:szCs w:val="22"/>
          <w:rtl w:val="0"/>
        </w:rPr>
        <w:t xml:space="preserve">Comportamiento observado en el gráfico de evolución:</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Crecimiento sostenido: 2000–2019 (índice sube de ~0.2 a 1.0)</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Caída COVID: 2020 (base = 1.0, algunos años anteriores ya estaban por encima)</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Recuperación: 2021–2023 (índice vuelve a subir, mercado reactiva)</w:t>
      </w:r>
    </w:p>
    <w:p w:rsidR="00000000" w:rsidDel="00000000" w:rsidP="00000000" w:rsidRDefault="00000000" w:rsidRPr="00000000" w14:paraId="000001B7">
      <w:pPr>
        <w:rPr/>
      </w:pPr>
      <w:r w:rsidDel="00000000" w:rsidR="00000000" w:rsidRPr="00000000">
        <w:br w:type="page"/>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00.0" w:type="dxa"/>
              <w:left w:w="200.0" w:type="dxa"/>
              <w:bottom w:w="100.0" w:type="dxa"/>
              <w:right w:w="20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1f4e79"/>
                <w:sz w:val="24"/>
                <w:szCs w:val="24"/>
                <w:rtl w:val="0"/>
              </w:rPr>
              <w:t xml:space="preserve">8. Dataset Final — Resumen y Correlaciones</w:t>
            </w:r>
            <w:r w:rsidDel="00000000" w:rsidR="00000000" w:rsidRPr="00000000">
              <w:rPr>
                <w:rtl w:val="0"/>
              </w:rPr>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8.1 Estado final del dataset</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ffffff"/>
                <w:sz w:val="19"/>
                <w:szCs w:val="19"/>
                <w:rtl w:val="0"/>
              </w:rPr>
              <w:t xml:space="preserve">Métrica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ffffff"/>
                <w:sz w:val="19"/>
                <w:szCs w:val="19"/>
                <w:rtl w:val="0"/>
              </w:rPr>
              <w:t xml:space="preserve">Valor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sz w:val="19"/>
                <w:szCs w:val="19"/>
                <w:rtl w:val="0"/>
              </w:rPr>
              <w:t xml:space="preserve">Filas (jugadores)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sz w:val="19"/>
                <w:szCs w:val="19"/>
                <w:rtl w:val="0"/>
              </w:rPr>
              <w:t xml:space="preserve">~15.000–20.000 (varía según corte del 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sz w:val="19"/>
                <w:szCs w:val="19"/>
                <w:rtl w:val="0"/>
              </w:rPr>
              <w:t xml:space="preserve">Columnas (features +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19"/>
                <w:szCs w:val="19"/>
                <w:rtl w:val="0"/>
              </w:rPr>
              <w:t xml:space="preserve">~30–35 columnas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19"/>
                <w:szCs w:val="19"/>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19"/>
                <w:szCs w:val="19"/>
                <w:rtl w:val="0"/>
              </w:rPr>
              <w:t xml:space="preserve">log_market_value (continua, escala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sz w:val="19"/>
                <w:szCs w:val="19"/>
                <w:rtl w:val="0"/>
              </w:rPr>
              <w:t xml:space="preserve">Cobertura flag_club_grande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19"/>
                <w:szCs w:val="19"/>
                <w:rtl w:val="0"/>
              </w:rPr>
              <w:t xml:space="preserve">~100% (columna viene de players)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sz w:val="19"/>
                <w:szCs w:val="19"/>
                <w:rtl w:val="0"/>
              </w:rPr>
              <w:t xml:space="preserve">Cobertura tendencia_valor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6">
            <w:pPr>
              <w:rPr/>
            </w:pPr>
            <w:sdt>
              <w:sdtPr>
                <w:id w:val="1827372717"/>
                <w:tag w:val="goog_rdk_4"/>
              </w:sdtPr>
              <w:sdtContent>
                <w:r w:rsidDel="00000000" w:rsidR="00000000" w:rsidRPr="00000000">
                  <w:rPr>
                    <w:rFonts w:ascii="Arial Unicode MS" w:cs="Arial Unicode MS" w:eastAsia="Arial Unicode MS" w:hAnsi="Arial Unicode MS"/>
                    <w:sz w:val="19"/>
                    <w:szCs w:val="19"/>
                    <w:rtl w:val="0"/>
                  </w:rPr>
                  <w:t xml:space="preserve">~70–80% (requiere ≥ 2 valuaciones históricas)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sz w:val="19"/>
                <w:szCs w:val="19"/>
                <w:rtl w:val="0"/>
              </w:rPr>
              <w:t xml:space="preserve">Cobertura valor_mediano_liga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19"/>
                <w:szCs w:val="19"/>
                <w:rtl w:val="0"/>
              </w:rPr>
              <w:t xml:space="preserve">~80–90% (requiere liga en valuaciones)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19"/>
                <w:szCs w:val="19"/>
                <w:rtl w:val="0"/>
              </w:rPr>
              <w:t xml:space="preserve">Cobertura indice_inflacion_mercado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sz w:val="19"/>
                <w:szCs w:val="19"/>
                <w:rtl w:val="0"/>
              </w:rPr>
              <w:t xml:space="preserve">~80–90% (requiere año de valuación)</w:t>
            </w:r>
            <w:r w:rsidDel="00000000" w:rsidR="00000000" w:rsidRPr="00000000">
              <w:rPr>
                <w:rtl w:val="0"/>
              </w:rPr>
            </w:r>
          </w:p>
        </w:tc>
      </w:tr>
    </w:tbl>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8.2 Correlaciones con log_market_value</w:t>
      </w:r>
      <w:r w:rsidDel="00000000" w:rsidR="00000000" w:rsidRPr="00000000">
        <w:rPr>
          <w:rtl w:val="0"/>
        </w:rPr>
      </w:r>
    </w:p>
    <w:p w:rsidR="00000000" w:rsidDel="00000000" w:rsidP="00000000" w:rsidRDefault="00000000" w:rsidRPr="00000000" w14:paraId="000001CD">
      <w:pPr>
        <w:spacing w:after="80" w:before="80" w:lineRule="auto"/>
        <w:rPr/>
      </w:pPr>
      <w:r w:rsidDel="00000000" w:rsidR="00000000" w:rsidRPr="00000000">
        <w:rPr>
          <w:rFonts w:ascii="Arial" w:cs="Arial" w:eastAsia="Arial" w:hAnsi="Arial"/>
          <w:color w:val="000000"/>
          <w:sz w:val="22"/>
          <w:szCs w:val="22"/>
          <w:rtl w:val="0"/>
        </w:rPr>
        <w:t xml:space="preserve">La tabla de correlaciones de Pearson con el target (log_market_value) muestra qué variables tienen mayor relación lineal con el valor de mercado:</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tblGridChange w:id="0">
          <w:tblGrid>
            <w:gridCol w:w="2800"/>
            <w:gridCol w:w="28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ffffff"/>
                <w:sz w:val="19"/>
                <w:szCs w:val="19"/>
                <w:rtl w:val="0"/>
              </w:rPr>
              <w:t xml:space="preserve">Correlación esperada con log(valor)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color w:val="ffffff"/>
                <w:sz w:val="19"/>
                <w:szCs w:val="19"/>
                <w:rtl w:val="0"/>
              </w:rPr>
              <w:t xml:space="preserve">Interpretación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19"/>
                <w:szCs w:val="19"/>
                <w:rtl w:val="0"/>
              </w:rPr>
              <w:t xml:space="preserve">valor_mediano_liga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sz w:val="19"/>
                <w:szCs w:val="19"/>
                <w:rtl w:val="0"/>
              </w:rPr>
              <w:t xml:space="preserve">Alta positiva (0.50–0.70)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19"/>
                <w:szCs w:val="19"/>
                <w:rtl w:val="0"/>
              </w:rPr>
              <w:t xml:space="preserve">La liga es el contexto económico dominante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19"/>
                <w:szCs w:val="19"/>
                <w:rtl w:val="0"/>
              </w:rPr>
              <w:t xml:space="preserve">flag_club_grande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sz w:val="19"/>
                <w:szCs w:val="19"/>
                <w:rtl w:val="0"/>
              </w:rPr>
              <w:t xml:space="preserve">Alta positiva (0.40–0.60)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19"/>
                <w:szCs w:val="19"/>
                <w:rtl w:val="0"/>
              </w:rPr>
              <w:t xml:space="preserve">Jugar en gran liga eleva el valor significativamente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sz w:val="19"/>
                <w:szCs w:val="19"/>
                <w:rtl w:val="0"/>
              </w:rPr>
              <w:t xml:space="preserve">goles_por_partido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sz w:val="19"/>
                <w:szCs w:val="19"/>
                <w:rtl w:val="0"/>
              </w:rPr>
              <w:t xml:space="preserve">Moderada positiva (0.20–0.40)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sz w:val="19"/>
                <w:szCs w:val="19"/>
                <w:rtl w:val="0"/>
              </w:rPr>
              <w:t xml:space="preserve">Rendimiento ofensivo impacta el valor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sz w:val="19"/>
                <w:szCs w:val="19"/>
                <w:rtl w:val="0"/>
              </w:rPr>
              <w:t xml:space="preserve">asistencias_por_partido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sz w:val="19"/>
                <w:szCs w:val="19"/>
                <w:rtl w:val="0"/>
              </w:rPr>
              <w:t xml:space="preserve">Moderada positiva (0.15–0.35)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sz w:val="19"/>
                <w:szCs w:val="19"/>
                <w:rtl w:val="0"/>
              </w:rPr>
              <w:t xml:space="preserve">Contribución creativa también importa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sz w:val="19"/>
                <w:szCs w:val="19"/>
                <w:rtl w:val="0"/>
              </w:rPr>
              <w:t xml:space="preserve">minutos_promedio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sz w:val="19"/>
                <w:szCs w:val="19"/>
                <w:rtl w:val="0"/>
              </w:rPr>
              <w:t xml:space="preserve">Moderada positiva (0.15–0.30)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sz w:val="19"/>
                <w:szCs w:val="19"/>
                <w:rtl w:val="0"/>
              </w:rPr>
              <w:t xml:space="preserve">Más minutos = más titular = más valorado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sz w:val="19"/>
                <w:szCs w:val="19"/>
                <w:rtl w:val="0"/>
              </w:rPr>
              <w:t xml:space="preserve">tendencia_valor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sz w:val="19"/>
                <w:szCs w:val="19"/>
                <w:rtl w:val="0"/>
              </w:rPr>
              <w:t xml:space="preserve">Moderada positiva (0.15–0.30)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sz w:val="19"/>
                <w:szCs w:val="19"/>
                <w:rtl w:val="0"/>
              </w:rPr>
              <w:t xml:space="preserve">Jugadores en alza tienen mayor valor actual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sz w:val="19"/>
                <w:szCs w:val="19"/>
                <w:rtl w:val="0"/>
              </w:rPr>
              <w:t xml:space="preserve">edad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sz w:val="19"/>
                <w:szCs w:val="19"/>
                <w:rtl w:val="0"/>
              </w:rPr>
              <w:t xml:space="preserve">Baja o negativa (-0.10 a +0.10)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19"/>
                <w:szCs w:val="19"/>
                <w:rtl w:val="0"/>
              </w:rPr>
              <w:t xml:space="preserve">Relación cuadrática, no lineal (pico ~24–27 años)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19"/>
                <w:szCs w:val="19"/>
                <w:rtl w:val="0"/>
              </w:rPr>
              <w:t xml:space="preserve">indice_inflacion_mercado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sz w:val="19"/>
                <w:szCs w:val="19"/>
                <w:rtl w:val="0"/>
              </w:rPr>
              <w:t xml:space="preserve">Baja positiva (0.10–0.20)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19"/>
                <w:szCs w:val="19"/>
                <w:rtl w:val="0"/>
              </w:rPr>
              <w:t xml:space="preserve">Ajuste temporal; valor contextual</w:t>
            </w:r>
            <w:r w:rsidDel="00000000" w:rsidR="00000000" w:rsidRPr="00000000">
              <w:rPr>
                <w:rtl w:val="0"/>
              </w:rPr>
            </w:r>
          </w:p>
        </w:tc>
      </w:tr>
    </w:tbl>
    <w:p w:rsidR="00000000" w:rsidDel="00000000" w:rsidP="00000000" w:rsidRDefault="00000000" w:rsidRPr="00000000" w14:paraId="000001EA">
      <w:pPr>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160.0" w:type="dxa"/>
              <w:bottom w:w="120.0" w:type="dxa"/>
              <w:right w:w="160.0" w:type="dxa"/>
            </w:tcMar>
            <w:vAlign w:val="center"/>
          </w:tcPr>
          <w:p w:rsidR="00000000" w:rsidDel="00000000" w:rsidP="00000000" w:rsidRDefault="00000000" w:rsidRPr="00000000" w14:paraId="000001EB">
            <w:pPr>
              <w:jc w:val="center"/>
              <w:rPr/>
            </w:pPr>
            <w:r w:rsidDel="00000000" w:rsidR="00000000" w:rsidRPr="00000000">
              <w:rPr>
                <w:rFonts w:ascii="Arial" w:cs="Arial" w:eastAsia="Arial" w:hAnsi="Arial"/>
                <w:b w:val="1"/>
                <w:bCs w:val="1"/>
                <w:color w:val="1f4e79"/>
                <w:sz w:val="20"/>
                <w:szCs w:val="20"/>
                <w:rtl w:val="0"/>
              </w:rPr>
              <w:t xml:space="preserve">💡 HALLAZGO CLAVE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120.0" w:type="dxa"/>
              <w:left w:w="160.0" w:type="dxa"/>
              <w:bottom w:w="120.0" w:type="dxa"/>
              <w:right w:w="160.0" w:type="dxa"/>
            </w:tcMar>
          </w:tcPr>
          <w:p w:rsidR="00000000" w:rsidDel="00000000" w:rsidP="00000000" w:rsidRDefault="00000000" w:rsidRPr="00000000" w14:paraId="000001EC">
            <w:pPr>
              <w:rPr/>
            </w:pPr>
            <w:r w:rsidDel="00000000" w:rsidR="00000000" w:rsidRPr="00000000">
              <w:rPr>
                <w:rFonts w:ascii="Arial" w:cs="Arial" w:eastAsia="Arial" w:hAnsi="Arial"/>
                <w:color w:val="000000"/>
                <w:sz w:val="20"/>
                <w:szCs w:val="20"/>
                <w:rtl w:val="0"/>
              </w:rPr>
              <w:t xml:space="preserve">La edad tiene correlación baja o incluso negativa con el target en escala lineal porque la relación es cuadrática: el valor sube desde los 18 hasta los 24–27 años y luego cae. Random Forest y XGBoost capturan esta no-linealidad automáticamente; la Regresión Lineal no.</w:t>
            </w:r>
            <w:r w:rsidDel="00000000" w:rsidR="00000000" w:rsidRPr="00000000">
              <w:rPr>
                <w:rtl w:val="0"/>
              </w:rPr>
            </w:r>
          </w:p>
        </w:tc>
      </w:tr>
    </w:tbl>
    <w:p w:rsidR="00000000" w:rsidDel="00000000" w:rsidP="00000000" w:rsidRDefault="00000000" w:rsidRPr="00000000" w14:paraId="000001ED">
      <w:pPr>
        <w:rPr/>
      </w:pPr>
      <w:r w:rsidDel="00000000" w:rsidR="00000000" w:rsidRPr="00000000">
        <w:br w:type="page"/>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00.0" w:type="dxa"/>
              <w:left w:w="200.0" w:type="dxa"/>
              <w:bottom w:w="100.0" w:type="dxa"/>
              <w:right w:w="20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1f4e79"/>
                <w:sz w:val="24"/>
                <w:szCs w:val="24"/>
                <w:rtl w:val="0"/>
              </w:rPr>
              <w:t xml:space="preserve">9. Reflexión Final</w:t>
            </w:r>
            <w:r w:rsidDel="00000000" w:rsidR="00000000" w:rsidRPr="00000000">
              <w:rPr>
                <w:rtl w:val="0"/>
              </w:rPr>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9.1 Decisiones tomadas y justificación</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spacing w:after="80" w:before="80" w:lineRule="auto"/>
        <w:rPr/>
      </w:pPr>
      <w:r w:rsidDel="00000000" w:rsidR="00000000" w:rsidRPr="00000000">
        <w:rPr>
          <w:rFonts w:ascii="Arial" w:cs="Arial" w:eastAsia="Arial" w:hAnsi="Arial"/>
          <w:b w:val="1"/>
          <w:bCs w:val="1"/>
          <w:color w:val="000000"/>
          <w:sz w:val="22"/>
          <w:szCs w:val="22"/>
          <w:rtl w:val="0"/>
        </w:rPr>
        <w:t xml:space="preserve">Inner join en la construcción del dataset:</w:t>
      </w:r>
      <w:r w:rsidDel="00000000" w:rsidR="00000000" w:rsidRPr="00000000">
        <w:rPr>
          <w:rtl w:val="0"/>
        </w:rPr>
      </w:r>
    </w:p>
    <w:p w:rsidR="00000000" w:rsidDel="00000000" w:rsidP="00000000" w:rsidRDefault="00000000" w:rsidRPr="00000000" w14:paraId="000001F3">
      <w:pPr>
        <w:spacing w:after="80" w:before="80" w:lineRule="auto"/>
        <w:rPr/>
      </w:pPr>
      <w:r w:rsidDel="00000000" w:rsidR="00000000" w:rsidRPr="00000000">
        <w:rPr>
          <w:rFonts w:ascii="Arial" w:cs="Arial" w:eastAsia="Arial" w:hAnsi="Arial"/>
          <w:color w:val="000000"/>
          <w:sz w:val="22"/>
          <w:szCs w:val="22"/>
          <w:rtl w:val="0"/>
        </w:rPr>
        <w:t xml:space="preserve">Se priorizó la calidad por sobre el volumen. Un left join habría preservado jugadores sin estadísticas de rendimiento, introduciendo NaN en las features más importantes del modelo. El inner join garantiza un dataset completamente poblado en las variables de rendimiento.</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spacing w:after="80" w:before="80" w:lineRule="auto"/>
        <w:rPr/>
      </w:pPr>
      <w:r w:rsidDel="00000000" w:rsidR="00000000" w:rsidRPr="00000000">
        <w:rPr>
          <w:rFonts w:ascii="Arial" w:cs="Arial" w:eastAsia="Arial" w:hAnsi="Arial"/>
          <w:b w:val="1"/>
          <w:bCs w:val="1"/>
          <w:color w:val="000000"/>
          <w:sz w:val="22"/>
          <w:szCs w:val="22"/>
          <w:rtl w:val="0"/>
        </w:rPr>
        <w:t xml:space="preserve">Umbral de 5 apariciones mínimas:</w:t>
      </w:r>
      <w:r w:rsidDel="00000000" w:rsidR="00000000" w:rsidRPr="00000000">
        <w:rPr>
          <w:rtl w:val="0"/>
        </w:rPr>
      </w:r>
    </w:p>
    <w:p w:rsidR="00000000" w:rsidDel="00000000" w:rsidP="00000000" w:rsidRDefault="00000000" w:rsidRPr="00000000" w14:paraId="000001F6">
      <w:pPr>
        <w:spacing w:after="80" w:before="80" w:lineRule="auto"/>
        <w:rPr/>
      </w:pPr>
      <w:r w:rsidDel="00000000" w:rsidR="00000000" w:rsidRPr="00000000">
        <w:rPr>
          <w:rFonts w:ascii="Arial" w:cs="Arial" w:eastAsia="Arial" w:hAnsi="Arial"/>
          <w:color w:val="000000"/>
          <w:sz w:val="22"/>
          <w:szCs w:val="22"/>
          <w:rtl w:val="0"/>
        </w:rPr>
        <w:t xml:space="preserve">Cualquier estadística con menos de 5 partidos es demasiado ruidosa. Un jugador con 1 aparición y 1 gol tendría goles_por_partido = 1.0 (imposible de sostener). El umbral 5 es conservador pero efectivo.</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spacing w:after="80" w:before="80" w:lineRule="auto"/>
        <w:rPr/>
      </w:pPr>
      <w:r w:rsidDel="00000000" w:rsidR="00000000" w:rsidRPr="00000000">
        <w:rPr>
          <w:rFonts w:ascii="Arial" w:cs="Arial" w:eastAsia="Arial" w:hAnsi="Arial"/>
          <w:b w:val="1"/>
          <w:bCs w:val="1"/>
          <w:color w:val="000000"/>
          <w:sz w:val="22"/>
          <w:szCs w:val="22"/>
          <w:rtl w:val="0"/>
        </w:rPr>
        <w:t xml:space="preserve">Transformación logarítmica del target:</w:t>
      </w:r>
      <w:r w:rsidDel="00000000" w:rsidR="00000000" w:rsidRPr="00000000">
        <w:rPr>
          <w:rtl w:val="0"/>
        </w:rPr>
      </w:r>
    </w:p>
    <w:p w:rsidR="00000000" w:rsidDel="00000000" w:rsidP="00000000" w:rsidRDefault="00000000" w:rsidRPr="00000000" w14:paraId="000001F9">
      <w:pPr>
        <w:spacing w:after="80" w:before="80" w:lineRule="auto"/>
        <w:rPr/>
      </w:pPr>
      <w:r w:rsidDel="00000000" w:rsidR="00000000" w:rsidRPr="00000000">
        <w:rPr>
          <w:rFonts w:ascii="Arial" w:cs="Arial" w:eastAsia="Arial" w:hAnsi="Arial"/>
          <w:color w:val="000000"/>
          <w:sz w:val="22"/>
          <w:szCs w:val="22"/>
          <w:rtl w:val="0"/>
        </w:rPr>
        <w:t xml:space="preserve">La distribución original es incompatible con regresión lineal (supuesto de residuos normales). La escala log resuelve el sesgo y reduce el efecto de outliers. El error final se reconvierte con expm1() para comunicarlo en millones de euros.</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spacing w:after="80" w:before="80" w:lineRule="auto"/>
        <w:rPr/>
      </w:pPr>
      <w:r w:rsidDel="00000000" w:rsidR="00000000" w:rsidRPr="00000000">
        <w:rPr>
          <w:rFonts w:ascii="Arial" w:cs="Arial" w:eastAsia="Arial" w:hAnsi="Arial"/>
          <w:b w:val="1"/>
          <w:bCs w:val="1"/>
          <w:color w:val="000000"/>
          <w:sz w:val="22"/>
          <w:szCs w:val="22"/>
          <w:rtl w:val="0"/>
        </w:rPr>
        <w:t xml:space="preserve">Encoding ordinal de posición:</w:t>
      </w:r>
      <w:r w:rsidDel="00000000" w:rsidR="00000000" w:rsidRPr="00000000">
        <w:rPr>
          <w:rtl w:val="0"/>
        </w:rPr>
      </w:r>
    </w:p>
    <w:p w:rsidR="00000000" w:rsidDel="00000000" w:rsidP="00000000" w:rsidRDefault="00000000" w:rsidRPr="00000000" w14:paraId="000001FC">
      <w:pPr>
        <w:spacing w:after="80" w:before="80" w:lineRule="auto"/>
        <w:rPr/>
      </w:pPr>
      <w:r w:rsidDel="00000000" w:rsidR="00000000" w:rsidRPr="00000000">
        <w:rPr>
          <w:rFonts w:ascii="Arial" w:cs="Arial" w:eastAsia="Arial" w:hAnsi="Arial"/>
          <w:color w:val="000000"/>
          <w:sz w:val="22"/>
          <w:szCs w:val="22"/>
          <w:rtl w:val="0"/>
        </w:rPr>
        <w:t xml:space="preserve">El encoding ordinal (1–4) es interpretable y captura la jerarquía del mercado (delanteros &gt; mediocampistas &gt; defensores &gt; arqueros). El one-hot encoding es alternativa válida para modelos no lineales y se deja preparado.</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spacing w:after="80" w:before="80" w:lineRule="auto"/>
        <w:rPr/>
      </w:pPr>
      <w:r w:rsidDel="00000000" w:rsidR="00000000" w:rsidRPr="00000000">
        <w:rPr>
          <w:rFonts w:ascii="Arial" w:cs="Arial" w:eastAsia="Arial" w:hAnsi="Arial"/>
          <w:b w:val="1"/>
          <w:bCs w:val="1"/>
          <w:color w:val="000000"/>
          <w:sz w:val="22"/>
          <w:szCs w:val="22"/>
          <w:rtl w:val="0"/>
        </w:rPr>
        <w:t xml:space="preserve">StandardScaler parcial en sección 7.3 y completo en sección 9:</w:t>
      </w:r>
      <w:r w:rsidDel="00000000" w:rsidR="00000000" w:rsidRPr="00000000">
        <w:rPr>
          <w:rtl w:val="0"/>
        </w:rPr>
      </w:r>
    </w:p>
    <w:p w:rsidR="00000000" w:rsidDel="00000000" w:rsidP="00000000" w:rsidRDefault="00000000" w:rsidRPr="00000000" w14:paraId="000001FF">
      <w:pPr>
        <w:spacing w:after="80" w:before="80" w:lineRule="auto"/>
        <w:rPr/>
      </w:pPr>
      <w:r w:rsidDel="00000000" w:rsidR="00000000" w:rsidRPr="00000000">
        <w:rPr>
          <w:rFonts w:ascii="Arial" w:cs="Arial" w:eastAsia="Arial" w:hAnsi="Arial"/>
          <w:color w:val="000000"/>
          <w:sz w:val="22"/>
          <w:szCs w:val="22"/>
          <w:rtl w:val="0"/>
        </w:rPr>
        <w:t xml:space="preserve">Las features de FE (tendencia_valor, valor_mediano_liga, indice_inflacion_mercado) no estaban disponibles en el primer escalado. El escalado final de la sección 9 es el que se usa para modelado.</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9.2 Dificultades encontradas</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 relacional complejo: el join de múltiples tablas con player_id requirió cuidado para evitar multiplicar filas (cartesian product). Usar aggregation antes del merge fue la solución correcta.</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Sesgo extremo en el target: la distribución requirió transformación logarítmica. Sin este paso, los modelos lineales habrían predicho con error enorme en los extremos.</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Valores faltantes diferenciados: no todos los nulos se tratan igual. Los nulos en el target se descartan; los nulos en features auxiliares se imputan por mediana.</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temporal desigual: el dataset tiene más datos de ligas grandes y años recientes. Las ligas menores y los años anteriores a 2010 tienen cobertura más baja.</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Posiciones inconsistentes: Transfermarkt usa dos columnas (position y sub_position) con valores parcialmente superpuestos. Se necesitó un diccionario de mapeo robusto con fallbacks.</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engañoso del indice_inflacion_mercado: como se explica en el Anexo, el nombre puede confundir. En realidad mide la evolución interna del criterio editorial de Transfermarkt, no la inflación económica ni el volumen real del mercado.</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9.3 Próximos pasos — Entregable 3</w:t>
      </w:r>
      <w:r w:rsidDel="00000000" w:rsidR="00000000" w:rsidRPr="00000000">
        <w:rPr>
          <w:rtl w:val="0"/>
        </w:rPr>
      </w:r>
    </w:p>
    <w:p w:rsidR="00000000" w:rsidDel="00000000" w:rsidP="00000000" w:rsidRDefault="00000000" w:rsidRPr="00000000" w14:paraId="0000020A">
      <w:pPr>
        <w:spacing w:after="80" w:before="80" w:lineRule="auto"/>
        <w:rPr/>
      </w:pPr>
      <w:r w:rsidDel="00000000" w:rsidR="00000000" w:rsidRPr="00000000">
        <w:rPr>
          <w:rFonts w:ascii="Arial" w:cs="Arial" w:eastAsia="Arial" w:hAnsi="Arial"/>
          <w:color w:val="000000"/>
          <w:sz w:val="22"/>
          <w:szCs w:val="22"/>
          <w:rtl w:val="0"/>
        </w:rPr>
        <w:t xml:space="preserve">Con el dataset analítico construido y validado, los pasos siguientes son:</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Usar datos hasta 2022 para entrenamiento y 2023–2024 para test. Evitar data leakage temporal.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Split temporal train/test:</w:t>
      </w:r>
    </w:p>
    <w:p w:rsidR="00000000" w:rsidDel="00000000" w:rsidP="00000000" w:rsidRDefault="00000000" w:rsidRPr="00000000" w14:paraId="000002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Regresión Lineal/Ridge sobre las features estandarizadas. Establece el piso de R² y RMSE.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baseline:</w:t>
      </w:r>
    </w:p>
    <w:p w:rsidR="00000000" w:rsidDel="00000000" w:rsidP="00000000" w:rsidRDefault="00000000" w:rsidRPr="00000000" w14:paraId="000002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Random Forest con GridSearchCV sobre n_estimators, max_depth, min_samples_leaf.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intermedio:</w:t>
      </w:r>
    </w:p>
    <w:p w:rsidR="00000000" w:rsidDel="00000000" w:rsidP="00000000" w:rsidRDefault="00000000" w:rsidRPr="00000000" w14:paraId="000002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XGBoost con early stopping y tuning de learning_rate, max_depth, subsample.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avanzado:</w:t>
      </w:r>
    </w:p>
    <w:p w:rsidR="00000000" w:rsidDel="00000000" w:rsidP="00000000" w:rsidRDefault="00000000" w:rsidRPr="00000000" w14:paraId="000002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SHAP values para entender qué variables mueven el valor de cada jugador en particular.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Interpretabilidad:</w:t>
      </w:r>
    </w:p>
    <w:p w:rsidR="00000000" w:rsidDel="00000000" w:rsidP="00000000" w:rsidRDefault="00000000" w:rsidRPr="00000000" w14:paraId="000002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Identificar jugadores cuyo valor predicho supera su valuación actual en Transfermarkt (subvaluados).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Aplicación:</w:t>
      </w:r>
    </w:p>
    <w:p w:rsidR="00000000" w:rsidDel="00000000" w:rsidP="00000000" w:rsidRDefault="00000000" w:rsidRPr="00000000" w14:paraId="00000212">
      <w:pPr>
        <w:rPr/>
      </w:pPr>
      <w:r w:rsidDel="00000000" w:rsidR="00000000" w:rsidRPr="00000000">
        <w:br w:type="page"/>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ce5cd" w:val="clear"/>
            <w:tcMar>
              <w:top w:w="100.0" w:type="dxa"/>
              <w:left w:w="200.0" w:type="dxa"/>
              <w:bottom w:w="100.0" w:type="dxa"/>
              <w:right w:w="200.0" w:type="dxa"/>
            </w:tcMar>
          </w:tcPr>
          <w:p w:rsidR="00000000" w:rsidDel="00000000" w:rsidP="00000000" w:rsidRDefault="00000000" w:rsidRPr="00000000" w14:paraId="00000213">
            <w:pPr>
              <w:rPr/>
            </w:pPr>
            <w:r w:rsidDel="00000000" w:rsidR="00000000" w:rsidRPr="00000000">
              <w:rPr>
                <w:rFonts w:ascii="Arial" w:cs="Arial" w:eastAsia="Arial" w:hAnsi="Arial"/>
                <w:b w:val="1"/>
                <w:bCs w:val="1"/>
                <w:color w:val="1f4e79"/>
                <w:sz w:val="24"/>
                <w:szCs w:val="24"/>
                <w:rtl w:val="0"/>
              </w:rPr>
              <w:t xml:space="preserve">Anexo — Nota Técnica: ¿Qué es el indice_inflacion_mercado?</w:t>
            </w:r>
            <w:r w:rsidDel="00000000" w:rsidR="00000000" w:rsidRPr="00000000">
              <w:rPr>
                <w:rtl w:val="0"/>
              </w:rPr>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spacing w:after="80" w:before="80" w:lineRule="auto"/>
        <w:rPr/>
      </w:pPr>
      <w:r w:rsidDel="00000000" w:rsidR="00000000" w:rsidRPr="00000000">
        <w:rPr>
          <w:rFonts w:ascii="Arial" w:cs="Arial" w:eastAsia="Arial" w:hAnsi="Arial"/>
          <w:color w:val="000000"/>
          <w:sz w:val="22"/>
          <w:szCs w:val="22"/>
          <w:rtl w:val="0"/>
        </w:rPr>
        <w:t xml:space="preserve">Esta nota responde específicamente a la pregunta: ¿en qué moneda están los datos de la inflación, de dónde salieron, y mide el volumen real del mercado?</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¿De dónde vienen los datos?</w:t>
      </w:r>
      <w:r w:rsidDel="00000000" w:rsidR="00000000" w:rsidRPr="00000000">
        <w:rPr>
          <w:rtl w:val="0"/>
        </w:rPr>
      </w:r>
    </w:p>
    <w:p w:rsidR="00000000" w:rsidDel="00000000" w:rsidP="00000000" w:rsidRDefault="00000000" w:rsidRPr="00000000" w14:paraId="00000218">
      <w:pPr>
        <w:spacing w:after="80" w:before="80" w:lineRule="auto"/>
        <w:rPr/>
      </w:pPr>
      <w:r w:rsidDel="00000000" w:rsidR="00000000" w:rsidRPr="00000000">
        <w:rPr>
          <w:rFonts w:ascii="Arial" w:cs="Arial" w:eastAsia="Arial" w:hAnsi="Arial"/>
          <w:color w:val="000000"/>
          <w:sz w:val="22"/>
          <w:szCs w:val="22"/>
          <w:rtl w:val="0"/>
        </w:rPr>
        <w:t xml:space="preserve">Exclusivamente de player_valuations.csv — las valuaciones editoriales de Transfermarkt. No se usa ninguna fuente externa de datos económicos (no es el IPC, no es el PBI, no es inflación del euro).</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¿En qué moneda están?</w:t>
      </w:r>
      <w:r w:rsidDel="00000000" w:rsidR="00000000" w:rsidRPr="00000000">
        <w:rPr>
          <w:rtl w:val="0"/>
        </w:rPr>
      </w:r>
    </w:p>
    <w:p w:rsidR="00000000" w:rsidDel="00000000" w:rsidP="00000000" w:rsidRDefault="00000000" w:rsidRPr="00000000" w14:paraId="0000021B">
      <w:pPr>
        <w:spacing w:after="80" w:before="80" w:lineRule="auto"/>
        <w:rPr/>
      </w:pPr>
      <w:r w:rsidDel="00000000" w:rsidR="00000000" w:rsidRPr="00000000">
        <w:rPr>
          <w:rFonts w:ascii="Arial" w:cs="Arial" w:eastAsia="Arial" w:hAnsi="Arial"/>
          <w:color w:val="000000"/>
          <w:sz w:val="22"/>
          <w:szCs w:val="22"/>
          <w:rtl w:val="0"/>
        </w:rPr>
        <w:t xml:space="preserve">En euros (EUR). Todo el dataset de Transfermarkt está denominado en euros. No hay conversiones de moneda.</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¿Mide inflación económica real?</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ce5cd" w:val="clear"/>
            <w:tcMar>
              <w:top w:w="120.0" w:type="dxa"/>
              <w:left w:w="160.0" w:type="dxa"/>
              <w:bottom w:w="120.0" w:type="dxa"/>
              <w:right w:w="160.0" w:type="dxa"/>
            </w:tcMar>
            <w:vAlign w:val="center"/>
          </w:tcPr>
          <w:p w:rsidR="00000000" w:rsidDel="00000000" w:rsidP="00000000" w:rsidRDefault="00000000" w:rsidRPr="00000000" w14:paraId="0000021E">
            <w:pPr>
              <w:jc w:val="center"/>
              <w:rPr/>
            </w:pPr>
            <w:sdt>
              <w:sdtPr>
                <w:id w:val="-1528257694"/>
                <w:tag w:val="goog_rdk_5"/>
              </w:sdtPr>
              <w:sdtContent>
                <w:r w:rsidDel="00000000" w:rsidR="00000000" w:rsidRPr="00000000">
                  <w:rPr>
                    <w:rFonts w:ascii="Arial Unicode MS" w:cs="Arial Unicode MS" w:eastAsia="Arial Unicode MS" w:hAnsi="Arial Unicode MS"/>
                    <w:b w:val="1"/>
                    <w:bCs w:val="1"/>
                    <w:color w:val="c00000"/>
                    <w:sz w:val="20"/>
                    <w:szCs w:val="20"/>
                    <w:rtl w:val="0"/>
                  </w:rPr>
                  <w:t xml:space="preserve">❌ NO</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ce5cd" w:val="clear"/>
            <w:tcMar>
              <w:top w:w="120.0" w:type="dxa"/>
              <w:left w:w="160.0" w:type="dxa"/>
              <w:bottom w:w="120.0" w:type="dxa"/>
              <w:right w:w="160.0" w:type="dxa"/>
            </w:tcMar>
          </w:tcPr>
          <w:p w:rsidR="00000000" w:rsidDel="00000000" w:rsidP="00000000" w:rsidRDefault="00000000" w:rsidRPr="00000000" w14:paraId="0000021F">
            <w:pPr>
              <w:rPr/>
            </w:pPr>
            <w:r w:rsidDel="00000000" w:rsidR="00000000" w:rsidRPr="00000000">
              <w:rPr>
                <w:rFonts w:ascii="Arial" w:cs="Arial" w:eastAsia="Arial" w:hAnsi="Arial"/>
                <w:color w:val="000000"/>
                <w:sz w:val="20"/>
                <w:szCs w:val="20"/>
                <w:rtl w:val="0"/>
              </w:rPr>
              <w:t xml:space="preserve">El indice_inflacion_mercado NO es inflación económica. No usa el índice de precios al consumidor (IPC) europeo ni ningún indicador macroeconómico externo.</w:t>
            </w:r>
            <w:r w:rsidDel="00000000" w:rsidR="00000000" w:rsidRPr="00000000">
              <w:rPr>
                <w:rtl w:val="0"/>
              </w:rPr>
            </w:r>
          </w:p>
        </w:tc>
      </w:tr>
    </w:tbl>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¿Usa el volumen real de transferencias?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ce5cd" w:val="clear"/>
            <w:tcMar>
              <w:top w:w="120.0" w:type="dxa"/>
              <w:left w:w="160.0" w:type="dxa"/>
              <w:bottom w:w="120.0" w:type="dxa"/>
              <w:right w:w="160.0" w:type="dxa"/>
            </w:tcMar>
            <w:vAlign w:val="center"/>
          </w:tcPr>
          <w:p w:rsidR="00000000" w:rsidDel="00000000" w:rsidP="00000000" w:rsidRDefault="00000000" w:rsidRPr="00000000" w14:paraId="00000222">
            <w:pPr>
              <w:jc w:val="center"/>
              <w:rPr/>
            </w:pPr>
            <w:sdt>
              <w:sdtPr>
                <w:id w:val="2000785116"/>
                <w:tag w:val="goog_rdk_6"/>
              </w:sdtPr>
              <w:sdtContent>
                <w:r w:rsidDel="00000000" w:rsidR="00000000" w:rsidRPr="00000000">
                  <w:rPr>
                    <w:rFonts w:ascii="Arial Unicode MS" w:cs="Arial Unicode MS" w:eastAsia="Arial Unicode MS" w:hAnsi="Arial Unicode MS"/>
                    <w:b w:val="1"/>
                    <w:bCs w:val="1"/>
                    <w:color w:val="c00000"/>
                    <w:sz w:val="20"/>
                    <w:szCs w:val="20"/>
                    <w:rtl w:val="0"/>
                  </w:rPr>
                  <w:t xml:space="preserve">❌ NO</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ce5cd" w:val="clear"/>
            <w:tcMar>
              <w:top w:w="120.0" w:type="dxa"/>
              <w:left w:w="160.0" w:type="dxa"/>
              <w:bottom w:w="120.0" w:type="dxa"/>
              <w:right w:w="160.0" w:type="dxa"/>
            </w:tcMar>
          </w:tcPr>
          <w:p w:rsidR="00000000" w:rsidDel="00000000" w:rsidP="00000000" w:rsidRDefault="00000000" w:rsidRPr="00000000" w14:paraId="00000223">
            <w:pPr>
              <w:rPr/>
            </w:pPr>
            <w:r w:rsidDel="00000000" w:rsidR="00000000" w:rsidRPr="00000000">
              <w:rPr>
                <w:rFonts w:ascii="Arial" w:cs="Arial" w:eastAsia="Arial" w:hAnsi="Arial"/>
                <w:color w:val="000000"/>
                <w:sz w:val="20"/>
                <w:szCs w:val="20"/>
                <w:rtl w:val="0"/>
              </w:rPr>
              <w:t xml:space="preserve">El índice NO usa transfers.csv ni los fees reales pagados en transferencias. No mide cuánta plata movió el mercado en cada año.</w:t>
            </w:r>
            <w:r w:rsidDel="00000000" w:rsidR="00000000" w:rsidRPr="00000000">
              <w:rPr>
                <w:rtl w:val="0"/>
              </w:rPr>
            </w:r>
          </w:p>
        </w:tc>
      </w:tr>
    </w:tbl>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¿Qué mide entonces exactamente?</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ad3" w:val="clear"/>
            <w:tcMar>
              <w:top w:w="120.0" w:type="dxa"/>
              <w:left w:w="160.0" w:type="dxa"/>
              <w:bottom w:w="120.0" w:type="dxa"/>
              <w:right w:w="160.0" w:type="dxa"/>
            </w:tcMar>
            <w:vAlign w:val="center"/>
          </w:tcPr>
          <w:p w:rsidR="00000000" w:rsidDel="00000000" w:rsidP="00000000" w:rsidRDefault="00000000" w:rsidRPr="00000000" w14:paraId="00000226">
            <w:pPr>
              <w:jc w:val="center"/>
              <w:rPr/>
            </w:pPr>
            <w:sdt>
              <w:sdtPr>
                <w:id w:val="-1551273949"/>
                <w:tag w:val="goog_rdk_7"/>
              </w:sdtPr>
              <w:sdtContent>
                <w:r w:rsidDel="00000000" w:rsidR="00000000" w:rsidRPr="00000000">
                  <w:rPr>
                    <w:rFonts w:ascii="Arial Unicode MS" w:cs="Arial Unicode MS" w:eastAsia="Arial Unicode MS" w:hAnsi="Arial Unicode MS"/>
                    <w:b w:val="1"/>
                    <w:bCs w:val="1"/>
                    <w:color w:val="1e6b3c"/>
                    <w:sz w:val="20"/>
                    <w:szCs w:val="20"/>
                    <w:rtl w:val="0"/>
                  </w:rPr>
                  <w:t xml:space="preserve">✅ LO QUE SÍ HACE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ad3" w:val="clear"/>
            <w:tcMar>
              <w:top w:w="120.0" w:type="dxa"/>
              <w:left w:w="160.0" w:type="dxa"/>
              <w:bottom w:w="120.0" w:type="dxa"/>
              <w:right w:w="160.0" w:type="dxa"/>
            </w:tcMar>
          </w:tcPr>
          <w:p w:rsidR="00000000" w:rsidDel="00000000" w:rsidP="00000000" w:rsidRDefault="00000000" w:rsidRPr="00000000" w14:paraId="00000227">
            <w:pPr>
              <w:rPr/>
            </w:pPr>
            <w:r w:rsidDel="00000000" w:rsidR="00000000" w:rsidRPr="00000000">
              <w:rPr>
                <w:rFonts w:ascii="Arial" w:cs="Arial" w:eastAsia="Arial" w:hAnsi="Arial"/>
                <w:color w:val="000000"/>
                <w:sz w:val="20"/>
                <w:szCs w:val="20"/>
                <w:rtl w:val="0"/>
              </w:rPr>
              <w:t xml:space="preserve">Mide cómo evolucionó la MEDIANA GLOBAL de las valuaciones editoriales de Transfermarkt a lo largo del tiempo, normalizada respecto al año 2020. Es un índice del nivel relativo del criterio de valuación de Transfermarkt.</w:t>
            </w:r>
            <w:r w:rsidDel="00000000" w:rsidR="00000000" w:rsidRPr="00000000">
              <w:rPr>
                <w:rtl w:val="0"/>
              </w:rPr>
            </w:r>
          </w:p>
        </w:tc>
      </w:tr>
    </w:tbl>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spacing w:after="80" w:before="80" w:lineRule="auto"/>
        <w:rPr/>
      </w:pPr>
      <w:r w:rsidDel="00000000" w:rsidR="00000000" w:rsidRPr="00000000">
        <w:rPr>
          <w:rFonts w:ascii="Arial" w:cs="Arial" w:eastAsia="Arial" w:hAnsi="Arial"/>
          <w:b w:val="1"/>
          <w:bCs w:val="1"/>
          <w:color w:val="000000"/>
          <w:sz w:val="22"/>
          <w:szCs w:val="22"/>
          <w:rtl w:val="0"/>
        </w:rPr>
        <w:t xml:space="preserve">Construcción paso a paso:</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cada año, calcula la mediana del campo market_value_in_eur de todos los registros de player_valuations.csv.</w:t>
      </w:r>
    </w:p>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Toma el valor del año 2020 como base = 1.0.</w:t>
      </w:r>
    </w:p>
    <w:p w:rsidR="00000000" w:rsidDel="00000000" w:rsidP="00000000" w:rsidRDefault="00000000" w:rsidRPr="00000000" w14:paraId="000002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Divide cada año por esa base: índice_año = mediana_año / mediana_2020.</w:t>
      </w:r>
    </w:p>
    <w:p w:rsidR="00000000" w:rsidDel="00000000" w:rsidP="00000000" w:rsidRDefault="00000000" w:rsidRPr="00000000" w14:paraId="000002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Asigna ese índice a cada jugador según el año de su última valuación disponible.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¿Por qué es útil para el modelo igual?</w:t>
      </w:r>
      <w:r w:rsidDel="00000000" w:rsidR="00000000" w:rsidRPr="00000000">
        <w:rPr>
          <w:rtl w:val="0"/>
        </w:rPr>
      </w:r>
    </w:p>
    <w:p w:rsidR="00000000" w:rsidDel="00000000" w:rsidP="00000000" w:rsidRDefault="00000000" w:rsidRPr="00000000" w14:paraId="00000230">
      <w:pPr>
        <w:spacing w:after="80" w:before="80" w:lineRule="auto"/>
        <w:rPr/>
      </w:pPr>
      <w:r w:rsidDel="00000000" w:rsidR="00000000" w:rsidRPr="00000000">
        <w:rPr>
          <w:rFonts w:ascii="Arial" w:cs="Arial" w:eastAsia="Arial" w:hAnsi="Arial"/>
          <w:color w:val="000000"/>
          <w:sz w:val="22"/>
          <w:szCs w:val="22"/>
          <w:rtl w:val="0"/>
        </w:rPr>
        <w:t xml:space="preserve">Aunque no mide inflación económica, captura algo real y útil: el nivel general de los criterios editoriales de Transfermarkt en cada momento. Esto tiene sentido porque:</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2016, un jugador de nivel medio podía valer €2M. En 2023, el mismo perfil de jugador puede valer €5M, no por inflación económica sino porque el mercado de fútbol se infló como negocio.</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este ajuste, comparar el valor de un jugador en 2010 con uno en 2023 introduce un sesgo sistemático que el modelo va a intentar aprender como si fuera señal real.</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incluir el índice, el modelo puede descontar ese efecto temporal y enfocarse en señales individuales.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Recomendación de mejora</w:t>
      </w:r>
      <w:r w:rsidDel="00000000" w:rsidR="00000000" w:rsidRPr="00000000">
        <w:rPr>
          <w:rtl w:val="0"/>
        </w:rPr>
      </w:r>
    </w:p>
    <w:p w:rsidR="00000000" w:rsidDel="00000000" w:rsidP="00000000" w:rsidRDefault="00000000" w:rsidRPr="00000000" w14:paraId="00000236">
      <w:pPr>
        <w:spacing w:after="80" w:before="80" w:lineRule="auto"/>
        <w:rPr/>
      </w:pPr>
      <w:r w:rsidDel="00000000" w:rsidR="00000000" w:rsidRPr="00000000">
        <w:rPr>
          <w:rFonts w:ascii="Arial" w:cs="Arial" w:eastAsia="Arial" w:hAnsi="Arial"/>
          <w:color w:val="000000"/>
          <w:sz w:val="22"/>
          <w:szCs w:val="22"/>
          <w:rtl w:val="0"/>
        </w:rPr>
        <w:t xml:space="preserve">Para el Entregable 3 o etapas futuras, se podría mejorar esta feature de dos formas:</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Renombrarla como nivel_relativo_mercado_2020 o mediana_global_normalizada para evitar confusión con inflación económica real.</w:t>
      </w:r>
    </w:p>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Complementarla con datos reales del mercado: la suma total de fees pagados en cada año (de transfers.csv) daría una medida más robusta del volumen económico real del mercado de fichajes.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jc w:val="center"/>
        <w:rPr/>
      </w:pPr>
      <w:r w:rsidDel="00000000" w:rsidR="00000000" w:rsidRPr="00000000">
        <w:rPr>
          <w:rFonts w:ascii="Arial" w:cs="Arial" w:eastAsia="Arial" w:hAnsi="Arial"/>
          <w:i w:val="1"/>
          <w:iCs w:val="1"/>
          <w:color w:val="595959"/>
          <w:sz w:val="18"/>
          <w:szCs w:val="18"/>
          <w:rtl w:val="0"/>
        </w:rPr>
        <w:t xml:space="preserve">Entregable 2 — Ciencia de Datos Aplicada — ITBA — Abril 2026</w:t>
      </w: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jc w:val="right"/>
      <w:rPr/>
    </w:pPr>
    <w:r w:rsidDel="00000000" w:rsidR="00000000" w:rsidRPr="00000000">
      <w:rPr>
        <w:rFonts w:ascii="Arial" w:cs="Arial" w:eastAsia="Arial" w:hAnsi="Arial"/>
        <w:color w:val="595959"/>
        <w:sz w:val="18"/>
        <w:szCs w:val="18"/>
        <w:rtl w:val="0"/>
      </w:rPr>
      <w:t xml:space="preserve">ITBA — Ciencia de Datos Aplicada  |  Argonz &amp; Sola  |  Página </w:t>
    </w:r>
    <w:r w:rsidDel="00000000" w:rsidR="00000000" w:rsidRPr="00000000">
      <w:rPr>
        <w:rFonts w:ascii="Arial" w:cs="Arial" w:eastAsia="Arial" w:hAnsi="Arial"/>
        <w:color w:val="595959"/>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59595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5JCThupnpKN8JJncOC9dBcFSL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QSEJSVXhCbjRYMC1XSDVWNU5NZ3RMTGY4czVDd2sx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