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trabajo de Escuela Salud Modelo</w:t>
      </w:r>
    </w:p>
    <w:p>
      <w:pPr>
        <w:pStyle w:val="Heading2"/>
      </w:pPr>
      <w:r>
        <w:t>Documentación de procesos y aplicación web integrada</w:t>
      </w:r>
    </w:p>
    <w:p>
      <w:r>
        <w:t>Propuesta de trabajo para Gonzalo Arturo Ibarra Mendoza y responsables de las unidades. Versión 3.1 del 23 de septiembre de 2026. Inicio de todos los trabajos: 1 de octubre. Meta de aceptación: 15 de diciembre de 2026.</w:t>
      </w:r>
    </w:p>
    <w:p>
      <w:r>
        <w:t>El proyecto debe producir un inventario validado de procesos y una aplicación que conecte admisión, atención, seguimiento, docencia y administración. La primera decisión propuesta es iniciar en Mérida y La Casita, con estructura preparada para otros campus. La incorporación de Valladolid y Chetumal requiere levantar sus propias reglas, servicios y responsables.</w:t>
      </w:r>
    </w:p>
    <w:p>
      <w:r>
        <w:t>Esta propuesta utiliza la investigación pública previa como punto de partida. La falta de información en la web se trata como un dato por levantar, no como prueba de que la institución carece de un procedimiento. Los responsables, plazos y reglas aquí propuestos deben validarse en el arranque.</w:t>
      </w:r>
    </w:p>
    <w:p>
      <w:pPr>
        <w:pStyle w:val="Heading3"/>
      </w:pPr>
      <w:r>
        <w:t>Tres resultados esperados</w:t>
      </w:r>
    </w:p>
    <w:p>
      <w:pPr>
        <w:ind w:left="173" w:hanging="173"/>
      </w:pPr>
      <w:r>
        <w:t>• Procesos documentados por unidad, formularios, responsables, reglas, excepciones y preguntas respondidas con evidencia.</w:t>
      </w:r>
    </w:p>
    <w:p>
      <w:pPr>
        <w:ind w:left="173" w:hanging="173"/>
      </w:pPr>
      <w:r>
        <w:t>• Una aplicación web con un registro de identidad común y expedientes por especialidad, cuyo acceso dependa de funciones, asignación y finalidad.</w:t>
      </w:r>
    </w:p>
    <w:p>
      <w:pPr>
        <w:ind w:left="173" w:hanging="173"/>
      </w:pPr>
      <w:r>
        <w:t>• Una landing page institucional para conocer servicios y solicitar citas, acompañada por un diseño visual de referencia.</w:t>
      </w:r>
    </w:p>
    <w:p>
      <w:pPr>
        <w:pStyle w:val="Heading3"/>
      </w:pPr>
      <w:r>
        <w:t>Alcance de la propuesta</w:t>
      </w:r>
    </w:p>
    <w:p>
      <w:r>
        <w:t>Incluye odontología, fisioterapia, nutrición, psicología, ciencias del deporte y readaptación, atención y prevención de la salud, servicios comunitarios y su vinculación laboral, educativa y jurídica. Integra recepción, caja, inventario, equipamiento y supervisión académica. La ubicación administrativa de cada unidad queda por confirmar.</w:t>
      </w:r>
    </w:p>
    <w:p>
      <w:r>
        <w:t>La aplicación facilitará el trabajo profesional. Los diagnósticos, indicaciones, autorizaciones clínicas y decisiones sobre urgencias permanecerán bajo responsabilidad del personal competente. No se propone atención de urgencias mediante un chatbot.</w:t>
      </w:r>
    </w:p>
    <w:p>
      <w:pPr>
        <w:pStyle w:val="Heading3"/>
      </w:pPr>
      <w:r>
        <w:t>Organización del documento</w:t>
      </w:r>
    </w:p>
    <w:p>
      <w:r>
        <w:t>El plan desarrolla procesos, aplicación e identidad visual. C01 a C20 integran NOM y cumplimiento; C21 a C26 fijan la ejecución simultánea; C27 incorpora el gestor asistido por IA. El calendario de esta versión sustituye los anteriores y comienza el 1 de octubre de 2026.</w:t>
      </w:r>
    </w:p>
    <w:p>
      <w:pPr>
        <w:pStyle w:val="Heading3"/>
      </w:pPr>
      <w:r>
        <w:t>Responsables propuestos</w:t>
      </w:r>
    </w:p>
    <w:p>
      <w:r>
        <w:t>Dirección designa a un dueño del proyecto y resuelve prioridades. Cada unidad nombra a un responsable de proceso. Gonzalo coordina análisis y desarrollo. Recepción, Finanzas, coordinación académica, TI y el área jurídica validan sus reglas. Estos roles son una propuesta; no se atribuyen nombramientos a personas sin confirmación.</w:t>
      </w:r>
    </w:p>
    <w:p>
      <w:r>
        <w:t>Meta propuesta: operación gradual desde el 7 de diciembre y aceptación el 15 de diciembre de 2026. Se trabajará por frentes simultáneos y programación asistida por Codex en bloques de pocas horas. C21 a C26 establecen capacidad, dependencias, hitos y condiciones de logro.</w:t>
      </w:r>
    </w:p>
    <w:p>
      <w:r>
        <w:br w:type="page"/>
      </w:r>
    </w:p>
    <w:p>
      <w:pPr>
        <w:pStyle w:val="Heading1"/>
      </w:pPr>
      <w:r>
        <w:t>Método de levantamiento y calendario</w:t>
      </w:r>
    </w:p>
    <w:p>
      <w:r>
        <w:t>Todas las unidades inician el levantamiento en paralelo. Cada responsable prepara formatos y respuestas; Gonzalo realiza sesiones de 90 minutos escalonadas, dos observaciones por unidad y una validación de 60 minutos. Las primeras reglas se liberan por paquetes para programar sin esperar el cierre de todas las entrevistas. Usar ejemplos anonimizados y acceso autorizado.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r>
              <w:rPr>
                <w:b/>
                <w:color w:val="FFFFFF"/>
                <w:sz w:val="18"/>
              </w:rPr>
              <w:t>Periodo de 2026</w:t>
            </w:r>
          </w:p>
        </w:tc>
        <w:tc>
          <w:tcPr>
            <w:tcW w:type="dxa" w:w="4880"/>
            <w:vAlign w:val="center"/>
            <w:tcMar>
              <w:top w:w="75" w:type="dxa"/>
              <w:bottom w:w="75" w:type="dxa"/>
              <w:left w:w="90" w:type="dxa"/>
              <w:right w:w="90" w:type="dxa"/>
            </w:tcMar>
            <w:shd w:fill="052148"/>
          </w:tcPr>
          <w:p>
            <w:r>
              <w:rPr>
                <w:b/>
                <w:color w:val="FFFFFF"/>
                <w:sz w:val="18"/>
              </w:rPr>
              <w:t>Actividades simultáneas</w:t>
            </w:r>
          </w:p>
        </w:tc>
        <w:tc>
          <w:tcPr>
            <w:tcW w:type="dxa" w:w="2948"/>
            <w:vAlign w:val="center"/>
            <w:tcMar>
              <w:top w:w="75" w:type="dxa"/>
              <w:bottom w:w="75" w:type="dxa"/>
              <w:left w:w="90" w:type="dxa"/>
              <w:right w:w="90" w:type="dxa"/>
            </w:tcMar>
            <w:shd w:fill="052148"/>
          </w:tcPr>
          <w:p>
            <w:r>
              <w:rPr>
                <w:b/>
                <w:color w:val="FFFFFF"/>
                <w:sz w:val="18"/>
              </w:rPr>
              <w:t>Resultado y validación</w:t>
            </w:r>
          </w:p>
        </w:tc>
      </w:tr>
      <w:tr>
        <w:trPr>
          <w:cantSplit/>
        </w:trPr>
        <w:tc>
          <w:tcPr>
            <w:tcW w:type="dxa" w:w="2338"/>
            <w:vAlign w:val="center"/>
            <w:tcMar>
              <w:top w:w="75" w:type="dxa"/>
              <w:bottom w:w="75" w:type="dxa"/>
              <w:left w:w="90" w:type="dxa"/>
              <w:right w:w="90" w:type="dxa"/>
            </w:tcMar>
            <w:shd w:fill="FFFFFF"/>
          </w:tcPr>
          <w:p>
            <w:r>
              <w:rPr>
                <w:sz w:val="18"/>
              </w:rPr>
              <w:t>1 a 7 oct</w:t>
            </w:r>
          </w:p>
        </w:tc>
        <w:tc>
          <w:tcPr>
            <w:tcW w:type="dxa" w:w="4880"/>
            <w:vAlign w:val="center"/>
            <w:tcMar>
              <w:top w:w="75" w:type="dxa"/>
              <w:bottom w:w="75" w:type="dxa"/>
              <w:left w:w="90" w:type="dxa"/>
              <w:right w:w="90" w:type="dxa"/>
            </w:tcMar>
            <w:shd w:fill="FFFFFF"/>
          </w:tcPr>
          <w:p>
            <w:r>
              <w:rPr>
                <w:sz w:val="18"/>
              </w:rPr>
              <w:t>Todas las unidades, recepción, caja, TI y Jurídico</w:t>
            </w:r>
          </w:p>
        </w:tc>
        <w:tc>
          <w:tcPr>
            <w:tcW w:type="dxa" w:w="2948"/>
            <w:vAlign w:val="center"/>
            <w:tcMar>
              <w:top w:w="75" w:type="dxa"/>
              <w:bottom w:w="75" w:type="dxa"/>
              <w:left w:w="90" w:type="dxa"/>
              <w:right w:w="90" w:type="dxa"/>
            </w:tcMar>
            <w:shd w:fill="FFFFFF"/>
          </w:tcPr>
          <w:p>
            <w:r>
              <w:rPr>
                <w:sz w:val="18"/>
              </w:rPr>
              <w:t>Responsables, formatos, catálogo y dependencias externas</w:t>
            </w:r>
          </w:p>
        </w:tc>
      </w:tr>
      <w:tr>
        <w:trPr>
          <w:cantSplit/>
        </w:trPr>
        <w:tc>
          <w:tcPr>
            <w:tcW w:type="dxa" w:w="2338"/>
            <w:vAlign w:val="center"/>
            <w:tcMar>
              <w:top w:w="75" w:type="dxa"/>
              <w:bottom w:w="75" w:type="dxa"/>
              <w:left w:w="90" w:type="dxa"/>
              <w:right w:w="90" w:type="dxa"/>
            </w:tcMar>
            <w:shd w:fill="F2F5F8"/>
          </w:tcPr>
          <w:p>
            <w:r>
              <w:rPr>
                <w:sz w:val="18"/>
              </w:rPr>
              <w:t>5 a 9 oct</w:t>
            </w:r>
          </w:p>
        </w:tc>
        <w:tc>
          <w:tcPr>
            <w:tcW w:type="dxa" w:w="4880"/>
            <w:vAlign w:val="center"/>
            <w:tcMar>
              <w:top w:w="75" w:type="dxa"/>
              <w:bottom w:w="75" w:type="dxa"/>
              <w:left w:w="90" w:type="dxa"/>
              <w:right w:w="90" w:type="dxa"/>
            </w:tcMar>
            <w:shd w:fill="F2F5F8"/>
          </w:tcPr>
          <w:p>
            <w:r>
              <w:rPr>
                <w:sz w:val="18"/>
              </w:rPr>
              <w:t>Procesos críticos de todas las unidades y núcleo común</w:t>
            </w:r>
          </w:p>
        </w:tc>
        <w:tc>
          <w:tcPr>
            <w:tcW w:type="dxa" w:w="2948"/>
            <w:vAlign w:val="center"/>
            <w:tcMar>
              <w:top w:w="75" w:type="dxa"/>
              <w:bottom w:w="75" w:type="dxa"/>
              <w:left w:w="90" w:type="dxa"/>
              <w:right w:w="90" w:type="dxa"/>
            </w:tcMar>
            <w:shd w:fill="F2F5F8"/>
          </w:tcPr>
          <w:p>
            <w:r>
              <w:rPr>
                <w:sz w:val="18"/>
              </w:rPr>
              <w:t>Reglas, permisos y ruta del expediente definidos</w:t>
            </w:r>
          </w:p>
        </w:tc>
      </w:tr>
      <w:tr>
        <w:trPr>
          <w:cantSplit/>
        </w:trPr>
        <w:tc>
          <w:tcPr>
            <w:tcW w:type="dxa" w:w="2338"/>
            <w:vAlign w:val="center"/>
            <w:tcMar>
              <w:top w:w="75" w:type="dxa"/>
              <w:bottom w:w="75" w:type="dxa"/>
              <w:left w:w="90" w:type="dxa"/>
              <w:right w:w="90" w:type="dxa"/>
            </w:tcMar>
            <w:shd w:fill="FFFFFF"/>
          </w:tcPr>
          <w:p>
            <w:r>
              <w:rPr>
                <w:sz w:val="18"/>
              </w:rPr>
              <w:t>12 a 16 oct</w:t>
            </w:r>
          </w:p>
        </w:tc>
        <w:tc>
          <w:tcPr>
            <w:tcW w:type="dxa" w:w="4880"/>
            <w:vAlign w:val="center"/>
            <w:tcMar>
              <w:top w:w="75" w:type="dxa"/>
              <w:bottom w:w="75" w:type="dxa"/>
              <w:left w:w="90" w:type="dxa"/>
              <w:right w:w="90" w:type="dxa"/>
            </w:tcMar>
            <w:shd w:fill="FFFFFF"/>
          </w:tcPr>
          <w:p>
            <w:r>
              <w:rPr>
                <w:sz w:val="18"/>
              </w:rPr>
              <w:t>Excepciones, módulos y revisión normativa</w:t>
            </w:r>
          </w:p>
        </w:tc>
        <w:tc>
          <w:tcPr>
            <w:tcW w:type="dxa" w:w="2948"/>
            <w:vAlign w:val="center"/>
            <w:tcMar>
              <w:top w:w="75" w:type="dxa"/>
              <w:bottom w:w="75" w:type="dxa"/>
              <w:left w:w="90" w:type="dxa"/>
              <w:right w:w="90" w:type="dxa"/>
            </w:tcMar>
            <w:shd w:fill="FFFFFF"/>
          </w:tcPr>
          <w:p>
            <w:r>
              <w:rPr>
                <w:sz w:val="18"/>
              </w:rPr>
              <w:t>Matriz inicial, formularios y requisitos aprobados</w:t>
            </w:r>
          </w:p>
        </w:tc>
      </w:tr>
      <w:tr>
        <w:trPr>
          <w:cantSplit/>
        </w:trPr>
        <w:tc>
          <w:tcPr>
            <w:tcW w:type="dxa" w:w="2338"/>
            <w:vAlign w:val="center"/>
            <w:tcMar>
              <w:top w:w="75" w:type="dxa"/>
              <w:bottom w:w="75" w:type="dxa"/>
              <w:left w:w="90" w:type="dxa"/>
              <w:right w:w="90" w:type="dxa"/>
            </w:tcMar>
            <w:shd w:fill="F2F5F8"/>
          </w:tcPr>
          <w:p>
            <w:r>
              <w:rPr>
                <w:sz w:val="18"/>
              </w:rPr>
              <w:t>19 a 23 oct</w:t>
            </w:r>
          </w:p>
        </w:tc>
        <w:tc>
          <w:tcPr>
            <w:tcW w:type="dxa" w:w="4880"/>
            <w:vAlign w:val="center"/>
            <w:tcMar>
              <w:top w:w="75" w:type="dxa"/>
              <w:bottom w:w="75" w:type="dxa"/>
              <w:left w:w="90" w:type="dxa"/>
              <w:right w:w="90" w:type="dxa"/>
            </w:tcMar>
            <w:shd w:fill="F2F5F8"/>
          </w:tcPr>
          <w:p>
            <w:r>
              <w:rPr>
                <w:sz w:val="18"/>
              </w:rPr>
              <w:t>Validación transversal, formación de enlaces y ensayos</w:t>
            </w:r>
          </w:p>
        </w:tc>
        <w:tc>
          <w:tcPr>
            <w:tcW w:type="dxa" w:w="2948"/>
            <w:vAlign w:val="center"/>
            <w:tcMar>
              <w:top w:w="75" w:type="dxa"/>
              <w:bottom w:w="75" w:type="dxa"/>
              <w:left w:w="90" w:type="dxa"/>
              <w:right w:w="90" w:type="dxa"/>
            </w:tcMar>
            <w:shd w:fill="F2F5F8"/>
          </w:tcPr>
          <w:p>
            <w:r>
              <w:rPr>
                <w:sz w:val="18"/>
              </w:rPr>
              <w:t>Autorización por unidad para pilotos desde el 26 de octubre</w:t>
            </w:r>
          </w:p>
        </w:tc>
      </w:tr>
    </w:tbl>
    <w:p>
      <w:pPr>
        <w:spacing w:after="20"/>
      </w:pPr>
    </w:p>
    <w:p>
      <w:pPr>
        <w:pStyle w:val="Heading3"/>
      </w:pPr>
      <w:r>
        <w:t>Preguntas comunes para todas las unidades</w:t>
      </w:r>
    </w:p>
    <w:p>
      <w:pPr>
        <w:spacing w:after="80"/>
      </w:pPr>
      <w:r>
        <w:t>1. ¿Qué servicios prestan hoy, en qué sede y a qué población? ¿Qué solicitudes rechazan o derivan?</w:t>
      </w:r>
    </w:p>
    <w:p>
      <w:pPr>
        <w:spacing w:after="80"/>
      </w:pPr>
      <w:r>
        <w:t>2. ¿Quién inicia cada proceso, quién lo ejecuta, quién lo autoriza y quién sustituye al responsable?</w:t>
      </w:r>
    </w:p>
    <w:p>
      <w:pPr>
        <w:spacing w:after="80"/>
      </w:pPr>
      <w:r>
        <w:t>3. ¿Cómo entra una solicitud y qué evento determina que terminó correctamente?</w:t>
      </w:r>
    </w:p>
    <w:p>
      <w:pPr>
        <w:spacing w:after="80"/>
      </w:pPr>
      <w:r>
        <w:t>4. ¿Qué datos y documentos son indispensables y cuáles sólo se piden en ciertos casos?</w:t>
      </w:r>
    </w:p>
    <w:p>
      <w:pPr>
        <w:spacing w:after="80"/>
      </w:pPr>
      <w:r>
        <w:t>5. ¿Qué formatos, hojas de cálculo, expedientes y sistemas utilizan? ¿Cuál es el registro oficial?</w:t>
      </w:r>
    </w:p>
    <w:p>
      <w:pPr>
        <w:spacing w:after="80"/>
      </w:pPr>
      <w:r>
        <w:t>6. ¿Cuántos casos atienden por día y en temporada alta? ¿Cuánto dura cada actividad?</w:t>
      </w:r>
    </w:p>
    <w:p>
      <w:pPr>
        <w:spacing w:after="80"/>
      </w:pPr>
      <w:r>
        <w:t>7. ¿Qué errores, retrasos, duplicidades y retrabajos ocurren con mayor frecuencia?</w:t>
      </w:r>
    </w:p>
    <w:p>
      <w:pPr>
        <w:spacing w:after="80"/>
      </w:pPr>
      <w:r>
        <w:t>8. ¿Qué cambia con menores de edad, tutores, becas, convenios o personas sin identificación?</w:t>
      </w:r>
    </w:p>
    <w:p>
      <w:pPr>
        <w:spacing w:after="80"/>
      </w:pPr>
      <w:r>
        <w:t>9. ¿Qué debe ocurrir ante ausencia del profesional, falla de equipo, impago o interrupción de internet?</w:t>
      </w:r>
    </w:p>
    <w:p>
      <w:pPr>
        <w:spacing w:after="80"/>
      </w:pPr>
      <w:r>
        <w:t>10. ¿Qué información pueden consultar otros servicios y qué información debe permanecer restringida?</w:t>
      </w:r>
    </w:p>
    <w:p>
      <w:pPr>
        <w:spacing w:after="80"/>
      </w:pPr>
      <w:r>
        <w:t>11. ¿Qué reportes entregan, a quién, con qué frecuencia y con qué definición de cada indicador?</w:t>
      </w:r>
    </w:p>
    <w:p>
      <w:pPr>
        <w:spacing w:after="80"/>
      </w:pPr>
      <w:r>
        <w:t>12. ¿Qué resultado concreto les permitiría aceptar el sistema y dejar de duplicar capturas?</w:t>
      </w:r>
    </w:p>
    <w:p>
      <w:pPr>
        <w:pStyle w:val="Heading3"/>
      </w:pPr>
      <w:r>
        <w:t>Paquete mínimo por proceso</w:t>
      </w:r>
    </w:p>
    <w:p>
      <w:r>
        <w:t>Asignar código, versión, sede, dueño y fecha. Documentar objetivo, disparador, entradas, pasos y decisiones; actores, datos, recursos, tiempos, salidas, excepciones, permisos e indicador. Adjuntar un caso normal y dos excepciones, el formato vigente y las decisiones aún pendientes.</w:t>
      </w:r>
    </w:p>
    <w:p>
      <w:r>
        <w:t>Separar el proceso observado de la mejora propuesta. El responsable valida ambos expresamente antes de convertirlos en requisitos de programación. Una discrepancia entre dos entrevistados se registra y resuelve; no se convierte en una regla por suposición.</w:t>
      </w:r>
    </w:p>
    <w:p>
      <w:r>
        <w:br w:type="page"/>
      </w:r>
    </w:p>
    <w:p>
      <w:pPr>
        <w:pStyle w:val="Heading1"/>
      </w:pPr>
      <w:r>
        <w:t>Unidad de odontología</w:t>
      </w:r>
    </w:p>
    <w:p>
      <w:r>
        <w:t>Prioridad propuesta alta. Entrevistar a la coordinación clínica, docente supervisor, recepción, caja y encargado de esterilización. Observar una primera valoración, un tratamiento de varias sesiones y el cierre de una atención.</w:t>
      </w:r>
    </w:p>
    <w:p>
      <w:pPr>
        <w:pStyle w:val="Heading3"/>
      </w:pPr>
      <w:r>
        <w:t>Procesos que se deben documentar</w:t>
      </w:r>
    </w:p>
    <w:p>
      <w:r>
        <w:t>OD01 admisión y valoración; OD02 historia y odontograma; OD03 diagnóstico y plan; OD04 presupuesto y consentimiento; OD05 agenda de unidad dental y supervisor; OD06 procedimiento y evolución; OD07 imágenes y laboratorio protésico; OD08 instrumental y esterilización; OD09 cobro y seguimiento; OD10 alta, derivación e incidentes.</w:t>
      </w:r>
    </w:p>
    <w:p>
      <w:pPr>
        <w:pStyle w:val="Heading3"/>
      </w:pPr>
      <w:r>
        <w:t>Preguntas para el desarrollador</w:t>
      </w:r>
    </w:p>
    <w:p>
      <w:pPr>
        <w:spacing w:after="80"/>
      </w:pPr>
      <w:r>
        <w:t>1. ¿Cómo identifican al paciente y evitan abrir dos expedientes para la misma persona?</w:t>
      </w:r>
    </w:p>
    <w:p>
      <w:pPr>
        <w:spacing w:after="80"/>
      </w:pPr>
      <w:r>
        <w:t>2. ¿Qué nomenclatura usan en el odontograma y cómo registran pieza, superficie, hallazgo y tratamiento en el tiempo?</w:t>
      </w:r>
    </w:p>
    <w:p>
      <w:pPr>
        <w:spacing w:after="80"/>
      </w:pPr>
      <w:r>
        <w:t>3. ¿Quién captura y quién valida antecedentes, alergias, medicamentos, exploración y diagnósticos?</w:t>
      </w:r>
    </w:p>
    <w:p>
      <w:pPr>
        <w:spacing w:after="80"/>
      </w:pPr>
      <w:r>
        <w:t>4. ¿Cómo convierten el plan clínico en presupuesto? ¿Puede cambiar y qué autorización conserva cada versión?</w:t>
      </w:r>
    </w:p>
    <w:p>
      <w:pPr>
        <w:spacing w:after="80"/>
      </w:pPr>
      <w:r>
        <w:t>5. ¿Qué procedimientos requieren consentimiento específico y cómo se acredita la representación de un menor?</w:t>
      </w:r>
    </w:p>
    <w:p>
      <w:pPr>
        <w:spacing w:after="80"/>
      </w:pPr>
      <w:r>
        <w:t>6. ¿La cita reserva simultáneamente sillón, instrumental, alumno, docente y equipo de imagen? ¿Qué bloquea la reserva?</w:t>
      </w:r>
    </w:p>
    <w:p>
      <w:pPr>
        <w:spacing w:after="80"/>
      </w:pPr>
      <w:r>
        <w:t>7. ¿Cómo se supervisan los tratamientos de alumnos y qué impide dar una nota por terminada sin revisión?</w:t>
      </w:r>
    </w:p>
    <w:p>
      <w:pPr>
        <w:spacing w:after="80"/>
      </w:pPr>
      <w:r>
        <w:t>8. ¿Cómo vinculan radiografías, fotografías, solicitudes protésicas, entregas externas y repeticiones con el tratamiento?</w:t>
      </w:r>
    </w:p>
    <w:p>
      <w:pPr>
        <w:spacing w:after="80"/>
      </w:pPr>
      <w:r>
        <w:t>9. ¿Cómo registran lote de esterilización, liberación del instrumental, material usado y equipo fuera de servicio?</w:t>
      </w:r>
    </w:p>
    <w:p>
      <w:pPr>
        <w:spacing w:after="80"/>
      </w:pPr>
      <w:r>
        <w:t>10. ¿Cómo manejan extracciones complicadas, eventos adversos, interrupciones, urgencias y referencia externa?</w:t>
      </w:r>
    </w:p>
    <w:p>
      <w:pPr>
        <w:spacing w:after="80"/>
      </w:pPr>
      <w:r>
        <w:t>11. ¿Cómo se cobran tratamientos por etapas, anticipos, descuentos, devoluciones y trabajos no concluidos?</w:t>
      </w:r>
    </w:p>
    <w:p>
      <w:pPr>
        <w:spacing w:after="80"/>
      </w:pPr>
      <w:r>
        <w:t>12. ¿Qué seguimiento se exige después de una intervención y quién verifica el cierre del caso?</w:t>
      </w:r>
    </w:p>
    <w:p>
      <w:pPr>
        <w:pStyle w:val="Heading3"/>
      </w:pPr>
      <w:r>
        <w:t>Evidencia y resultado</w:t>
      </w:r>
    </w:p>
    <w:p>
      <w:r>
        <w:t>Solicitar historia y odontograma vacíos, consentimientos, catálogo con precios y vigencias, presupuesto, orden protésica, notas de evolución, agenda, bitácora de esterilización y matriz de supervisión. Revisar tres casos anonimizados con distinto recorrido.</w:t>
      </w:r>
    </w:p>
    <w:p>
      <w:r>
        <w:t>Entregar un procedimiento validado, diccionario del odontograma, catálogo de tratamientos, reglas de agenda y firma, estados del plan y tabla de permisos. Aceptación: reconstruir un tratamiento desde la valoración hasta el cobro y alta, distinguiendo hallazgo, tratamiento planeado y procedimiento ejecutado, sin sobrescribir la historia.</w:t>
      </w:r>
    </w:p>
    <w:p>
      <w:r>
        <w:t>Indicadores propuestos: planes iniciados y terminados; ausencias; notas pendientes de revisión; tiempo entre valoración e inicio. Definir denominadores y responsables durante el taller.</w:t>
      </w:r>
      <w:r>
        <w:rPr>
          <w:i/>
        </w:rPr>
        <w:t xml:space="preserve"> Cumplimiento específico y preguntas adicionales: C03.</w:t>
      </w:r>
    </w:p>
    <w:p>
      <w:r>
        <w:br w:type="page"/>
      </w:r>
    </w:p>
    <w:p>
      <w:pPr>
        <w:pStyle w:val="Heading1"/>
      </w:pPr>
      <w:r>
        <w:t>Unidad de fisioterapia</w:t>
      </w:r>
    </w:p>
    <w:p>
      <w:r>
        <w:t>Prioridad propuesta alta. Entrevistar a coordinación, terapeutas, supervisores y recepción. Observar evaluación inicial, sesión subsecuente y reevaluación.</w:t>
      </w:r>
    </w:p>
    <w:p>
      <w:pPr>
        <w:pStyle w:val="Heading3"/>
      </w:pPr>
      <w:r>
        <w:t>Procesos que se deben documentar</w:t>
      </w:r>
    </w:p>
    <w:p>
      <w:r>
        <w:t>FI01 ingreso y referencia; FI02 evaluación funcional; FI03 plan y objetivos; FI04 agenda de sesiones y recursos; FI05 intervención; FI06 registro de evolución; FI07 reevaluación; FI08 programa domiciliario; FI09 alta, abandono o derivación; FI10 control de equipo.</w:t>
      </w:r>
    </w:p>
    <w:p>
      <w:pPr>
        <w:pStyle w:val="Heading3"/>
      </w:pPr>
      <w:r>
        <w:t>Preguntas para el desarrollador</w:t>
      </w:r>
    </w:p>
    <w:p>
      <w:pPr>
        <w:spacing w:after="80"/>
      </w:pPr>
      <w:r>
        <w:t>1. ¿Qué motivos de consulta admiten y cuándo solicitan valoración o referencia de otro profesional?</w:t>
      </w:r>
    </w:p>
    <w:p>
      <w:pPr>
        <w:spacing w:after="80"/>
      </w:pPr>
      <w:r>
        <w:t>2. ¿Qué escalas, pruebas, unidades y formatos usan por tipo de padecimiento y población?</w:t>
      </w:r>
    </w:p>
    <w:p>
      <w:pPr>
        <w:spacing w:after="80"/>
      </w:pPr>
      <w:r>
        <w:t>3. ¿Cómo registran dolor, movilidad, fuerza, limitaciones funcionales y objetivos iniciales?</w:t>
      </w:r>
    </w:p>
    <w:p>
      <w:pPr>
        <w:spacing w:after="80"/>
      </w:pPr>
      <w:r>
        <w:t>4. ¿Quién define cantidad, frecuencia, duración y criterios de cambio de las sesiones?</w:t>
      </w:r>
    </w:p>
    <w:p>
      <w:pPr>
        <w:spacing w:after="80"/>
      </w:pPr>
      <w:r>
        <w:t>5. ¿Las sesiones son individuales o compartidas? ¿Cómo se limita la capacidad de terapeutas, camillas y equipos?</w:t>
      </w:r>
    </w:p>
    <w:p>
      <w:pPr>
        <w:spacing w:after="80"/>
      </w:pPr>
      <w:r>
        <w:t>6. ¿Qué parámetros de cada intervención se documentan y quién valida que estén completos?</w:t>
      </w:r>
    </w:p>
    <w:p>
      <w:pPr>
        <w:spacing w:after="80"/>
      </w:pPr>
      <w:r>
        <w:t>7. ¿Qué antecedentes o contraindicaciones debe revisar el profesional antes de cada técnica?</w:t>
      </w:r>
    </w:p>
    <w:p>
      <w:pPr>
        <w:spacing w:after="80"/>
      </w:pPr>
      <w:r>
        <w:t>8. ¿Cómo se manejan paquetes, sesiones no utilizadas, cancelaciones, interrupciones y cambio de terapeuta?</w:t>
      </w:r>
    </w:p>
    <w:p>
      <w:pPr>
        <w:spacing w:after="80"/>
      </w:pPr>
      <w:r>
        <w:t>9. ¿Cuándo se reevalúa y con qué criterio se decide continuar, modificar el plan, dar alta o derivar?</w:t>
      </w:r>
    </w:p>
    <w:p>
      <w:pPr>
        <w:spacing w:after="80"/>
      </w:pPr>
      <w:r>
        <w:t>10. ¿Cómo entregan ejercicios domiciliarios y registran adherencia sin sustituir el juicio profesional?</w:t>
      </w:r>
    </w:p>
    <w:p>
      <w:pPr>
        <w:spacing w:after="80"/>
      </w:pPr>
      <w:r>
        <w:t>11. ¿Cómo se asignan alumnos y se revisan sus notas? ¿Qué ocurre si el supervisor está ausente?</w:t>
      </w:r>
    </w:p>
    <w:p>
      <w:pPr>
        <w:spacing w:after="80"/>
      </w:pPr>
      <w:r>
        <w:t>12. ¿Cómo se retira de la agenda un equipo averiado y cómo se reprograman los pacientes afectados?</w:t>
      </w:r>
    </w:p>
    <w:p>
      <w:pPr>
        <w:pStyle w:val="Heading3"/>
      </w:pPr>
      <w:r>
        <w:t>Evidencia y resultado</w:t>
      </w:r>
    </w:p>
    <w:p>
      <w:r>
        <w:t>Recabar formatos iniciales y de evolución, escalas autorizadas, plan de sesiones, hojas de ejercicios, catálogo de técnicas, tarifas y paquetes, inventario y mantenimiento. Confirmar si existe atención pediátrica, geriátrica o de otras especialidades y bajo qué condiciones; la oferta académica no basta para confirmarlo.</w:t>
      </w:r>
    </w:p>
    <w:p>
      <w:r>
        <w:t>Entregar un modelo de episodio de rehabilitación y sesión, reglas de capacidad y plan de seguimiento. Aceptación: comparar evaluación inicial y reevaluación con la misma escala y unidad; conservar sesiones realizadas y saldo del paquete por separado; impedir asignar un recurso fuera de servicio.</w:t>
      </w:r>
    </w:p>
    <w:p>
      <w:r>
        <w:t>Indicadores propuestos: continuidad del tratamiento, sesiones efectuadas sobre planeadas, abandono y evolución funcional según escala. No mezclar escalas diferentes en un único promedio.</w:t>
      </w:r>
      <w:r>
        <w:rPr>
          <w:i/>
        </w:rPr>
        <w:t xml:space="preserve"> Cumplimiento específico y preguntas adicionales: C04.</w:t>
      </w:r>
    </w:p>
    <w:p>
      <w:r>
        <w:br w:type="page"/>
      </w:r>
    </w:p>
    <w:p>
      <w:pPr>
        <w:pStyle w:val="Heading1"/>
      </w:pPr>
      <w:r>
        <w:t>Unidad de nutrición</w:t>
      </w:r>
    </w:p>
    <w:p>
      <w:r>
        <w:t>Prioridad propuesta alta. Levantar por separado el consultorio universitario y el servicio nutricional de La Casita. Confirmar si comparten personal, tarifas, agenda y documentación.</w:t>
      </w:r>
    </w:p>
    <w:p>
      <w:pPr>
        <w:pStyle w:val="Heading3"/>
      </w:pPr>
      <w:r>
        <w:t>Procesos que se deben documentar</w:t>
      </w:r>
    </w:p>
    <w:p>
      <w:r>
        <w:t>NU01 admisión y estudio socioeconómico cuando aplique; NU02 evaluación nutricional; NU03 objetivos y plan; NU04 entrega de indicaciones; NU05 seguimiento; NU06 referencia interdisciplinaria; NU07 alta o abandono; NU08 talleres y servicios a instituciones.</w:t>
      </w:r>
    </w:p>
    <w:p>
      <w:pPr>
        <w:pStyle w:val="Heading3"/>
      </w:pPr>
      <w:r>
        <w:t>Preguntas para el desarrollador</w:t>
      </w:r>
    </w:p>
    <w:p>
      <w:pPr>
        <w:spacing w:after="80"/>
      </w:pPr>
      <w:r>
        <w:t>1. ¿Qué servicios presta cada sede y qué horarios son los vigentes, dado que las páginas públicas difieren?</w:t>
      </w:r>
    </w:p>
    <w:p>
      <w:pPr>
        <w:spacing w:after="80"/>
      </w:pPr>
      <w:r>
        <w:t>2. ¿Qué antecedentes, hábitos, recordatorios alimentarios y mediciones se capturan en cada consulta?</w:t>
      </w:r>
    </w:p>
    <w:p>
      <w:pPr>
        <w:spacing w:after="80"/>
      </w:pPr>
      <w:r>
        <w:t>3. ¿Cómo se distinguen mediciones hechas en consulta, datos referidos y resultados de laboratorio externos?</w:t>
      </w:r>
    </w:p>
    <w:p>
      <w:pPr>
        <w:spacing w:after="80"/>
      </w:pPr>
      <w:r>
        <w:t>4. ¿Qué unidades, fórmulas y equipos utilizan? ¿Quién aprueba los cálculos y sus versiones?</w:t>
      </w:r>
    </w:p>
    <w:p>
      <w:pPr>
        <w:spacing w:after="80"/>
      </w:pPr>
      <w:r>
        <w:t>5. ¿Cómo registran alergias, restricciones, preferencias, contexto económico y metas del paciente?</w:t>
      </w:r>
    </w:p>
    <w:p>
      <w:pPr>
        <w:spacing w:after="80"/>
      </w:pPr>
      <w:r>
        <w:t>6. ¿El plan alimentario utiliza equivalentes, menús o ambos? ¿Cómo se conservan versiones y ajustes?</w:t>
      </w:r>
    </w:p>
    <w:p>
      <w:pPr>
        <w:spacing w:after="80"/>
      </w:pPr>
      <w:r>
        <w:t>7. ¿Qué atención ofrecen a menores, embarazadas, deportistas y pacientes con enfermedades crónicas?</w:t>
      </w:r>
    </w:p>
    <w:p>
      <w:pPr>
        <w:spacing w:after="80"/>
      </w:pPr>
      <w:r>
        <w:t>8. ¿Cómo se decide la frecuencia del seguimiento y se mide la evolución más allá del peso?</w:t>
      </w:r>
    </w:p>
    <w:p>
      <w:pPr>
        <w:spacing w:after="80"/>
      </w:pPr>
      <w:r>
        <w:t>9. ¿Cómo se determina y autoriza la cuota socioeconómica, su vigencia y revisión?</w:t>
      </w:r>
    </w:p>
    <w:p>
      <w:pPr>
        <w:spacing w:after="80"/>
      </w:pPr>
      <w:r>
        <w:t>10. ¿Qué información se intercambia con psicología, odontología o fisioterapia y con qué autorización?</w:t>
      </w:r>
    </w:p>
    <w:p>
      <w:pPr>
        <w:spacing w:after="80"/>
      </w:pPr>
      <w:r>
        <w:t>11. ¿Cómo se atienden familias sin mezclar historias individuales ni mostrar información privada a otros integrantes?</w:t>
      </w:r>
    </w:p>
    <w:p>
      <w:pPr>
        <w:spacing w:after="80"/>
      </w:pPr>
      <w:r>
        <w:t>12. ¿Qué documentos se entregan al paciente y cómo se corrige un plan ya enviado?</w:t>
      </w:r>
    </w:p>
    <w:p>
      <w:pPr>
        <w:pStyle w:val="Heading3"/>
      </w:pPr>
      <w:r>
        <w:t>Evidencia y resultado</w:t>
      </w:r>
    </w:p>
    <w:p>
      <w:r>
        <w:t>Solicitar historia, evaluación, plan alimentario, formatos de seguimiento, catálogo de mediciones y unidades, tablas de referencia autorizadas, estudio socioeconómico y material educativo. Obtener evidencia del cálculo de un indicador, sin asumir que todas las fórmulas aplican a toda población.</w:t>
      </w:r>
    </w:p>
    <w:p>
      <w:r>
        <w:t>Entregar catálogo de variables y fórmulas versionadas, historial de mediciones, planes aprobados y reglas de consulta familiar. Aceptación: reproducir un cálculo con datos y fórmula conocidos, identificar quién aprobó el plan y recuperar sus versiones anteriores.</w:t>
      </w:r>
    </w:p>
    <w:p>
      <w:r>
        <w:t>Automatización candidata: recordatorios de seguimiento y entrega del plan validado mediante acceso protegido. Un generador automático de dietas no forma parte de la primera versión; requeriría reglas y revisión profesional propias.</w:t>
      </w:r>
      <w:r>
        <w:rPr>
          <w:i/>
        </w:rPr>
        <w:t xml:space="preserve"> Cumplimiento específico y preguntas adicionales: C05.</w:t>
      </w:r>
    </w:p>
    <w:p>
      <w:r>
        <w:br w:type="page"/>
      </w:r>
    </w:p>
    <w:p>
      <w:pPr>
        <w:pStyle w:val="Heading1"/>
      </w:pPr>
      <w:r>
        <w:t>Unidad de psicología clínica</w:t>
      </w:r>
    </w:p>
    <w:p>
      <w:r>
        <w:t>Prioridad alta por sensibilidad de la información. Levantar por separado atención individual, de pareja, familiar y cualquier modalidad grupal confirmada. Entrevistar al responsable clínico y de privacidad, además de recepción con acceso limitado.</w:t>
      </w:r>
    </w:p>
    <w:p>
      <w:pPr>
        <w:pStyle w:val="Heading3"/>
      </w:pPr>
      <w:r>
        <w:t>Procesos que se deben documentar</w:t>
      </w:r>
    </w:p>
    <w:p>
      <w:r>
        <w:t>PS01 solicitud y admisión; PS02 entrevista inicial; PS03 evaluación; PS04 plan de intervención; PS05 sesiones; PS06 supervisión; PS07 referencia y situaciones críticas; PS08 cierre; PS09 solicitudes de acceso y entrega de informes.</w:t>
      </w:r>
    </w:p>
    <w:p>
      <w:pPr>
        <w:pStyle w:val="Heading3"/>
      </w:pPr>
      <w:r>
        <w:t>Preguntas para el desarrollador</w:t>
      </w:r>
    </w:p>
    <w:p>
      <w:pPr>
        <w:spacing w:after="80"/>
      </w:pPr>
      <w:r>
        <w:t>1. ¿Qué población, edades y motivos atienden y qué casos deben canalizarse a otro servicio?</w:t>
      </w:r>
    </w:p>
    <w:p>
      <w:pPr>
        <w:spacing w:after="80"/>
      </w:pPr>
      <w:r>
        <w:t>2. ¿Quién revisa una solicitud potencialmente urgente y cuál es el canal humano fuera del horario de atención?</w:t>
      </w:r>
    </w:p>
    <w:p>
      <w:pPr>
        <w:spacing w:after="80"/>
      </w:pPr>
      <w:r>
        <w:t>3. ¿Qué datos puede ver recepción y qué contenido sólo corresponde al terapeuta o supervisor asignado?</w:t>
      </w:r>
    </w:p>
    <w:p>
      <w:pPr>
        <w:spacing w:after="80"/>
      </w:pPr>
      <w:r>
        <w:t>4. ¿Cómo se documentan consentimiento, tutela, participantes y cambios de representación en menores?</w:t>
      </w:r>
    </w:p>
    <w:p>
      <w:pPr>
        <w:spacing w:after="80"/>
      </w:pPr>
      <w:r>
        <w:t>5. ¿Cómo se separan notas individuales dentro de un caso de pareja o familiar y quién puede recibir cada informe?</w:t>
      </w:r>
    </w:p>
    <w:p>
      <w:pPr>
        <w:spacing w:after="80"/>
      </w:pPr>
      <w:r>
        <w:t>6. ¿Qué pruebas utilizan, cuáles requieren licencia y quién puede aplicar, calificar e interpretar sus resultados?</w:t>
      </w:r>
    </w:p>
    <w:p>
      <w:pPr>
        <w:spacing w:after="80"/>
      </w:pPr>
      <w:r>
        <w:t>7. ¿Qué tipos de notas e informes existen y cómo se corrigen sin borrar el registro original?</w:t>
      </w:r>
    </w:p>
    <w:p>
      <w:pPr>
        <w:spacing w:after="80"/>
      </w:pPr>
      <w:r>
        <w:t>8. ¿Qué información mínima puede compartirse mediante una referencia interdisciplinaria?</w:t>
      </w:r>
    </w:p>
    <w:p>
      <w:pPr>
        <w:spacing w:after="80"/>
      </w:pPr>
      <w:r>
        <w:t>9. ¿Qué autorizaciones se necesitan para observación docente, grabación o uso académico y cómo se revocan?</w:t>
      </w:r>
    </w:p>
    <w:p>
      <w:pPr>
        <w:spacing w:after="80"/>
      </w:pPr>
      <w:r>
        <w:t>10. ¿Cómo se maneja cambio de terapeuta, abandono, cierre y solicitud de transferencia del expediente?</w:t>
      </w:r>
    </w:p>
    <w:p>
      <w:pPr>
        <w:spacing w:after="80"/>
      </w:pPr>
      <w:r>
        <w:t>11. ¿Qué contenido de un recordatorio es aceptable para no revelar el motivo de atención a terceros?</w:t>
      </w:r>
    </w:p>
    <w:p>
      <w:pPr>
        <w:spacing w:after="80"/>
      </w:pPr>
      <w:r>
        <w:t>12. ¿Qué datos pueden reportarse a Dirección únicamente de forma agregada?</w:t>
      </w:r>
    </w:p>
    <w:p>
      <w:pPr>
        <w:pStyle w:val="Heading3"/>
      </w:pPr>
      <w:r>
        <w:t>Evidencia y resultado</w:t>
      </w:r>
    </w:p>
    <w:p>
      <w:r>
        <w:t>Solicitar formatos vacíos, política de atención crítica, consentimientos por modalidad, informes, reglas de supervisión y catálogo de pruebas con restricciones de uso. No incorporar reactivos de pruebas protegidas al sistema sin autorización.</w:t>
      </w:r>
    </w:p>
    <w:p>
      <w:r>
        <w:t>Entregar matriz de acceso específica, modelo de caso con participantes y documentos por persona, reglas de referencia y cierre. Aceptación: recepción puede gestionar una cita sin leer notas; un participante no accede a información individual de otro; el supervisor sólo consulta casos asignados y su acceso queda registrado.</w:t>
      </w:r>
    </w:p>
    <w:p>
      <w:r>
        <w:t>Los permisos del portal para tutores se definirán caso por caso según reglas aprobadas. No se propone que todo tutor tenga acceso automático e ilimitado a todas las notas.</w:t>
      </w:r>
      <w:r>
        <w:rPr>
          <w:i/>
        </w:rPr>
        <w:t xml:space="preserve"> Cumplimiento específico y preguntas adicionales: C06.</w:t>
      </w:r>
    </w:p>
    <w:p>
      <w:r>
        <w:br w:type="page"/>
      </w:r>
    </w:p>
    <w:p>
      <w:pPr>
        <w:pStyle w:val="Heading1"/>
      </w:pPr>
      <w:r>
        <w:t>Ciencias del deporte y readaptación</w:t>
      </w:r>
    </w:p>
    <w:p>
      <w:r>
        <w:t>Confirmar si el laboratorio, la readaptación deportiva y la atención nutricional o psicológica deportiva son una sola unidad o servicios coordinados. Evitar duplicar episodios y cobros cuando participan varias especialidades.</w:t>
      </w:r>
    </w:p>
    <w:p>
      <w:pPr>
        <w:pStyle w:val="Heading3"/>
      </w:pPr>
      <w:r>
        <w:t>Procesos que se deben documentar</w:t>
      </w:r>
    </w:p>
    <w:p>
      <w:r>
        <w:t>DE01 solicitud individual o institucional; DE02 elegibilidad para evaluación; DE03 preparación y consentimiento; DE04 pruebas; DE05 informe; DE06 programa de entrenamiento o readaptación; DE07 reevaluación; DE08 activación física empresarial; DE09 mantenimiento y calibración.</w:t>
      </w:r>
    </w:p>
    <w:p>
      <w:pPr>
        <w:pStyle w:val="Heading3"/>
      </w:pPr>
      <w:r>
        <w:t>Preguntas para el desarrollador</w:t>
      </w:r>
    </w:p>
    <w:p>
      <w:pPr>
        <w:spacing w:after="80"/>
      </w:pPr>
      <w:r>
        <w:t>1. ¿Qué pruebas se realizan realmente, con qué equipo, personal y condiciones previas?</w:t>
      </w:r>
    </w:p>
    <w:p>
      <w:pPr>
        <w:spacing w:after="80"/>
      </w:pPr>
      <w:r>
        <w:t>2. ¿Quién determina si la persona puede iniciar una prueba y qué documento registra esa decisión?</w:t>
      </w:r>
    </w:p>
    <w:p>
      <w:pPr>
        <w:spacing w:after="80"/>
      </w:pPr>
      <w:r>
        <w:t>3. ¿Cómo se identifica una prueba suspendida o inválida y cómo afecta al informe y al cobro?</w:t>
      </w:r>
    </w:p>
    <w:p>
      <w:pPr>
        <w:spacing w:after="80"/>
      </w:pPr>
      <w:r>
        <w:t>4. ¿Qué variables, unidades, protocolos y versiones se usan para comparar mediciones?</w:t>
      </w:r>
    </w:p>
    <w:p>
      <w:pPr>
        <w:spacing w:after="80"/>
      </w:pPr>
      <w:r>
        <w:t>5. ¿Los equipos exportan datos o imágenes? ¿En qué formato y con qué identificador de paciente?</w:t>
      </w:r>
    </w:p>
    <w:p>
      <w:pPr>
        <w:spacing w:after="80"/>
      </w:pPr>
      <w:r>
        <w:t>6. ¿Qué profesional interpreta, revisa y libera cada resultado?</w:t>
      </w:r>
    </w:p>
    <w:p>
      <w:pPr>
        <w:spacing w:after="80"/>
      </w:pPr>
      <w:r>
        <w:t>7. ¿Quién define el programa de readaptación y los criterios de retorno a la actividad deportiva?</w:t>
      </w:r>
    </w:p>
    <w:p>
      <w:pPr>
        <w:spacing w:after="80"/>
      </w:pPr>
      <w:r>
        <w:t>8. ¿Cómo se integran nutrición, psicología y fisioterapia sin abrir registros duplicados?</w:t>
      </w:r>
    </w:p>
    <w:p>
      <w:pPr>
        <w:spacing w:after="80"/>
      </w:pPr>
      <w:r>
        <w:t>9. ¿Qué pueden consultar entrenadores, clubes o empresas sobre una persona evaluada?</w:t>
      </w:r>
    </w:p>
    <w:p>
      <w:pPr>
        <w:spacing w:after="80"/>
      </w:pPr>
      <w:r>
        <w:t>10. ¿Cómo se cotiza y registra una jornada empresarial y cómo se distinguen asistencia grupal y expediente individual?</w:t>
      </w:r>
    </w:p>
    <w:p>
      <w:pPr>
        <w:spacing w:after="80"/>
      </w:pPr>
      <w:r>
        <w:t>11. ¿Qué preparación debe recibir el usuario antes de acudir y quién valida esas instrucciones?</w:t>
      </w:r>
    </w:p>
    <w:p>
      <w:pPr>
        <w:spacing w:after="80"/>
      </w:pPr>
      <w:r>
        <w:t>12. ¿Qué ocurre si el equipo no está calibrado o falla durante una evaluación?</w:t>
      </w:r>
    </w:p>
    <w:p>
      <w:pPr>
        <w:pStyle w:val="Heading3"/>
      </w:pPr>
      <w:r>
        <w:t>Evidencia y resultado</w:t>
      </w:r>
    </w:p>
    <w:p>
      <w:r>
        <w:t>Recabar protocolos, formatos de resultados, instrucciones al usuario, consentimiento, reglas de suspensión, ejemplos de exportación, inventario y contrato tipo con organizaciones. Confirmar el precio publicado de la prueba de esfuerzo y la aplicación de cuotas socioeconómicas antes de cargar tarifas.</w:t>
      </w:r>
    </w:p>
    <w:p>
      <w:r>
        <w:t>Entregar catálogo de pruebas y parámetros, informes con firma del responsable y flujos individuales y empresariales. Aceptación: cada resultado permite rastrear paciente, fecha, protocolo, equipo y profesional; una prueba inválida no se presenta como resultado definitivo.</w:t>
      </w:r>
    </w:p>
    <w:p>
      <w:r>
        <w:t>La primera versión admite carga estructurada o archivo. La integración automática con equipos sólo se programa cuando existan documentación técnica, muestras autorizadas y una necesidad suficiente para justificarla.</w:t>
      </w:r>
      <w:r>
        <w:rPr>
          <w:i/>
        </w:rPr>
        <w:t xml:space="preserve"> Cumplimiento específico y preguntas adicionales: C07.</w:t>
      </w:r>
    </w:p>
    <w:p>
      <w:r>
        <w:br w:type="page"/>
      </w:r>
    </w:p>
    <w:p>
      <w:pPr>
        <w:pStyle w:val="Heading1"/>
      </w:pPr>
      <w:r>
        <w:t>Atención y prevención de la salud</w:t>
      </w:r>
    </w:p>
    <w:p>
      <w:r>
        <w:t>La unidad aparece con distintas denominaciones y siglas en fuentes institucionales. Confirmar nombre oficial, adscripción, alcance, personal y relación con orientación, ESMODELO y primeros auxilios.</w:t>
      </w:r>
    </w:p>
    <w:p>
      <w:pPr>
        <w:pStyle w:val="Heading3"/>
      </w:pPr>
      <w:r>
        <w:t>Procesos que se deben documentar</w:t>
      </w:r>
    </w:p>
    <w:p>
      <w:r>
        <w:t>AP01 recepción de solicitud; AP02 primera atención; AP03 canalización; AP04 registro y seguimiento; AP05 incidentes en campus; AP06 actividades preventivas; AP07 acompañamiento y coordinación con otros programas; AP08 resguardo de documentación.</w:t>
      </w:r>
    </w:p>
    <w:p>
      <w:pPr>
        <w:pStyle w:val="Heading3"/>
      </w:pPr>
      <w:r>
        <w:t>Preguntas para el desarrollador</w:t>
      </w:r>
    </w:p>
    <w:p>
      <w:pPr>
        <w:spacing w:after="80"/>
      </w:pPr>
      <w:r>
        <w:t>1. ¿Atiende exclusivamente a alumnos y personal o también a visitantes y público externo?</w:t>
      </w:r>
    </w:p>
    <w:p>
      <w:pPr>
        <w:spacing w:after="80"/>
      </w:pPr>
      <w:r>
        <w:t>2. ¿Qué actuaciones realiza cada perfil y cuáles se canalizan a profesionales o servicios externos?</w:t>
      </w:r>
    </w:p>
    <w:p>
      <w:pPr>
        <w:spacing w:after="80"/>
      </w:pPr>
      <w:r>
        <w:t>3. ¿Cómo se solicita ayuda en el campus y quién asume la atención inmediata?</w:t>
      </w:r>
    </w:p>
    <w:p>
      <w:pPr>
        <w:spacing w:after="80"/>
      </w:pPr>
      <w:r>
        <w:t>4. ¿Qué datos se registran durante el incidente y cuáles se completan después para no retrasar la atención?</w:t>
      </w:r>
    </w:p>
    <w:p>
      <w:pPr>
        <w:spacing w:after="80"/>
      </w:pPr>
      <w:r>
        <w:t>5. ¿Qué contactos o representantes pueden ser informados y quién toma esa decisión?</w:t>
      </w:r>
    </w:p>
    <w:p>
      <w:pPr>
        <w:spacing w:after="80"/>
      </w:pPr>
      <w:r>
        <w:t>6. ¿Cómo se registra la referencia, recepción del paciente y seguimiento posterior?</w:t>
      </w:r>
    </w:p>
    <w:p>
      <w:pPr>
        <w:spacing w:after="80"/>
      </w:pPr>
      <w:r>
        <w:t>7. ¿Qué datos pueden recibir coordinación académica, recursos humanos o Dirección?</w:t>
      </w:r>
    </w:p>
    <w:p>
      <w:pPr>
        <w:spacing w:after="80"/>
      </w:pPr>
      <w:r>
        <w:t>8. ¿Cómo se distingue una constancia administrativa de un documento clínico?</w:t>
      </w:r>
    </w:p>
    <w:p>
      <w:pPr>
        <w:spacing w:after="80"/>
      </w:pPr>
      <w:r>
        <w:t>9. ¿Qué procesos de ESMODELO requieren un expediente distinto y permisos especialmente restringidos?</w:t>
      </w:r>
    </w:p>
    <w:p>
      <w:pPr>
        <w:spacing w:after="80"/>
      </w:pPr>
      <w:r>
        <w:t>10. ¿Qué sucede fuera del horario de atención o durante fallas de conectividad?</w:t>
      </w:r>
    </w:p>
    <w:p>
      <w:pPr>
        <w:spacing w:after="80"/>
      </w:pPr>
      <w:r>
        <w:t>11. ¿Qué campañas, talleres o tamizajes realizan y cómo registran consentimiento, asistencia y resultados?</w:t>
      </w:r>
    </w:p>
    <w:p>
      <w:pPr>
        <w:spacing w:after="80"/>
      </w:pPr>
      <w:r>
        <w:t>12. ¿Qué indicadores solicitan sin identificar innecesariamente a las personas atendidas?</w:t>
      </w:r>
    </w:p>
    <w:p>
      <w:pPr>
        <w:pStyle w:val="Heading3"/>
      </w:pPr>
      <w:r>
        <w:t>Evidencia y resultado</w:t>
      </w:r>
    </w:p>
    <w:p>
      <w:r>
        <w:t>Recabar manual de primera atención, rutas de referencia, registro de incidentes, directorio de atención humana y formatos de constancia. Revisar separación entre documentación clínica, administrativa y protocolos de convivencia.</w:t>
      </w:r>
    </w:p>
    <w:p>
      <w:r>
        <w:t>Entregar un flujo de primera atención y referencia, con directorio controlado y seguimiento de pendientes. Aceptación: registrar un incidente y la entrega al responsable sin exigir completar una historia extensa antes de prestar ayuda; mantener separados los contenidos que no deben circular a otras áreas.</w:t>
      </w:r>
    </w:p>
    <w:p>
      <w:r>
        <w:t>El portal podrá mostrar instrucciones institucionales aprobadas y canales humanos. No realizará clasificación autónoma de urgencias, ni prometerá atención continua si no existe un equipo asignado para ello.</w:t>
      </w:r>
      <w:r>
        <w:rPr>
          <w:i/>
        </w:rPr>
        <w:t xml:space="preserve"> Cumplimiento específico y preguntas adicionales: C08.</w:t>
      </w:r>
    </w:p>
    <w:p>
      <w:r>
        <w:br w:type="page"/>
      </w:r>
    </w:p>
    <w:p>
      <w:pPr>
        <w:pStyle w:val="Heading1"/>
      </w:pPr>
      <w:r>
        <w:t>Servicios comunitarios laborales y educativos</w:t>
      </w:r>
    </w:p>
    <w:p>
      <w:r>
        <w:t>La Casita funciona como punto de acceso y articulación. Los servicios clínicos ya se levantan en sus respectivas unidades; aquí se documentan admisión social, coordinación comunitaria, talleres y servicios a organizaciones. Confirmar el catálogo educativo porque la página pública contiene información repetida.</w:t>
      </w:r>
    </w:p>
    <w:p>
      <w:pPr>
        <w:pStyle w:val="Heading3"/>
      </w:pPr>
      <w:r>
        <w:t>Procesos que se deben documentar</w:t>
      </w:r>
    </w:p>
    <w:p>
      <w:r>
        <w:t>SC01 solicitud individual o institucional; SC02 estudio socioeconómico; SC03 asignación y canalización; SC04 convenio; SC05 diagnóstico de necesidades; SC06 cotización y programa; SC07 ejecución de talleres o intervención; SC08 informe y cierre; SC09 seguimiento de referencias.</w:t>
      </w:r>
    </w:p>
    <w:p>
      <w:pPr>
        <w:pStyle w:val="Heading3"/>
      </w:pPr>
      <w:r>
        <w:t>Preguntas para el desarrollador</w:t>
      </w:r>
    </w:p>
    <w:p>
      <w:pPr>
        <w:spacing w:after="80"/>
      </w:pPr>
      <w:r>
        <w:t>1. ¿Qué servicios clínicos, laborales y educativos se prestan actualmente y quién responde por cada uno?</w:t>
      </w:r>
    </w:p>
    <w:p>
      <w:pPr>
        <w:spacing w:after="80"/>
      </w:pPr>
      <w:r>
        <w:t>2. ¿Qué criterios y documentos determinan elegibilidad, cuota social, descuento y vigencia?</w:t>
      </w:r>
    </w:p>
    <w:p>
      <w:pPr>
        <w:spacing w:after="80"/>
      </w:pPr>
      <w:r>
        <w:t>3. ¿La USC asigna directamente las citas o remite solicitudes a las unidades?</w:t>
      </w:r>
    </w:p>
    <w:p>
      <w:pPr>
        <w:spacing w:after="80"/>
      </w:pPr>
      <w:r>
        <w:t>4. ¿Cómo confirma que una persona canalizada fue recibida y qué información necesita conocer del resultado?</w:t>
      </w:r>
    </w:p>
    <w:p>
      <w:pPr>
        <w:spacing w:after="80"/>
      </w:pPr>
      <w:r>
        <w:t>5. ¿Cómo se formaliza el servicio a una escuela o empresa y quién firma el convenio o cotización?</w:t>
      </w:r>
    </w:p>
    <w:p>
      <w:pPr>
        <w:spacing w:after="80"/>
      </w:pPr>
      <w:r>
        <w:t>6. ¿Cómo se manejan reclutamiento, perfiles de puesto, entrevistas y evaluaciones sin mezclar esos datos con expedientes clínicos?</w:t>
      </w:r>
    </w:p>
    <w:p>
      <w:pPr>
        <w:spacing w:after="80"/>
      </w:pPr>
      <w:r>
        <w:t>7. ¿Qué informes recibe la organización contratante y qué datos individuales no le corresponden?</w:t>
      </w:r>
    </w:p>
    <w:p>
      <w:pPr>
        <w:spacing w:after="80"/>
      </w:pPr>
      <w:r>
        <w:t>8. ¿Qué servicios educativos concretos ofrecen, a qué edades y con qué instrumentos autorizados?</w:t>
      </w:r>
    </w:p>
    <w:p>
      <w:pPr>
        <w:spacing w:after="80"/>
      </w:pPr>
      <w:r>
        <w:t>9. ¿Cómo se organiza una actividad comunitaria, se verifica asistencia y se registra el trabajo de alumnos?</w:t>
      </w:r>
    </w:p>
    <w:p>
      <w:pPr>
        <w:spacing w:after="80"/>
      </w:pPr>
      <w:r>
        <w:t>10. ¿Cómo se evalúan resultados, satisfacción, quejas y seguimiento de cada proyecto?</w:t>
      </w:r>
    </w:p>
    <w:p>
      <w:pPr>
        <w:spacing w:after="80"/>
      </w:pPr>
      <w:r>
        <w:t>11. ¿Qué documentos se renuevan cuando una organización repite el servicio?</w:t>
      </w:r>
    </w:p>
    <w:p>
      <w:pPr>
        <w:spacing w:after="80"/>
      </w:pPr>
      <w:r>
        <w:t>12. ¿Cómo evitan contar dos veces al mismo beneficiario cuando recibe atención en varias unidades?</w:t>
      </w:r>
    </w:p>
    <w:p>
      <w:pPr>
        <w:pStyle w:val="Heading3"/>
      </w:pPr>
      <w:r>
        <w:t>Evidencia y resultado</w:t>
      </w:r>
    </w:p>
    <w:p>
      <w:r>
        <w:t>Solicitar formato socioeconómico, reglas de cuotas, convenios, propuestas de servicio, listas de asistencia, informes y formatos de evaluación. Confirmar quién autoriza utilizar imágenes o testimonios de participantes.</w:t>
      </w:r>
    </w:p>
    <w:p>
      <w:r>
        <w:t>Entregar catálogo comunitario validado, flujo de referencia y módulo de proyectos con organizaciones, actividades y participantes. Aceptación: reportar personas únicas, atenciones y actividades por separado; consultar únicamente el estado de una referencia cuando el detalle clínico no es necesario.</w:t>
      </w:r>
    </w:p>
    <w:p>
      <w:r>
        <w:t>Automatización candidata: avisos de referencias sin respuesta y vencimientos de convenios. Su envío se hará a responsables designados y sólo con los datos mínimos requeridos.</w:t>
      </w:r>
      <w:r>
        <w:rPr>
          <w:i/>
        </w:rPr>
        <w:t xml:space="preserve"> Cumplimiento específico y preguntas adicionales: C09.</w:t>
      </w:r>
    </w:p>
    <w:p>
      <w:r>
        <w:br w:type="page"/>
      </w:r>
    </w:p>
    <w:p>
      <w:pPr>
        <w:pStyle w:val="Heading1"/>
      </w:pPr>
      <w:r>
        <w:t>Vinculación con el despacho jurídico</w:t>
      </w:r>
    </w:p>
    <w:p>
      <w:r>
        <w:t>Su integración se propone como servicio relacionado de la red comunitaria. Dirección debe confirmar si será operado en la misma plataforma. La aplicación puede compartir identidad y agenda autorizadas, pero los asuntos jurídicos requieren un dominio de datos y permisos propio.</w:t>
      </w:r>
    </w:p>
    <w:p>
      <w:pPr>
        <w:pStyle w:val="Heading3"/>
      </w:pPr>
      <w:r>
        <w:t>Procesos que se deben documentar</w:t>
      </w:r>
    </w:p>
    <w:p>
      <w:r>
        <w:t>JU01 solicitud; JU02 revisión de elegibilidad y conflictos; JU03 apertura del asunto; JU04 asesoría y actuaciones; JU05 documentos y plazos; JU06 derivación; JU07 cierre; JU08 reporte de actividad y supervisión de alumnos.</w:t>
      </w:r>
    </w:p>
    <w:p>
      <w:pPr>
        <w:pStyle w:val="Heading3"/>
      </w:pPr>
      <w:r>
        <w:t>Preguntas para el desarrollador</w:t>
      </w:r>
    </w:p>
    <w:p>
      <w:pPr>
        <w:spacing w:after="80"/>
      </w:pPr>
      <w:r>
        <w:t>1. ¿Qué materias y servicios se ofrecen y qué asuntos se excluyen o canalizan?</w:t>
      </w:r>
    </w:p>
    <w:p>
      <w:pPr>
        <w:spacing w:after="80"/>
      </w:pPr>
      <w:r>
        <w:t>2. ¿Quién revisa posibles conflictos de interés antes de mostrar o asignar un asunto?</w:t>
      </w:r>
    </w:p>
    <w:p>
      <w:pPr>
        <w:spacing w:after="80"/>
      </w:pPr>
      <w:r>
        <w:t>3. ¿Qué datos del solicitante, contraparte y otras personas se requieren y quién puede consultarlos?</w:t>
      </w:r>
    </w:p>
    <w:p>
      <w:pPr>
        <w:spacing w:after="80"/>
      </w:pPr>
      <w:r>
        <w:t>4. ¿Qué documentos de representación y autorización deben existir antes de iniciar actuaciones?</w:t>
      </w:r>
    </w:p>
    <w:p>
      <w:pPr>
        <w:spacing w:after="80"/>
      </w:pPr>
      <w:r>
        <w:t>5. ¿Se presta sólo orientación o también representación? ¿Cómo cambia el flujo en cada caso?</w:t>
      </w:r>
    </w:p>
    <w:p>
      <w:pPr>
        <w:spacing w:after="80"/>
      </w:pPr>
      <w:r>
        <w:t>6. ¿Quién registra, revisa y controla plazos, vencimientos y entregas al cliente?</w:t>
      </w:r>
    </w:p>
    <w:p>
      <w:pPr>
        <w:spacing w:after="80"/>
      </w:pPr>
      <w:r>
        <w:t>7. ¿Qué acciones pueden realizar estudiantes y qué requiere revisión del supervisor?</w:t>
      </w:r>
    </w:p>
    <w:p>
      <w:pPr>
        <w:spacing w:after="80"/>
      </w:pPr>
      <w:r>
        <w:t>8. ¿Cómo se registra entrega de documentos, originales, copias y devolución al cierre?</w:t>
      </w:r>
    </w:p>
    <w:p>
      <w:pPr>
        <w:spacing w:after="80"/>
      </w:pPr>
      <w:r>
        <w:t>9. ¿Qué información necesita la USC sobre un asunto derivado sin acceder a su contenido completo?</w:t>
      </w:r>
    </w:p>
    <w:p>
      <w:pPr>
        <w:spacing w:after="80"/>
      </w:pPr>
      <w:r>
        <w:t>10. ¿Qué cuotas o gratuidades aplican y cómo se registran gastos y comprobantes?</w:t>
      </w:r>
    </w:p>
    <w:p>
      <w:pPr>
        <w:spacing w:after="80"/>
      </w:pPr>
      <w:r>
        <w:t>11. ¿Cómo se solicita corrección, copia o transferencia de la documentación?</w:t>
      </w:r>
    </w:p>
    <w:p>
      <w:pPr>
        <w:spacing w:after="80"/>
      </w:pPr>
      <w:r>
        <w:t>12. ¿Qué eventos constituyen un cierre y qué obligaciones de seguimiento pueden continuar?</w:t>
      </w:r>
    </w:p>
    <w:p>
      <w:pPr>
        <w:pStyle w:val="Heading3"/>
      </w:pPr>
      <w:r>
        <w:t>Evidencia y resultado</w:t>
      </w:r>
    </w:p>
    <w:p>
      <w:r>
        <w:t>Recabar ficha de ingreso, criterios de aceptación, formatos de representación, control de plazos, inventario de documentos, políticas de supervisión y cierre. No inferir reglas procesales por programación; el responsable jurídico suministrará y aprobará las aplicables.</w:t>
      </w:r>
    </w:p>
    <w:p>
      <w:r>
        <w:t>Entregar un submódulo de asuntos separado de los episodios clínicos. Aceptación: un usuario de una clínica no puede consultar documentos jurídicos por compartir la identidad de la persona; un vencimiento tiene responsable, fecha, confirmación de revisión y escalamiento.</w:t>
      </w:r>
    </w:p>
    <w:p>
      <w:r>
        <w:t>Si el despacho queda fuera del alcance inicial, conservar una referencia con estado, destino y contacto institucional. No almacenar el expediente jurídico completo hasta que exista dueño de proceso, permisos y capacidad de operación.</w:t>
      </w:r>
      <w:r>
        <w:rPr>
          <w:i/>
        </w:rPr>
        <w:t xml:space="preserve"> Cumplimiento específico y preguntas adicionales: C10.</w:t>
      </w:r>
    </w:p>
    <w:p>
      <w:r>
        <w:br w:type="page"/>
      </w:r>
    </w:p>
    <w:p>
      <w:pPr>
        <w:pStyle w:val="Heading1"/>
      </w:pPr>
      <w:r>
        <w:t>Recepción administración docencia y recursos</w:t>
      </w:r>
    </w:p>
    <w:p>
      <w:r>
        <w:t>Estas funciones sostienen todas las unidades. Entrevistar a recepción, caja, Finanzas, coordinación académica, almacén, mantenimiento, TI y responsable de privacidad. Nombrar un dueño para cada proceso, aunque no exista una unidad administrativa independiente.</w:t>
      </w:r>
    </w:p>
    <w:p>
      <w:pPr>
        <w:pStyle w:val="Heading3"/>
      </w:pPr>
      <w:r>
        <w:t>Procesos transversales</w:t>
      </w:r>
    </w:p>
    <w:p>
      <w:r>
        <w:t>TR01 catálogo y tarifas; TR02 identidad, tutela y duplicados; TR03 agenda y lista de espera; TR04 admisión; TR05 cobro, devolución y corte; TR06 asignación académica; TR07 almacén y compras; TR08 esterilización; TR09 mantenimiento; TR10 archivo y permisos; TR11 quejas e incidentes; TR12 reportes y contingencia.</w:t>
      </w:r>
    </w:p>
    <w:p>
      <w:pPr>
        <w:pStyle w:val="Heading3"/>
      </w:pPr>
      <w:r>
        <w:t>Preguntas para el desarrollador</w:t>
      </w:r>
    </w:p>
    <w:p>
      <w:pPr>
        <w:spacing w:after="80"/>
      </w:pPr>
      <w:r>
        <w:t>1. ¿Qué identificadores existen y cómo se corrige o fusiona un registro duplicado con trazabilidad?</w:t>
      </w:r>
    </w:p>
    <w:p>
      <w:pPr>
        <w:spacing w:after="80"/>
      </w:pPr>
      <w:r>
        <w:t>2. ¿Qué recursos y tiempos de limpieza o preparación reserva cada servicio?</w:t>
      </w:r>
    </w:p>
    <w:p>
      <w:pPr>
        <w:spacing w:after="80"/>
      </w:pPr>
      <w:r>
        <w:t>3. ¿Quién autoriza excepciones de agenda, cuotas, descuentos, créditos, cancelaciones y reembolsos?</w:t>
      </w:r>
    </w:p>
    <w:p>
      <w:pPr>
        <w:spacing w:after="80"/>
      </w:pPr>
      <w:r>
        <w:t>4. ¿Cómo se separan presupuesto, cargo, pago, factura y devolución? ¿Qué sistema contable o PAC utilizan?</w:t>
      </w:r>
    </w:p>
    <w:p>
      <w:pPr>
        <w:spacing w:after="80"/>
      </w:pPr>
      <w:r>
        <w:t>5. ¿Cómo se concilian efectivo, transferencias y pagos electrónicos y quién aprueba diferencias?</w:t>
      </w:r>
    </w:p>
    <w:p>
      <w:pPr>
        <w:spacing w:after="80"/>
      </w:pPr>
      <w:r>
        <w:t>6. ¿Qué facultades tienen alumnos y pasantes según semestre, rotación y supervisor?</w:t>
      </w:r>
    </w:p>
    <w:p>
      <w:pPr>
        <w:spacing w:after="80"/>
      </w:pPr>
      <w:r>
        <w:t>7. ¿Qué sucede con el acceso y las notas pendientes cuando termina una rotación?</w:t>
      </w:r>
    </w:p>
    <w:p>
      <w:pPr>
        <w:spacing w:after="80"/>
      </w:pPr>
      <w:r>
        <w:t>8. ¿Qué materiales exigen lote, caducidad, mínimo de stock, trazabilidad o compra urgente?</w:t>
      </w:r>
    </w:p>
    <w:p>
      <w:pPr>
        <w:spacing w:after="80"/>
      </w:pPr>
      <w:r>
        <w:t>9. ¿Cómo se libera instrumental esterilizado y se registra su vínculo con una atención cuando corresponde?</w:t>
      </w:r>
    </w:p>
    <w:p>
      <w:pPr>
        <w:spacing w:after="80"/>
      </w:pPr>
      <w:r>
        <w:t>10. ¿Qué equipos requieren mantenimiento o calibración y quién los habilita para volver a operar?</w:t>
      </w:r>
    </w:p>
    <w:p>
      <w:pPr>
        <w:spacing w:after="80"/>
      </w:pPr>
      <w:r>
        <w:t>11. ¿Qué solicitudes de información, conservación, exportación y eliminación requieren revisión jurídica?</w:t>
      </w:r>
    </w:p>
    <w:p>
      <w:pPr>
        <w:spacing w:after="80"/>
      </w:pPr>
      <w:r>
        <w:t>12. ¿Quién atiende incidentes técnicos, restaura respaldos y autoriza volver a usar el sistema?</w:t>
      </w:r>
    </w:p>
    <w:p>
      <w:pPr>
        <w:pStyle w:val="Heading3"/>
      </w:pPr>
      <w:r>
        <w:t>Evidencia y resultado</w:t>
      </w:r>
    </w:p>
    <w:p>
      <w:r>
        <w:t>Obtener tarifarios, recibos anonimizados, políticas de cobro, plantillas de alumnos, inventario, formatos de mantenimiento, roles de acceso y reportes actuales. Registrar volumen de citas, expedientes, archivos, usuarios simultáneos y dispositivos disponibles.</w:t>
      </w:r>
    </w:p>
    <w:p>
      <w:r>
        <w:t>Entregar catálogo maestro, matriz de roles, flujo financiero y reglas de asignación de recursos. Aceptación: una cita no se duplica por concurrencia; una devolución conserva su pago original; una rotación vencida bloquea acceso nuevo sin borrar autoría previa.</w:t>
      </w:r>
      <w:r>
        <w:rPr>
          <w:i/>
        </w:rPr>
        <w:t xml:space="preserve"> Cumplimiento específico y preguntas adicionales: C11.</w:t>
      </w:r>
    </w:p>
    <w:p>
      <w:r>
        <w:br w:type="page"/>
      </w:r>
    </w:p>
    <w:p>
      <w:pPr>
        <w:pStyle w:val="Heading1"/>
      </w:pPr>
      <w:r>
        <w:t>Cierre del levantamiento y control de requisitos</w:t>
      </w:r>
    </w:p>
    <w:p>
      <w:r>
        <w:t>Un proceso estará documentado cuando su responsable pueda ejecutarlo y explicar sus excepciones utilizando la ficha, los formatos y un caso de prueba. No basta con una transcripción de la entrevista.</w:t>
      </w:r>
    </w:p>
    <w:p>
      <w:pPr>
        <w:pStyle w:val="Heading3"/>
      </w:pPr>
      <w:r>
        <w:t>Ficha reutilizable para cada pregunta</w:t>
      </w:r>
    </w:p>
    <w:p>
      <w:r>
        <w:t>Registrar código de unidad y pregunta; respuesta; quién respondió y su función; fecha; evidencia; contradicciones; decisión; responsable de resolver; vencimiento y estado. Los estados propuestos son pendiente, respondida, por contrastar y validada. No convertir una respuesta sin evidencia en requisito cerrado.</w:t>
      </w:r>
    </w:p>
    <w:p>
      <w:pPr>
        <w:pStyle w:val="Heading3"/>
      </w:pPr>
      <w:r>
        <w:t>Ficha reutilizable para cada proceso</w:t>
      </w:r>
    </w:p>
    <w:p>
      <w:r>
        <w:t>Registrar código, nombre y versión; sede; propósito; dueño; inicio y fin; pasos; decisiones; actores; reglas y excepciones; datos obligatorios; documentos; equipos; permisos; indicador; contingencia; fecha y validación. Mantener la versión anterior cuando cambien reglas o formatos.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pPr>
              <w:spacing w:after="20" w:line="245" w:lineRule="auto"/>
            </w:pPr>
            <w:r>
              <w:rPr>
                <w:b/>
                <w:color w:val="FFFFFF"/>
                <w:sz w:val="18"/>
              </w:rPr>
              <w:t>Entregable</w:t>
            </w:r>
          </w:p>
        </w:tc>
        <w:tc>
          <w:tcPr>
            <w:tcW w:type="dxa" w:w="4880"/>
            <w:vAlign w:val="center"/>
            <w:tcMar>
              <w:top w:w="75" w:type="dxa"/>
              <w:bottom w:w="75" w:type="dxa"/>
              <w:left w:w="90" w:type="dxa"/>
              <w:right w:w="90" w:type="dxa"/>
            </w:tcMar>
            <w:shd w:fill="052148"/>
          </w:tcPr>
          <w:p>
            <w:pPr>
              <w:spacing w:after="20" w:line="245" w:lineRule="auto"/>
            </w:pPr>
            <w:r>
              <w:rPr>
                <w:b/>
                <w:color w:val="FFFFFF"/>
                <w:sz w:val="18"/>
              </w:rPr>
              <w:t>Aceptación propuesta</w:t>
            </w:r>
          </w:p>
        </w:tc>
        <w:tc>
          <w:tcPr>
            <w:tcW w:type="dxa" w:w="2948"/>
            <w:vAlign w:val="center"/>
            <w:tcMar>
              <w:top w:w="75" w:type="dxa"/>
              <w:bottom w:w="75" w:type="dxa"/>
              <w:left w:w="90" w:type="dxa"/>
              <w:right w:w="90" w:type="dxa"/>
            </w:tcMar>
            <w:shd w:fill="052148"/>
          </w:tcPr>
          <w:p>
            <w:pPr>
              <w:spacing w:after="20" w:line="245" w:lineRule="auto"/>
            </w:pPr>
            <w:r>
              <w:rPr>
                <w:b/>
                <w:color w:val="FFFFFF"/>
                <w:sz w:val="18"/>
              </w:rPr>
              <w:t>Validador</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Inventario de procesos</w:t>
            </w:r>
          </w:p>
        </w:tc>
        <w:tc>
          <w:tcPr>
            <w:tcW w:type="dxa" w:w="4880"/>
            <w:vAlign w:val="center"/>
            <w:tcMar>
              <w:top w:w="75" w:type="dxa"/>
              <w:bottom w:w="75" w:type="dxa"/>
              <w:left w:w="90" w:type="dxa"/>
              <w:right w:w="90" w:type="dxa"/>
            </w:tcMar>
            <w:shd w:fill="FFFFFF"/>
          </w:tcPr>
          <w:p>
            <w:pPr>
              <w:spacing w:after="20" w:line="245" w:lineRule="auto"/>
            </w:pPr>
            <w:r>
              <w:rPr>
                <w:sz w:val="18"/>
              </w:rPr>
              <w:t>Todos los servicios confirmados tienen proceso y dueño</w:t>
            </w:r>
          </w:p>
        </w:tc>
        <w:tc>
          <w:tcPr>
            <w:tcW w:type="dxa" w:w="2948"/>
            <w:vAlign w:val="center"/>
            <w:tcMar>
              <w:top w:w="75" w:type="dxa"/>
              <w:bottom w:w="75" w:type="dxa"/>
              <w:left w:w="90" w:type="dxa"/>
              <w:right w:w="90" w:type="dxa"/>
            </w:tcMar>
            <w:shd w:fill="FFFFFF"/>
          </w:tcPr>
          <w:p>
            <w:pPr>
              <w:spacing w:after="20" w:line="245" w:lineRule="auto"/>
            </w:pPr>
            <w:r>
              <w:rPr>
                <w:sz w:val="18"/>
              </w:rPr>
              <w:t>Dirección y unidad</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Diagramas y reglas</w:t>
            </w:r>
          </w:p>
        </w:tc>
        <w:tc>
          <w:tcPr>
            <w:tcW w:type="dxa" w:w="4880"/>
            <w:vAlign w:val="center"/>
            <w:tcMar>
              <w:top w:w="75" w:type="dxa"/>
              <w:bottom w:w="75" w:type="dxa"/>
              <w:left w:w="90" w:type="dxa"/>
              <w:right w:w="90" w:type="dxa"/>
            </w:tcMar>
            <w:shd w:fill="F2F5F8"/>
          </w:tcPr>
          <w:p>
            <w:pPr>
              <w:spacing w:after="20" w:line="245" w:lineRule="auto"/>
            </w:pPr>
            <w:r>
              <w:rPr>
                <w:sz w:val="18"/>
              </w:rPr>
              <w:t>Un caso normal y dos excepciones por proceso crítico</w:t>
            </w:r>
          </w:p>
        </w:tc>
        <w:tc>
          <w:tcPr>
            <w:tcW w:type="dxa" w:w="2948"/>
            <w:vAlign w:val="center"/>
            <w:tcMar>
              <w:top w:w="75" w:type="dxa"/>
              <w:bottom w:w="75" w:type="dxa"/>
              <w:left w:w="90" w:type="dxa"/>
              <w:right w:w="90" w:type="dxa"/>
            </w:tcMar>
            <w:shd w:fill="F2F5F8"/>
          </w:tcPr>
          <w:p>
            <w:pPr>
              <w:spacing w:after="20" w:line="245" w:lineRule="auto"/>
            </w:pPr>
            <w:r>
              <w:rPr>
                <w:sz w:val="18"/>
              </w:rPr>
              <w:t>Operador y responsable</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Diccionario de datos</w:t>
            </w:r>
          </w:p>
        </w:tc>
        <w:tc>
          <w:tcPr>
            <w:tcW w:type="dxa" w:w="4880"/>
            <w:vAlign w:val="center"/>
            <w:tcMar>
              <w:top w:w="75" w:type="dxa"/>
              <w:bottom w:w="75" w:type="dxa"/>
              <w:left w:w="90" w:type="dxa"/>
              <w:right w:w="90" w:type="dxa"/>
            </w:tcMar>
            <w:shd w:fill="FFFFFF"/>
          </w:tcPr>
          <w:p>
            <w:pPr>
              <w:spacing w:after="20" w:line="245" w:lineRule="auto"/>
            </w:pPr>
            <w:r>
              <w:rPr>
                <w:sz w:val="18"/>
              </w:rPr>
              <w:t>Campos, tipos, obligatoriedad, catálogo y sensibilidad definidos</w:t>
            </w:r>
          </w:p>
        </w:tc>
        <w:tc>
          <w:tcPr>
            <w:tcW w:type="dxa" w:w="2948"/>
            <w:vAlign w:val="center"/>
            <w:tcMar>
              <w:top w:w="75" w:type="dxa"/>
              <w:bottom w:w="75" w:type="dxa"/>
              <w:left w:w="90" w:type="dxa"/>
              <w:right w:w="90" w:type="dxa"/>
            </w:tcMar>
            <w:shd w:fill="FFFFFF"/>
          </w:tcPr>
          <w:p>
            <w:pPr>
              <w:spacing w:after="20" w:line="245" w:lineRule="auto"/>
            </w:pPr>
            <w:r>
              <w:rPr>
                <w:sz w:val="18"/>
              </w:rPr>
              <w:t>Unidad y desarrollador</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Matriz de acceso</w:t>
            </w:r>
          </w:p>
        </w:tc>
        <w:tc>
          <w:tcPr>
            <w:tcW w:type="dxa" w:w="4880"/>
            <w:vAlign w:val="center"/>
            <w:tcMar>
              <w:top w:w="75" w:type="dxa"/>
              <w:bottom w:w="75" w:type="dxa"/>
              <w:left w:w="90" w:type="dxa"/>
              <w:right w:w="90" w:type="dxa"/>
            </w:tcMar>
            <w:shd w:fill="F2F5F8"/>
          </w:tcPr>
          <w:p>
            <w:pPr>
              <w:spacing w:after="20" w:line="245" w:lineRule="auto"/>
            </w:pPr>
            <w:r>
              <w:rPr>
                <w:sz w:val="18"/>
              </w:rPr>
              <w:t>Lectura, captura, revisión, exportación y administración explícitas</w:t>
            </w:r>
          </w:p>
        </w:tc>
        <w:tc>
          <w:tcPr>
            <w:tcW w:type="dxa" w:w="2948"/>
            <w:vAlign w:val="center"/>
            <w:tcMar>
              <w:top w:w="75" w:type="dxa"/>
              <w:bottom w:w="75" w:type="dxa"/>
              <w:left w:w="90" w:type="dxa"/>
              <w:right w:w="90" w:type="dxa"/>
            </w:tcMar>
            <w:shd w:fill="F2F5F8"/>
          </w:tcPr>
          <w:p>
            <w:pPr>
              <w:spacing w:after="20" w:line="245" w:lineRule="auto"/>
            </w:pPr>
            <w:r>
              <w:rPr>
                <w:sz w:val="18"/>
              </w:rPr>
              <w:t>Unidad y privacidad</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Formularios</w:t>
            </w:r>
          </w:p>
        </w:tc>
        <w:tc>
          <w:tcPr>
            <w:tcW w:type="dxa" w:w="4880"/>
            <w:vAlign w:val="center"/>
            <w:tcMar>
              <w:top w:w="75" w:type="dxa"/>
              <w:bottom w:w="75" w:type="dxa"/>
              <w:left w:w="90" w:type="dxa"/>
              <w:right w:w="90" w:type="dxa"/>
            </w:tcMar>
            <w:shd w:fill="FFFFFF"/>
          </w:tcPr>
          <w:p>
            <w:pPr>
              <w:spacing w:after="20" w:line="245" w:lineRule="auto"/>
            </w:pPr>
            <w:r>
              <w:rPr>
                <w:sz w:val="18"/>
              </w:rPr>
              <w:t>Versión vigente, uso y responsable identificados</w:t>
            </w:r>
          </w:p>
        </w:tc>
        <w:tc>
          <w:tcPr>
            <w:tcW w:type="dxa" w:w="2948"/>
            <w:vAlign w:val="center"/>
            <w:tcMar>
              <w:top w:w="75" w:type="dxa"/>
              <w:bottom w:w="75" w:type="dxa"/>
              <w:left w:w="90" w:type="dxa"/>
              <w:right w:w="90" w:type="dxa"/>
            </w:tcMar>
            <w:shd w:fill="FFFFFF"/>
          </w:tcPr>
          <w:p>
            <w:pPr>
              <w:spacing w:after="20" w:line="245" w:lineRule="auto"/>
            </w:pPr>
            <w:r>
              <w:rPr>
                <w:sz w:val="18"/>
              </w:rPr>
              <w:t>Responsable de unidad</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Requisitos</w:t>
            </w:r>
          </w:p>
        </w:tc>
        <w:tc>
          <w:tcPr>
            <w:tcW w:type="dxa" w:w="4880"/>
            <w:vAlign w:val="center"/>
            <w:tcMar>
              <w:top w:w="75" w:type="dxa"/>
              <w:bottom w:w="75" w:type="dxa"/>
              <w:left w:w="90" w:type="dxa"/>
              <w:right w:w="90" w:type="dxa"/>
            </w:tcMar>
            <w:shd w:fill="F2F5F8"/>
          </w:tcPr>
          <w:p>
            <w:pPr>
              <w:spacing w:after="20" w:line="245" w:lineRule="auto"/>
            </w:pPr>
            <w:r>
              <w:rPr>
                <w:sz w:val="18"/>
              </w:rPr>
              <w:t>Cada requisito enlaza evidencia, proceso y prueba de aceptación</w:t>
            </w:r>
          </w:p>
        </w:tc>
        <w:tc>
          <w:tcPr>
            <w:tcW w:type="dxa" w:w="2948"/>
            <w:vAlign w:val="center"/>
            <w:tcMar>
              <w:top w:w="75" w:type="dxa"/>
              <w:bottom w:w="75" w:type="dxa"/>
              <w:left w:w="90" w:type="dxa"/>
              <w:right w:w="90" w:type="dxa"/>
            </w:tcMar>
            <w:shd w:fill="F2F5F8"/>
          </w:tcPr>
          <w:p>
            <w:pPr>
              <w:spacing w:after="20" w:line="245" w:lineRule="auto"/>
            </w:pPr>
            <w:r>
              <w:rPr>
                <w:sz w:val="18"/>
              </w:rPr>
              <w:t>Dueño del proyecto</w:t>
            </w:r>
          </w:p>
        </w:tc>
      </w:tr>
    </w:tbl>
    <w:p>
      <w:pPr>
        <w:spacing w:after="20"/>
      </w:pPr>
    </w:p>
    <w:p>
      <w:pPr>
        <w:pStyle w:val="Heading3"/>
      </w:pPr>
      <w:r>
        <w:t>Priorización</w:t>
      </w:r>
    </w:p>
    <w:p>
      <w:r>
        <w:t>Primero resolver aquello que puede bloquear atención, confidencialidad, identificación, agenda, supervisión o dinero. Después abordar seguimiento, informes y eficiencia. Mejoras cosméticas y análisis avanzados se programan cuando el circuito de atención es estable.</w:t>
      </w:r>
    </w:p>
    <w:p>
      <w:r>
        <w:t>Una solicitud nueva debe registrar beneficio, unidad, esfuerzo, dependencia e impacto en la fecha. Dirección decide si sustituye otro requisito o amplía la capacidad. El desarrollador no debe absorber cambios de alcance de forma invisible.</w:t>
      </w:r>
    </w:p>
    <w:p>
      <w:pPr>
        <w:pStyle w:val="Heading3"/>
      </w:pPr>
      <w:r>
        <w:t>Preparación y primera semana</w:t>
      </w:r>
    </w:p>
    <w:p>
      <w:r>
        <w:t>El 1 y 2 de octubre se confirman alcance, responsables y agenda y se inicia el núcleo de captura. Todas las unidades preparan formatos y documentan su operación hasta el 7 de octubre; Gonzalo concentra entrevistas de agenda, identidad, privacidad y cobro. La preparación y observación local avanzan en paralelo, sin trabajos programados en septiembre.</w:t>
      </w:r>
    </w:p>
    <w:p>
      <w:r>
        <w:t>El 9 de octubre deben estar validados los procesos críticos y clasificadas las dependencias externas. El 16 de octubre se cierra la matriz normativa inicial. Las decisiones pendientes tendrán dueño y fecha; ningún módulo se habilita para atención real con reglas críticas sin resolver.</w:t>
      </w:r>
    </w:p>
    <w:p>
      <w:r>
        <w:br w:type="page"/>
      </w:r>
    </w:p>
    <w:p>
      <w:pPr>
        <w:pStyle w:val="Heading1"/>
      </w:pPr>
      <w:r>
        <w:t>Aplicación web integrada</w:t>
      </w:r>
    </w:p>
    <w:p>
      <w:r>
        <w:t>Nombre de trabajo propuesto: Salud Modelo. El producto tendrá una entrada pública, un portal del paciente y un espacio operativo con permisos. La arquitectura admite varios campus, pero los servicios se publican sólo donde exista atención confirmada.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cantSplit/>
          <w:tblHeader/>
        </w:trPr>
        <w:tc>
          <w:tcPr>
            <w:tcW w:type="dxa" w:w="5083"/>
            <w:vAlign w:val="center"/>
            <w:tcMar>
              <w:top w:w="75" w:type="dxa"/>
              <w:bottom w:w="75" w:type="dxa"/>
              <w:left w:w="90" w:type="dxa"/>
              <w:right w:w="90" w:type="dxa"/>
            </w:tcMar>
            <w:shd w:fill="052148"/>
          </w:tcPr>
          <w:p>
            <w:pPr>
              <w:spacing w:after="20" w:line="245" w:lineRule="auto"/>
            </w:pPr>
            <w:r>
              <w:rPr>
                <w:b/>
                <w:color w:val="FFFFFF"/>
                <w:sz w:val="18"/>
              </w:rPr>
              <w:t>Módulo</w:t>
            </w:r>
          </w:p>
        </w:tc>
        <w:tc>
          <w:tcPr>
            <w:tcW w:type="dxa" w:w="5083"/>
            <w:vAlign w:val="center"/>
            <w:tcMar>
              <w:top w:w="75" w:type="dxa"/>
              <w:bottom w:w="75" w:type="dxa"/>
              <w:left w:w="90" w:type="dxa"/>
              <w:right w:w="90" w:type="dxa"/>
            </w:tcMar>
            <w:shd w:fill="052148"/>
          </w:tcPr>
          <w:p>
            <w:pPr>
              <w:spacing w:after="20" w:line="245" w:lineRule="auto"/>
            </w:pPr>
            <w:r>
              <w:rPr>
                <w:b/>
                <w:color w:val="FFFFFF"/>
                <w:sz w:val="18"/>
              </w:rPr>
              <w:t>Función y resultado</w:t>
            </w:r>
          </w:p>
        </w:tc>
      </w:tr>
      <w:tr>
        <w:trPr>
          <w:cantSplit/>
        </w:trPr>
        <w:tc>
          <w:tcPr>
            <w:tcW w:type="dxa" w:w="5083"/>
            <w:vAlign w:val="center"/>
            <w:tcMar>
              <w:top w:w="75" w:type="dxa"/>
              <w:bottom w:w="75" w:type="dxa"/>
              <w:left w:w="90" w:type="dxa"/>
              <w:right w:w="90" w:type="dxa"/>
            </w:tcMar>
            <w:shd w:fill="FFFFFF"/>
          </w:tcPr>
          <w:p>
            <w:pPr>
              <w:spacing w:after="20" w:line="245" w:lineRule="auto"/>
            </w:pPr>
            <w:r>
              <w:rPr>
                <w:sz w:val="18"/>
              </w:rPr>
              <w:t>Catálogo público</w:t>
            </w:r>
          </w:p>
        </w:tc>
        <w:tc>
          <w:tcPr>
            <w:tcW w:type="dxa" w:w="5083"/>
            <w:vAlign w:val="center"/>
            <w:tcMar>
              <w:top w:w="75" w:type="dxa"/>
              <w:bottom w:w="75" w:type="dxa"/>
              <w:left w:w="90" w:type="dxa"/>
              <w:right w:w="90" w:type="dxa"/>
            </w:tcMar>
            <w:shd w:fill="FFFFFF"/>
          </w:tcPr>
          <w:p>
            <w:pPr>
              <w:spacing w:after="20" w:line="245" w:lineRule="auto"/>
            </w:pPr>
            <w:r>
              <w:rPr>
                <w:sz w:val="18"/>
              </w:rPr>
              <w:t>Servicios por sede, requisitos, horarios validados y solicitud de cita</w:t>
            </w:r>
          </w:p>
        </w:tc>
      </w:tr>
      <w:tr>
        <w:trPr>
          <w:cantSplit/>
        </w:trPr>
        <w:tc>
          <w:tcPr>
            <w:tcW w:type="dxa" w:w="5083"/>
            <w:vAlign w:val="center"/>
            <w:tcMar>
              <w:top w:w="75" w:type="dxa"/>
              <w:bottom w:w="75" w:type="dxa"/>
              <w:left w:w="90" w:type="dxa"/>
              <w:right w:w="90" w:type="dxa"/>
            </w:tcMar>
            <w:shd w:fill="F2F5F8"/>
          </w:tcPr>
          <w:p>
            <w:pPr>
              <w:spacing w:after="20" w:line="245" w:lineRule="auto"/>
            </w:pPr>
            <w:r>
              <w:rPr>
                <w:sz w:val="18"/>
              </w:rPr>
              <w:t>Identidad y admisión</w:t>
            </w:r>
          </w:p>
        </w:tc>
        <w:tc>
          <w:tcPr>
            <w:tcW w:type="dxa" w:w="5083"/>
            <w:vAlign w:val="center"/>
            <w:tcMar>
              <w:top w:w="75" w:type="dxa"/>
              <w:bottom w:w="75" w:type="dxa"/>
              <w:left w:w="90" w:type="dxa"/>
              <w:right w:w="90" w:type="dxa"/>
            </w:tcMar>
            <w:shd w:fill="F2F5F8"/>
          </w:tcPr>
          <w:p>
            <w:pPr>
              <w:spacing w:after="20" w:line="245" w:lineRule="auto"/>
            </w:pPr>
            <w:r>
              <w:rPr>
                <w:sz w:val="18"/>
              </w:rPr>
              <w:t>Persona única, contactos, tutela, consentimientos y prevención de duplicados</w:t>
            </w:r>
          </w:p>
        </w:tc>
      </w:tr>
      <w:tr>
        <w:trPr>
          <w:cantSplit/>
        </w:trPr>
        <w:tc>
          <w:tcPr>
            <w:tcW w:type="dxa" w:w="5083"/>
            <w:vAlign w:val="center"/>
            <w:tcMar>
              <w:top w:w="75" w:type="dxa"/>
              <w:bottom w:w="75" w:type="dxa"/>
              <w:left w:w="90" w:type="dxa"/>
              <w:right w:w="90" w:type="dxa"/>
            </w:tcMar>
            <w:shd w:fill="FFFFFF"/>
          </w:tcPr>
          <w:p>
            <w:pPr>
              <w:spacing w:after="20" w:line="245" w:lineRule="auto"/>
            </w:pPr>
            <w:r>
              <w:rPr>
                <w:sz w:val="18"/>
              </w:rPr>
              <w:t>Agenda</w:t>
            </w:r>
          </w:p>
        </w:tc>
        <w:tc>
          <w:tcPr>
            <w:tcW w:type="dxa" w:w="5083"/>
            <w:vAlign w:val="center"/>
            <w:tcMar>
              <w:top w:w="75" w:type="dxa"/>
              <w:bottom w:w="75" w:type="dxa"/>
              <w:left w:w="90" w:type="dxa"/>
              <w:right w:w="90" w:type="dxa"/>
            </w:tcMar>
            <w:shd w:fill="FFFFFF"/>
          </w:tcPr>
          <w:p>
            <w:pPr>
              <w:spacing w:after="20" w:line="245" w:lineRule="auto"/>
            </w:pPr>
            <w:r>
              <w:rPr>
                <w:sz w:val="18"/>
              </w:rPr>
              <w:t>Profesional, alumno, supervisor, sala, equipo, duración, bloqueos y espera</w:t>
            </w:r>
          </w:p>
        </w:tc>
      </w:tr>
      <w:tr>
        <w:trPr>
          <w:cantSplit/>
        </w:trPr>
        <w:tc>
          <w:tcPr>
            <w:tcW w:type="dxa" w:w="5083"/>
            <w:vAlign w:val="center"/>
            <w:tcMar>
              <w:top w:w="75" w:type="dxa"/>
              <w:bottom w:w="75" w:type="dxa"/>
              <w:left w:w="90" w:type="dxa"/>
              <w:right w:w="90" w:type="dxa"/>
            </w:tcMar>
            <w:shd w:fill="F2F5F8"/>
          </w:tcPr>
          <w:p>
            <w:pPr>
              <w:spacing w:after="20" w:line="245" w:lineRule="auto"/>
            </w:pPr>
            <w:r>
              <w:rPr>
                <w:sz w:val="18"/>
              </w:rPr>
              <w:t>Expedientes</w:t>
            </w:r>
          </w:p>
        </w:tc>
        <w:tc>
          <w:tcPr>
            <w:tcW w:type="dxa" w:w="5083"/>
            <w:vAlign w:val="center"/>
            <w:tcMar>
              <w:top w:w="75" w:type="dxa"/>
              <w:bottom w:w="75" w:type="dxa"/>
              <w:left w:w="90" w:type="dxa"/>
              <w:right w:w="90" w:type="dxa"/>
            </w:tcMar>
            <w:shd w:fill="F2F5F8"/>
          </w:tcPr>
          <w:p>
            <w:pPr>
              <w:spacing w:after="20" w:line="245" w:lineRule="auto"/>
            </w:pPr>
            <w:r>
              <w:rPr>
                <w:sz w:val="18"/>
              </w:rPr>
              <w:t>Episodios por especialidad, notas, planes, adjuntos, revisión y cierre</w:t>
            </w:r>
          </w:p>
        </w:tc>
      </w:tr>
      <w:tr>
        <w:trPr>
          <w:cantSplit/>
        </w:trPr>
        <w:tc>
          <w:tcPr>
            <w:tcW w:type="dxa" w:w="5083"/>
            <w:vAlign w:val="center"/>
            <w:tcMar>
              <w:top w:w="75" w:type="dxa"/>
              <w:bottom w:w="75" w:type="dxa"/>
              <w:left w:w="90" w:type="dxa"/>
              <w:right w:w="90" w:type="dxa"/>
            </w:tcMar>
            <w:shd w:fill="FFFFFF"/>
          </w:tcPr>
          <w:p>
            <w:pPr>
              <w:spacing w:after="20" w:line="245" w:lineRule="auto"/>
            </w:pPr>
            <w:r>
              <w:rPr>
                <w:sz w:val="18"/>
              </w:rPr>
              <w:t>Referencias</w:t>
            </w:r>
          </w:p>
        </w:tc>
        <w:tc>
          <w:tcPr>
            <w:tcW w:type="dxa" w:w="5083"/>
            <w:vAlign w:val="center"/>
            <w:tcMar>
              <w:top w:w="75" w:type="dxa"/>
              <w:bottom w:w="75" w:type="dxa"/>
              <w:left w:w="90" w:type="dxa"/>
              <w:right w:w="90" w:type="dxa"/>
            </w:tcMar>
            <w:shd w:fill="FFFFFF"/>
          </w:tcPr>
          <w:p>
            <w:pPr>
              <w:spacing w:after="20" w:line="245" w:lineRule="auto"/>
            </w:pPr>
            <w:r>
              <w:rPr>
                <w:sz w:val="18"/>
              </w:rPr>
              <w:t>Solicitud, aceptación, atención y respuesta con información mínima</w:t>
            </w:r>
          </w:p>
        </w:tc>
      </w:tr>
      <w:tr>
        <w:trPr>
          <w:cantSplit/>
        </w:trPr>
        <w:tc>
          <w:tcPr>
            <w:tcW w:type="dxa" w:w="5083"/>
            <w:vAlign w:val="center"/>
            <w:tcMar>
              <w:top w:w="75" w:type="dxa"/>
              <w:bottom w:w="75" w:type="dxa"/>
              <w:left w:w="90" w:type="dxa"/>
              <w:right w:w="90" w:type="dxa"/>
            </w:tcMar>
            <w:shd w:fill="F2F5F8"/>
          </w:tcPr>
          <w:p>
            <w:pPr>
              <w:spacing w:after="20" w:line="245" w:lineRule="auto"/>
            </w:pPr>
            <w:r>
              <w:rPr>
                <w:sz w:val="18"/>
              </w:rPr>
              <w:t>Finanzas</w:t>
            </w:r>
          </w:p>
        </w:tc>
        <w:tc>
          <w:tcPr>
            <w:tcW w:type="dxa" w:w="5083"/>
            <w:vAlign w:val="center"/>
            <w:tcMar>
              <w:top w:w="75" w:type="dxa"/>
              <w:bottom w:w="75" w:type="dxa"/>
              <w:left w:w="90" w:type="dxa"/>
              <w:right w:w="90" w:type="dxa"/>
            </w:tcMar>
            <w:shd w:fill="F2F5F8"/>
          </w:tcPr>
          <w:p>
            <w:pPr>
              <w:spacing w:after="20" w:line="245" w:lineRule="auto"/>
            </w:pPr>
            <w:r>
              <w:rPr>
                <w:sz w:val="18"/>
              </w:rPr>
              <w:t>Presupuestos, cargos, pagos, cuotas sociales, devoluciones y conciliación</w:t>
            </w:r>
          </w:p>
        </w:tc>
      </w:tr>
      <w:tr>
        <w:trPr>
          <w:cantSplit/>
        </w:trPr>
        <w:tc>
          <w:tcPr>
            <w:tcW w:type="dxa" w:w="5083"/>
            <w:vAlign w:val="center"/>
            <w:tcMar>
              <w:top w:w="75" w:type="dxa"/>
              <w:bottom w:w="75" w:type="dxa"/>
              <w:left w:w="90" w:type="dxa"/>
              <w:right w:w="90" w:type="dxa"/>
            </w:tcMar>
            <w:shd w:fill="FFFFFF"/>
          </w:tcPr>
          <w:p>
            <w:pPr>
              <w:spacing w:after="20" w:line="245" w:lineRule="auto"/>
            </w:pPr>
            <w:r>
              <w:rPr>
                <w:sz w:val="18"/>
              </w:rPr>
              <w:t>Docencia</w:t>
            </w:r>
          </w:p>
        </w:tc>
        <w:tc>
          <w:tcPr>
            <w:tcW w:type="dxa" w:w="5083"/>
            <w:vAlign w:val="center"/>
            <w:tcMar>
              <w:top w:w="75" w:type="dxa"/>
              <w:bottom w:w="75" w:type="dxa"/>
              <w:left w:w="90" w:type="dxa"/>
              <w:right w:w="90" w:type="dxa"/>
            </w:tcMar>
            <w:shd w:fill="FFFFFF"/>
          </w:tcPr>
          <w:p>
            <w:pPr>
              <w:spacing w:after="20" w:line="245" w:lineRule="auto"/>
            </w:pPr>
            <w:r>
              <w:rPr>
                <w:sz w:val="18"/>
              </w:rPr>
              <w:t>Rotaciones, asignaciones, revisión de notas y actividad académica</w:t>
            </w:r>
          </w:p>
        </w:tc>
      </w:tr>
      <w:tr>
        <w:trPr>
          <w:cantSplit/>
        </w:trPr>
        <w:tc>
          <w:tcPr>
            <w:tcW w:type="dxa" w:w="5083"/>
            <w:vAlign w:val="center"/>
            <w:tcMar>
              <w:top w:w="75" w:type="dxa"/>
              <w:bottom w:w="75" w:type="dxa"/>
              <w:left w:w="90" w:type="dxa"/>
              <w:right w:w="90" w:type="dxa"/>
            </w:tcMar>
            <w:shd w:fill="F2F5F8"/>
          </w:tcPr>
          <w:p>
            <w:pPr>
              <w:spacing w:after="20" w:line="245" w:lineRule="auto"/>
            </w:pPr>
            <w:r>
              <w:rPr>
                <w:sz w:val="18"/>
              </w:rPr>
              <w:t>Recursos</w:t>
            </w:r>
          </w:p>
        </w:tc>
        <w:tc>
          <w:tcPr>
            <w:tcW w:type="dxa" w:w="5083"/>
            <w:vAlign w:val="center"/>
            <w:tcMar>
              <w:top w:w="75" w:type="dxa"/>
              <w:bottom w:w="75" w:type="dxa"/>
              <w:left w:w="90" w:type="dxa"/>
              <w:right w:w="90" w:type="dxa"/>
            </w:tcMar>
            <w:shd w:fill="F2F5F8"/>
          </w:tcPr>
          <w:p>
            <w:pPr>
              <w:spacing w:after="20" w:line="245" w:lineRule="auto"/>
            </w:pPr>
            <w:r>
              <w:rPr>
                <w:sz w:val="18"/>
              </w:rPr>
              <w:t>Insumos, instrumental, mantenimiento y disponibilidad de equipos</w:t>
            </w:r>
          </w:p>
        </w:tc>
      </w:tr>
      <w:tr>
        <w:trPr>
          <w:cantSplit/>
        </w:trPr>
        <w:tc>
          <w:tcPr>
            <w:tcW w:type="dxa" w:w="5083"/>
            <w:vAlign w:val="center"/>
            <w:tcMar>
              <w:top w:w="75" w:type="dxa"/>
              <w:bottom w:w="75" w:type="dxa"/>
              <w:left w:w="90" w:type="dxa"/>
              <w:right w:w="90" w:type="dxa"/>
            </w:tcMar>
            <w:shd w:fill="FFFFFF"/>
          </w:tcPr>
          <w:p>
            <w:pPr>
              <w:spacing w:after="20" w:line="245" w:lineRule="auto"/>
            </w:pPr>
            <w:r>
              <w:rPr>
                <w:sz w:val="18"/>
              </w:rPr>
              <w:t>Comunidad y organizaciones</w:t>
            </w:r>
          </w:p>
        </w:tc>
        <w:tc>
          <w:tcPr>
            <w:tcW w:type="dxa" w:w="5083"/>
            <w:vAlign w:val="center"/>
            <w:tcMar>
              <w:top w:w="75" w:type="dxa"/>
              <w:bottom w:w="75" w:type="dxa"/>
              <w:left w:w="90" w:type="dxa"/>
              <w:right w:w="90" w:type="dxa"/>
            </w:tcMar>
            <w:shd w:fill="FFFFFF"/>
          </w:tcPr>
          <w:p>
            <w:pPr>
              <w:spacing w:after="20" w:line="245" w:lineRule="auto"/>
            </w:pPr>
            <w:r>
              <w:rPr>
                <w:sz w:val="18"/>
              </w:rPr>
              <w:t>Convenios, proyectos, talleres, participantes y resultados</w:t>
            </w:r>
          </w:p>
        </w:tc>
      </w:tr>
      <w:tr>
        <w:trPr>
          <w:cantSplit/>
        </w:trPr>
        <w:tc>
          <w:tcPr>
            <w:tcW w:type="dxa" w:w="5083"/>
            <w:vAlign w:val="center"/>
            <w:tcMar>
              <w:top w:w="75" w:type="dxa"/>
              <w:bottom w:w="75" w:type="dxa"/>
              <w:left w:w="90" w:type="dxa"/>
              <w:right w:w="90" w:type="dxa"/>
            </w:tcMar>
            <w:shd w:fill="F2F5F8"/>
          </w:tcPr>
          <w:p>
            <w:pPr>
              <w:spacing w:after="20" w:line="245" w:lineRule="auto"/>
            </w:pPr>
            <w:r>
              <w:rPr>
                <w:sz w:val="18"/>
              </w:rPr>
              <w:t>Dirección</w:t>
            </w:r>
          </w:p>
        </w:tc>
        <w:tc>
          <w:tcPr>
            <w:tcW w:type="dxa" w:w="5083"/>
            <w:vAlign w:val="center"/>
            <w:tcMar>
              <w:top w:w="75" w:type="dxa"/>
              <w:bottom w:w="75" w:type="dxa"/>
              <w:left w:w="90" w:type="dxa"/>
              <w:right w:w="90" w:type="dxa"/>
            </w:tcMar>
            <w:shd w:fill="F2F5F8"/>
          </w:tcPr>
          <w:p>
            <w:pPr>
              <w:spacing w:after="20" w:line="245" w:lineRule="auto"/>
            </w:pPr>
            <w:r>
              <w:rPr>
                <w:sz w:val="18"/>
              </w:rPr>
              <w:t>Indicadores definidos, informes agregados y auditoría autorizada</w:t>
            </w:r>
          </w:p>
        </w:tc>
      </w:tr>
    </w:tbl>
    <w:p>
      <w:pPr>
        <w:spacing w:after="20"/>
      </w:pPr>
    </w:p>
    <w:p>
      <w:pPr>
        <w:pStyle w:val="Heading3"/>
      </w:pPr>
      <w:r>
        <w:t>Recorrido del paciente</w:t>
      </w:r>
    </w:p>
    <w:p>
      <w:r>
        <w:t>Consulta el catálogo, elige sede y solicita atención. Recepción verifica elegibilidad y disponibilidad, confirma la cita y registra los documentos necesarios. El profesional realiza y documenta la atención; cuando interviene un alumno, el supervisor revisa conforme a la regla aprobada. La unidad registra cargos y programa seguimiento o referencia. Cada etapa conserva su responsable y fecha.</w:t>
      </w:r>
    </w:p>
    <w:p>
      <w:r>
        <w:t>La landing no mostrará horarios disponibles ficticios. Mientras no exista agenda en tiempo real, el botón indicará Solicitar cita y explicará que la confirmación depende de recepción. La cuenta del paciente mostrará citas y documentos liberados; no dará acceso automático a todos los apuntes internos.</w:t>
      </w:r>
    </w:p>
    <w:p>
      <w:pPr>
        <w:pStyle w:val="Heading3"/>
      </w:pPr>
      <w:r>
        <w:t>Primera versión operativa</w:t>
      </w:r>
    </w:p>
    <w:p>
      <w:r>
        <w:t>La primera entrega habilita catálogo, admisión, agenda, roles y documentos protegidos para todos los servicios confirmados. Los módulos especializados avanzan en entregas cortas y pilotos por unidad. La meta del 15 de diciembre comprende el alcance validado completo de Mérida y La Casita; C21 define su aceptación.</w:t>
      </w:r>
    </w:p>
    <w:p>
      <w:r>
        <w:t>El alcance completo incluye todos los servicios confirmados en el levantamiento. No incluye reemplazar el sistema escolar, contabilidad completa, nómina o un hospital. Se utilizarán conectores o referencias cuando esos sistemas ya existan.</w:t>
      </w:r>
    </w:p>
    <w:p>
      <w:r>
        <w:br w:type="page"/>
      </w:r>
    </w:p>
    <w:p>
      <w:pPr>
        <w:pStyle w:val="Heading1"/>
      </w:pPr>
      <w:r>
        <w:t>Modelo de datos y permisos</w:t>
      </w:r>
    </w:p>
    <w:p>
      <w:r>
        <w:t>La persona tendrá una identidad institucional común. Cada atención se asociará con sede, unidad, profesionales y episodio. Las notas psicológicas y los asuntos jurídicos conservarán permisos propios. La asignación a una unidad no concederá acceso a todas las personas atendidas por ella.</w:t>
      </w:r>
    </w:p>
    <w:p>
      <w:pPr>
        <w:pStyle w:val="Heading3"/>
      </w:pPr>
      <w:r>
        <w:t>Entidades principales</w:t>
      </w:r>
    </w:p>
    <w:p>
      <w:r>
        <w:t>Institución, campus, sede, unidad, servicio y tarifa; persona, tutor y relación de representación; usuario, rol, asignación y rotación; profesional y credencial; recurso, disponibilidad y cita; episodio, plan, sesión y nota versionada; consentimiento, archivo y referencia; presupuesto, cargo, pago y devolución; inventario, lote, mantenimiento y esterilización; organización, convenio, proyecto y actividad; evento de auditoría y notificación.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pPr>
              <w:spacing w:after="20" w:line="245" w:lineRule="auto"/>
            </w:pPr>
            <w:r>
              <w:rPr>
                <w:b/>
                <w:color w:val="FFFFFF"/>
                <w:sz w:val="18"/>
              </w:rPr>
              <w:t>Perfil</w:t>
            </w:r>
          </w:p>
        </w:tc>
        <w:tc>
          <w:tcPr>
            <w:tcW w:type="dxa" w:w="4880"/>
            <w:vAlign w:val="center"/>
            <w:tcMar>
              <w:top w:w="75" w:type="dxa"/>
              <w:bottom w:w="75" w:type="dxa"/>
              <w:left w:w="90" w:type="dxa"/>
              <w:right w:w="90" w:type="dxa"/>
            </w:tcMar>
            <w:shd w:fill="052148"/>
          </w:tcPr>
          <w:p>
            <w:pPr>
              <w:spacing w:after="20" w:line="245" w:lineRule="auto"/>
            </w:pPr>
            <w:r>
              <w:rPr>
                <w:b/>
                <w:color w:val="FFFFFF"/>
                <w:sz w:val="18"/>
              </w:rPr>
              <w:t>Acceso propuesto</w:t>
            </w:r>
          </w:p>
        </w:tc>
        <w:tc>
          <w:tcPr>
            <w:tcW w:type="dxa" w:w="2948"/>
            <w:vAlign w:val="center"/>
            <w:tcMar>
              <w:top w:w="75" w:type="dxa"/>
              <w:bottom w:w="75" w:type="dxa"/>
              <w:left w:w="90" w:type="dxa"/>
              <w:right w:w="90" w:type="dxa"/>
            </w:tcMar>
            <w:shd w:fill="052148"/>
          </w:tcPr>
          <w:p>
            <w:pPr>
              <w:spacing w:after="20" w:line="245" w:lineRule="auto"/>
            </w:pPr>
            <w:r>
              <w:rPr>
                <w:b/>
                <w:color w:val="FFFFFF"/>
                <w:sz w:val="18"/>
              </w:rPr>
              <w:t>Restricción principal</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Recepción</w:t>
            </w:r>
          </w:p>
        </w:tc>
        <w:tc>
          <w:tcPr>
            <w:tcW w:type="dxa" w:w="4880"/>
            <w:vAlign w:val="center"/>
            <w:tcMar>
              <w:top w:w="75" w:type="dxa"/>
              <w:bottom w:w="75" w:type="dxa"/>
              <w:left w:w="90" w:type="dxa"/>
              <w:right w:w="90" w:type="dxa"/>
            </w:tcMar>
            <w:shd w:fill="FFFFFF"/>
          </w:tcPr>
          <w:p>
            <w:pPr>
              <w:spacing w:after="20" w:line="245" w:lineRule="auto"/>
            </w:pPr>
            <w:r>
              <w:rPr>
                <w:sz w:val="18"/>
              </w:rPr>
              <w:t>Identidad mínima, citas y documentos de admisión</w:t>
            </w:r>
          </w:p>
        </w:tc>
        <w:tc>
          <w:tcPr>
            <w:tcW w:type="dxa" w:w="2948"/>
            <w:vAlign w:val="center"/>
            <w:tcMar>
              <w:top w:w="75" w:type="dxa"/>
              <w:bottom w:w="75" w:type="dxa"/>
              <w:left w:w="90" w:type="dxa"/>
              <w:right w:w="90" w:type="dxa"/>
            </w:tcMar>
            <w:shd w:fill="FFFFFF"/>
          </w:tcPr>
          <w:p>
            <w:pPr>
              <w:spacing w:after="20" w:line="245" w:lineRule="auto"/>
            </w:pPr>
            <w:r>
              <w:rPr>
                <w:sz w:val="18"/>
              </w:rPr>
              <w:t>Sin lectura de notas clínicas</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Profesional</w:t>
            </w:r>
          </w:p>
        </w:tc>
        <w:tc>
          <w:tcPr>
            <w:tcW w:type="dxa" w:w="4880"/>
            <w:vAlign w:val="center"/>
            <w:tcMar>
              <w:top w:w="75" w:type="dxa"/>
              <w:bottom w:w="75" w:type="dxa"/>
              <w:left w:w="90" w:type="dxa"/>
              <w:right w:w="90" w:type="dxa"/>
            </w:tcMar>
            <w:shd w:fill="F2F5F8"/>
          </w:tcPr>
          <w:p>
            <w:pPr>
              <w:spacing w:after="20" w:line="245" w:lineRule="auto"/>
            </w:pPr>
            <w:r>
              <w:rPr>
                <w:sz w:val="18"/>
              </w:rPr>
              <w:t>Episodios asignados y referencias autorizadas</w:t>
            </w:r>
          </w:p>
        </w:tc>
        <w:tc>
          <w:tcPr>
            <w:tcW w:type="dxa" w:w="2948"/>
            <w:vAlign w:val="center"/>
            <w:tcMar>
              <w:top w:w="75" w:type="dxa"/>
              <w:bottom w:w="75" w:type="dxa"/>
              <w:left w:w="90" w:type="dxa"/>
              <w:right w:w="90" w:type="dxa"/>
            </w:tcMar>
            <w:shd w:fill="F2F5F8"/>
          </w:tcPr>
          <w:p>
            <w:pPr>
              <w:spacing w:after="20" w:line="245" w:lineRule="auto"/>
            </w:pPr>
            <w:r>
              <w:rPr>
                <w:sz w:val="18"/>
              </w:rPr>
              <w:t>Sin acceso general a otras especialidades</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Alumno o pasante</w:t>
            </w:r>
          </w:p>
        </w:tc>
        <w:tc>
          <w:tcPr>
            <w:tcW w:type="dxa" w:w="4880"/>
            <w:vAlign w:val="center"/>
            <w:tcMar>
              <w:top w:w="75" w:type="dxa"/>
              <w:bottom w:w="75" w:type="dxa"/>
              <w:left w:w="90" w:type="dxa"/>
              <w:right w:w="90" w:type="dxa"/>
            </w:tcMar>
            <w:shd w:fill="FFFFFF"/>
          </w:tcPr>
          <w:p>
            <w:pPr>
              <w:spacing w:after="20" w:line="245" w:lineRule="auto"/>
            </w:pPr>
            <w:r>
              <w:rPr>
                <w:sz w:val="18"/>
              </w:rPr>
              <w:t>Captura en casos y periodo asignados</w:t>
            </w:r>
          </w:p>
        </w:tc>
        <w:tc>
          <w:tcPr>
            <w:tcW w:type="dxa" w:w="2948"/>
            <w:vAlign w:val="center"/>
            <w:tcMar>
              <w:top w:w="75" w:type="dxa"/>
              <w:bottom w:w="75" w:type="dxa"/>
              <w:left w:w="90" w:type="dxa"/>
              <w:right w:w="90" w:type="dxa"/>
            </w:tcMar>
            <w:shd w:fill="FFFFFF"/>
          </w:tcPr>
          <w:p>
            <w:pPr>
              <w:spacing w:after="20" w:line="245" w:lineRule="auto"/>
            </w:pPr>
            <w:r>
              <w:rPr>
                <w:sz w:val="18"/>
              </w:rPr>
              <w:t>No libera notas que exigen supervisión</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Supervisor</w:t>
            </w:r>
          </w:p>
        </w:tc>
        <w:tc>
          <w:tcPr>
            <w:tcW w:type="dxa" w:w="4880"/>
            <w:vAlign w:val="center"/>
            <w:tcMar>
              <w:top w:w="75" w:type="dxa"/>
              <w:bottom w:w="75" w:type="dxa"/>
              <w:left w:w="90" w:type="dxa"/>
              <w:right w:w="90" w:type="dxa"/>
            </w:tcMar>
            <w:shd w:fill="F2F5F8"/>
          </w:tcPr>
          <w:p>
            <w:pPr>
              <w:spacing w:after="20" w:line="245" w:lineRule="auto"/>
            </w:pPr>
            <w:r>
              <w:rPr>
                <w:sz w:val="18"/>
              </w:rPr>
              <w:t>Revisa y libera casos bajo su responsabilidad</w:t>
            </w:r>
          </w:p>
        </w:tc>
        <w:tc>
          <w:tcPr>
            <w:tcW w:type="dxa" w:w="2948"/>
            <w:vAlign w:val="center"/>
            <w:tcMar>
              <w:top w:w="75" w:type="dxa"/>
              <w:bottom w:w="75" w:type="dxa"/>
              <w:left w:w="90" w:type="dxa"/>
              <w:right w:w="90" w:type="dxa"/>
            </w:tcMar>
            <w:shd w:fill="F2F5F8"/>
          </w:tcPr>
          <w:p>
            <w:pPr>
              <w:spacing w:after="20" w:line="245" w:lineRule="auto"/>
            </w:pPr>
            <w:r>
              <w:rPr>
                <w:sz w:val="18"/>
              </w:rPr>
              <w:t>Sin acceso indiscriminado por ser docente</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Caja</w:t>
            </w:r>
          </w:p>
        </w:tc>
        <w:tc>
          <w:tcPr>
            <w:tcW w:type="dxa" w:w="4880"/>
            <w:vAlign w:val="center"/>
            <w:tcMar>
              <w:top w:w="75" w:type="dxa"/>
              <w:bottom w:w="75" w:type="dxa"/>
              <w:left w:w="90" w:type="dxa"/>
              <w:right w:w="90" w:type="dxa"/>
            </w:tcMar>
            <w:shd w:fill="FFFFFF"/>
          </w:tcPr>
          <w:p>
            <w:pPr>
              <w:spacing w:after="20" w:line="245" w:lineRule="auto"/>
            </w:pPr>
            <w:r>
              <w:rPr>
                <w:sz w:val="18"/>
              </w:rPr>
              <w:t>Cargos, pagos, datos fiscales necesarios</w:t>
            </w:r>
          </w:p>
        </w:tc>
        <w:tc>
          <w:tcPr>
            <w:tcW w:type="dxa" w:w="2948"/>
            <w:vAlign w:val="center"/>
            <w:tcMar>
              <w:top w:w="75" w:type="dxa"/>
              <w:bottom w:w="75" w:type="dxa"/>
              <w:left w:w="90" w:type="dxa"/>
              <w:right w:w="90" w:type="dxa"/>
            </w:tcMar>
            <w:shd w:fill="FFFFFF"/>
          </w:tcPr>
          <w:p>
            <w:pPr>
              <w:spacing w:after="20" w:line="245" w:lineRule="auto"/>
            </w:pPr>
            <w:r>
              <w:rPr>
                <w:sz w:val="18"/>
              </w:rPr>
              <w:t>Sin contenido clínico</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Dirección</w:t>
            </w:r>
          </w:p>
        </w:tc>
        <w:tc>
          <w:tcPr>
            <w:tcW w:type="dxa" w:w="4880"/>
            <w:vAlign w:val="center"/>
            <w:tcMar>
              <w:top w:w="75" w:type="dxa"/>
              <w:bottom w:w="75" w:type="dxa"/>
              <w:left w:w="90" w:type="dxa"/>
              <w:right w:w="90" w:type="dxa"/>
            </w:tcMar>
            <w:shd w:fill="F2F5F8"/>
          </w:tcPr>
          <w:p>
            <w:pPr>
              <w:spacing w:after="20" w:line="245" w:lineRule="auto"/>
            </w:pPr>
            <w:r>
              <w:rPr>
                <w:sz w:val="18"/>
              </w:rPr>
              <w:t>Indicadores agregados</w:t>
            </w:r>
          </w:p>
        </w:tc>
        <w:tc>
          <w:tcPr>
            <w:tcW w:type="dxa" w:w="2948"/>
            <w:vAlign w:val="center"/>
            <w:tcMar>
              <w:top w:w="75" w:type="dxa"/>
              <w:bottom w:w="75" w:type="dxa"/>
              <w:left w:w="90" w:type="dxa"/>
              <w:right w:w="90" w:type="dxa"/>
            </w:tcMar>
            <w:shd w:fill="F2F5F8"/>
          </w:tcPr>
          <w:p>
            <w:pPr>
              <w:spacing w:after="20" w:line="245" w:lineRule="auto"/>
            </w:pPr>
            <w:r>
              <w:rPr>
                <w:sz w:val="18"/>
              </w:rPr>
              <w:t>Detalle identificable sólo si se autoriza por función</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TI</w:t>
            </w:r>
          </w:p>
        </w:tc>
        <w:tc>
          <w:tcPr>
            <w:tcW w:type="dxa" w:w="4880"/>
            <w:vAlign w:val="center"/>
            <w:tcMar>
              <w:top w:w="75" w:type="dxa"/>
              <w:bottom w:w="75" w:type="dxa"/>
              <w:left w:w="90" w:type="dxa"/>
              <w:right w:w="90" w:type="dxa"/>
            </w:tcMar>
            <w:shd w:fill="FFFFFF"/>
          </w:tcPr>
          <w:p>
            <w:pPr>
              <w:spacing w:after="20" w:line="245" w:lineRule="auto"/>
            </w:pPr>
            <w:r>
              <w:rPr>
                <w:sz w:val="18"/>
              </w:rPr>
              <w:t>Operación y configuración</w:t>
            </w:r>
          </w:p>
        </w:tc>
        <w:tc>
          <w:tcPr>
            <w:tcW w:type="dxa" w:w="2948"/>
            <w:vAlign w:val="center"/>
            <w:tcMar>
              <w:top w:w="75" w:type="dxa"/>
              <w:bottom w:w="75" w:type="dxa"/>
              <w:left w:w="90" w:type="dxa"/>
              <w:right w:w="90" w:type="dxa"/>
            </w:tcMar>
            <w:shd w:fill="FFFFFF"/>
          </w:tcPr>
          <w:p>
            <w:pPr>
              <w:spacing w:after="20" w:line="245" w:lineRule="auto"/>
            </w:pPr>
            <w:r>
              <w:rPr>
                <w:sz w:val="18"/>
              </w:rPr>
              <w:t>Sin acceso clínico habitual; acceso excepcional trazado</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Paciente o representante</w:t>
            </w:r>
          </w:p>
        </w:tc>
        <w:tc>
          <w:tcPr>
            <w:tcW w:type="dxa" w:w="4880"/>
            <w:vAlign w:val="center"/>
            <w:tcMar>
              <w:top w:w="75" w:type="dxa"/>
              <w:bottom w:w="75" w:type="dxa"/>
              <w:left w:w="90" w:type="dxa"/>
              <w:right w:w="90" w:type="dxa"/>
            </w:tcMar>
            <w:shd w:fill="F2F5F8"/>
          </w:tcPr>
          <w:p>
            <w:pPr>
              <w:spacing w:after="20" w:line="245" w:lineRule="auto"/>
            </w:pPr>
            <w:r>
              <w:rPr>
                <w:sz w:val="18"/>
              </w:rPr>
              <w:t>Documentos liberados y citas autorizadas</w:t>
            </w:r>
          </w:p>
        </w:tc>
        <w:tc>
          <w:tcPr>
            <w:tcW w:type="dxa" w:w="2948"/>
            <w:vAlign w:val="center"/>
            <w:tcMar>
              <w:top w:w="75" w:type="dxa"/>
              <w:bottom w:w="75" w:type="dxa"/>
              <w:left w:w="90" w:type="dxa"/>
              <w:right w:w="90" w:type="dxa"/>
            </w:tcMar>
            <w:shd w:fill="F2F5F8"/>
          </w:tcPr>
          <w:p>
            <w:pPr>
              <w:spacing w:after="20" w:line="245" w:lineRule="auto"/>
            </w:pPr>
            <w:r>
              <w:rPr>
                <w:sz w:val="18"/>
              </w:rPr>
              <w:t>Límites según identidad, representación y modalidad</w:t>
            </w:r>
          </w:p>
        </w:tc>
      </w:tr>
    </w:tbl>
    <w:p>
      <w:pPr>
        <w:spacing w:after="20"/>
      </w:pPr>
    </w:p>
    <w:p>
      <w:pPr>
        <w:pStyle w:val="Heading3"/>
      </w:pPr>
      <w:r>
        <w:t>Reglas de diseño</w:t>
      </w:r>
    </w:p>
    <w:p>
      <w:r>
        <w:t>Cada tabla operativa tendrá sede y unidad cuando corresponda, identificadores estables y fechas de creación y cambio. Los permisos se aplican en el servidor, incluyendo búsquedas, exportaciones y enlaces de archivos. Ocultar un botón no constituye control de acceso.</w:t>
      </w:r>
    </w:p>
    <w:p>
      <w:r>
        <w:t>Una nota liberada conserva autoría, revisor, fecha, versión y evidencia de autenticación. Las correcciones se agregan con motivo y vínculo al original. La forma de firma y su suficiencia jurídica se definirá con los responsables; una casilla o imagen de firma no equivale por sí sola a una firma válida para todos los efectos.</w:t>
      </w:r>
    </w:p>
    <w:p>
      <w:r>
        <w:t>El proceso de duplicados propondrá coincidencias para revisión humana. No fusionará automáticamente expedientes por nombre o teléfono. Toda fusión permitirá rastrear los identificadores previos y corregir asociaciones equivocadas mediante un procedimiento autorizado.</w:t>
      </w:r>
    </w:p>
    <w:p>
      <w:r>
        <w:br w:type="page"/>
      </w:r>
    </w:p>
    <w:p>
      <w:pPr>
        <w:pStyle w:val="Heading1"/>
      </w:pPr>
      <w:r>
        <w:t>Arquitectura técnica propuesta</w:t>
      </w:r>
    </w:p>
    <w:p>
      <w:r>
        <w:t>La aplicación utilizará Next.js, TypeScript, Django, Django REST Framework y PostgreSQL. El despliegue será con Gunicorn, Nginx, systemd y Certbot. Tailwind CSS facilita los estilos. Las versiones se fijarán según soporte y seguridad al implementar. C27 integra la asistencia con las API de OpenAI y DeepSeek.</w:t>
      </w:r>
    </w:p>
    <w:p>
      <w:pPr>
        <w:pStyle w:val="Heading3"/>
      </w:pPr>
      <w:r>
        <w:t>Componentes y responsabilidades</w:t>
      </w:r>
    </w:p>
    <w:p>
      <w:r>
        <w:t>Next.js presenta portales y gestor del plan. Django aplica permisos, reglas y auditoría; PostgreSQL conserva transacciones y la cola persistente inicial. Los adjuntos serán privados. Gunicorn sirve Django y un proceso Node sirve Next.js, ambos bajo systemd y detrás de Nginx con TLS mediante Certbot. Redis, Celery y S3 quedan opcionales según necesidad validada.</w:t>
      </w:r>
    </w:p>
    <w:p>
      <w:r>
        <w:t>n8n puede coordinar avisos o tareas administrativas mediante endpoints limitados. No decidirá permisos ni será el registro definitivo de citas o pagos. Una falla de n8n no debe perder una cita confirmada o modificar un saldo.</w:t>
      </w:r>
    </w:p>
    <w:p>
      <w:pPr>
        <w:pStyle w:val="Heading3"/>
      </w:pPr>
      <w:r>
        <w:t>Datos y despliegue</w:t>
      </w:r>
    </w:p>
    <w:p>
      <w:r>
        <w:t>Para una sola institución, comenzar con una base PostgreSQL y segregación explícita por sede y unidad. Si se confirman entidades jurídicas que requieren aislamiento independiente, decidir antes de migrar si se separan bases. La expansión a campus no obliga por sí sola a crear una base por cada uno.</w:t>
      </w:r>
    </w:p>
    <w:p>
      <w:r>
        <w:t>Usar un entorno dedicado para salud en el VPS, con procesos y credenciales separados de sitios públicos ajenos al proyecto. Base de datos, Redis y almacenamiento no deben exponerse directamente a internet. Separar desarrollo, pruebas y producción; mantener secretos fuera del repositorio y accesos de administración con autenticación reforzada.</w:t>
      </w:r>
    </w:p>
    <w:p>
      <w:pPr>
        <w:pStyle w:val="Heading3"/>
      </w:pPr>
      <w:r>
        <w:t>Interfaces e integraciones</w:t>
      </w:r>
    </w:p>
    <w:p>
      <w:r>
        <w:t>Documentar la API con OpenAPI. Usar sesiones seguras o autenticación institucional validada; evitar tokens duraderos en almacenamiento accesible a JavaScript. Integrar pagos y mensajería con firmas de webhook, idempotencia, reintentos controlados y conciliación. El PAC y el proveedor de cobro se elegirán tras conocer los contratos existentes.</w:t>
      </w:r>
    </w:p>
    <w:p>
      <w:pPr>
        <w:pStyle w:val="Heading3"/>
      </w:pPr>
      <w:r>
        <w:t>Resiliencia propuesta</w:t>
      </w:r>
    </w:p>
    <w:p>
      <w:r>
        <w:t>Respaldos cifrados fuera del servidor y pruebas de restauración. Objetivos iniciales para aprobación: pérdida máxima de datos de una hora y recuperación en cuatro horas. Verificar que infraestructura y presupuesto permiten cumplirlos antes de asumir un compromiso de servicio. Registrar métricas, alertas y bitácoras sin incluir notas clínicas en logs.</w:t>
      </w:r>
    </w:p>
    <w:p>
      <w:r>
        <w:t>Reservar exportación estructurada y definir los escenarios reales de intercambio. La NOM-024-SSA3-2012 se incorpora desde el diseño: C15 exige resolver conformidad, guías aplicables y firma antes del registro clínico oficial. Una integración FHIR no acredita por sí sola ese cumplimiento.</w:t>
      </w:r>
    </w:p>
    <w:p>
      <w:r>
        <w:br w:type="page"/>
      </w:r>
    </w:p>
    <w:p>
      <w:pPr>
        <w:pStyle w:val="Heading1"/>
      </w:pPr>
      <w:r>
        <w:t>Reglas operativas y automatización</w:t>
      </w:r>
    </w:p>
    <w:p>
      <w:r>
        <w:t>Los estados propuestos se validarán durante el levantamiento. Cada cambio conservará actor, fecha, motivo y objeto afectado. La transición podrá ser rechazada si falta un requisito aprobado.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pPr>
              <w:spacing w:after="20" w:line="245" w:lineRule="auto"/>
            </w:pPr>
            <w:r>
              <w:rPr>
                <w:b/>
                <w:color w:val="FFFFFF"/>
                <w:sz w:val="18"/>
              </w:rPr>
              <w:t>Objeto</w:t>
            </w:r>
          </w:p>
        </w:tc>
        <w:tc>
          <w:tcPr>
            <w:tcW w:type="dxa" w:w="4880"/>
            <w:vAlign w:val="center"/>
            <w:tcMar>
              <w:top w:w="75" w:type="dxa"/>
              <w:bottom w:w="75" w:type="dxa"/>
              <w:left w:w="90" w:type="dxa"/>
              <w:right w:w="90" w:type="dxa"/>
            </w:tcMar>
            <w:shd w:fill="052148"/>
          </w:tcPr>
          <w:p>
            <w:pPr>
              <w:spacing w:after="20" w:line="245" w:lineRule="auto"/>
            </w:pPr>
            <w:r>
              <w:rPr>
                <w:b/>
                <w:color w:val="FFFFFF"/>
                <w:sz w:val="18"/>
              </w:rPr>
              <w:t>Estados propuestos</w:t>
            </w:r>
          </w:p>
        </w:tc>
        <w:tc>
          <w:tcPr>
            <w:tcW w:type="dxa" w:w="2948"/>
            <w:vAlign w:val="center"/>
            <w:tcMar>
              <w:top w:w="75" w:type="dxa"/>
              <w:bottom w:w="75" w:type="dxa"/>
              <w:left w:w="90" w:type="dxa"/>
              <w:right w:w="90" w:type="dxa"/>
            </w:tcMar>
            <w:shd w:fill="052148"/>
          </w:tcPr>
          <w:p>
            <w:pPr>
              <w:spacing w:after="20" w:line="245" w:lineRule="auto"/>
            </w:pPr>
            <w:r>
              <w:rPr>
                <w:b/>
                <w:color w:val="FFFFFF"/>
                <w:sz w:val="18"/>
              </w:rPr>
              <w:t>Regla crítica</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Cita</w:t>
            </w:r>
          </w:p>
        </w:tc>
        <w:tc>
          <w:tcPr>
            <w:tcW w:type="dxa" w:w="4880"/>
            <w:vAlign w:val="center"/>
            <w:tcMar>
              <w:top w:w="75" w:type="dxa"/>
              <w:bottom w:w="75" w:type="dxa"/>
              <w:left w:w="90" w:type="dxa"/>
              <w:right w:w="90" w:type="dxa"/>
            </w:tcMar>
            <w:shd w:fill="FFFFFF"/>
          </w:tcPr>
          <w:p>
            <w:pPr>
              <w:spacing w:after="20" w:line="245" w:lineRule="auto"/>
            </w:pPr>
            <w:r>
              <w:rPr>
                <w:sz w:val="18"/>
              </w:rPr>
              <w:t>Solicitada, confirmada, llegada, en atención, concluida, cancelada o ausente</w:t>
            </w:r>
          </w:p>
        </w:tc>
        <w:tc>
          <w:tcPr>
            <w:tcW w:type="dxa" w:w="2948"/>
            <w:vAlign w:val="center"/>
            <w:tcMar>
              <w:top w:w="75" w:type="dxa"/>
              <w:bottom w:w="75" w:type="dxa"/>
              <w:left w:w="90" w:type="dxa"/>
              <w:right w:w="90" w:type="dxa"/>
            </w:tcMar>
            <w:shd w:fill="FFFFFF"/>
          </w:tcPr>
          <w:p>
            <w:pPr>
              <w:spacing w:after="20" w:line="245" w:lineRule="auto"/>
            </w:pPr>
            <w:r>
              <w:rPr>
                <w:sz w:val="18"/>
              </w:rPr>
              <w:t>Reservar recursos en una transacción y evitar solapamientos</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Nota</w:t>
            </w:r>
          </w:p>
        </w:tc>
        <w:tc>
          <w:tcPr>
            <w:tcW w:type="dxa" w:w="4880"/>
            <w:vAlign w:val="center"/>
            <w:tcMar>
              <w:top w:w="75" w:type="dxa"/>
              <w:bottom w:w="75" w:type="dxa"/>
              <w:left w:w="90" w:type="dxa"/>
              <w:right w:w="90" w:type="dxa"/>
            </w:tcMar>
            <w:shd w:fill="F2F5F8"/>
          </w:tcPr>
          <w:p>
            <w:pPr>
              <w:spacing w:after="20" w:line="245" w:lineRule="auto"/>
            </w:pPr>
            <w:r>
              <w:rPr>
                <w:sz w:val="18"/>
              </w:rPr>
              <w:t>Borrador, enviada a revisión, devuelta, liberada, corregida por adenda</w:t>
            </w:r>
          </w:p>
        </w:tc>
        <w:tc>
          <w:tcPr>
            <w:tcW w:type="dxa" w:w="2948"/>
            <w:vAlign w:val="center"/>
            <w:tcMar>
              <w:top w:w="75" w:type="dxa"/>
              <w:bottom w:w="75" w:type="dxa"/>
              <w:left w:w="90" w:type="dxa"/>
              <w:right w:w="90" w:type="dxa"/>
            </w:tcMar>
            <w:shd w:fill="F2F5F8"/>
          </w:tcPr>
          <w:p>
            <w:pPr>
              <w:spacing w:after="20" w:line="245" w:lineRule="auto"/>
            </w:pPr>
            <w:r>
              <w:rPr>
                <w:sz w:val="18"/>
              </w:rPr>
              <w:t>No sobrescribir una versión liberada</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Plan</w:t>
            </w:r>
          </w:p>
        </w:tc>
        <w:tc>
          <w:tcPr>
            <w:tcW w:type="dxa" w:w="4880"/>
            <w:vAlign w:val="center"/>
            <w:tcMar>
              <w:top w:w="75" w:type="dxa"/>
              <w:bottom w:w="75" w:type="dxa"/>
              <w:left w:w="90" w:type="dxa"/>
              <w:right w:w="90" w:type="dxa"/>
            </w:tcMar>
            <w:shd w:fill="FFFFFF"/>
          </w:tcPr>
          <w:p>
            <w:pPr>
              <w:spacing w:after="20" w:line="245" w:lineRule="auto"/>
            </w:pPr>
            <w:r>
              <w:rPr>
                <w:sz w:val="18"/>
              </w:rPr>
              <w:t>Propuesto, aceptado, en curso, suspendido, terminado o cerrado</w:t>
            </w:r>
          </w:p>
        </w:tc>
        <w:tc>
          <w:tcPr>
            <w:tcW w:type="dxa" w:w="2948"/>
            <w:vAlign w:val="center"/>
            <w:tcMar>
              <w:top w:w="75" w:type="dxa"/>
              <w:bottom w:w="75" w:type="dxa"/>
              <w:left w:w="90" w:type="dxa"/>
              <w:right w:w="90" w:type="dxa"/>
            </w:tcMar>
            <w:shd w:fill="FFFFFF"/>
          </w:tcPr>
          <w:p>
            <w:pPr>
              <w:spacing w:after="20" w:line="245" w:lineRule="auto"/>
            </w:pPr>
            <w:r>
              <w:rPr>
                <w:sz w:val="18"/>
              </w:rPr>
              <w:t>Mantener la versión de objetivos y presupuesto</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Referencia</w:t>
            </w:r>
          </w:p>
        </w:tc>
        <w:tc>
          <w:tcPr>
            <w:tcW w:type="dxa" w:w="4880"/>
            <w:vAlign w:val="center"/>
            <w:tcMar>
              <w:top w:w="75" w:type="dxa"/>
              <w:bottom w:w="75" w:type="dxa"/>
              <w:left w:w="90" w:type="dxa"/>
              <w:right w:w="90" w:type="dxa"/>
            </w:tcMar>
            <w:shd w:fill="F2F5F8"/>
          </w:tcPr>
          <w:p>
            <w:pPr>
              <w:spacing w:after="20" w:line="245" w:lineRule="auto"/>
            </w:pPr>
            <w:r>
              <w:rPr>
                <w:sz w:val="18"/>
              </w:rPr>
              <w:t>Emitida, aceptada, programada, atendida, respondida o cerrada</w:t>
            </w:r>
          </w:p>
        </w:tc>
        <w:tc>
          <w:tcPr>
            <w:tcW w:type="dxa" w:w="2948"/>
            <w:vAlign w:val="center"/>
            <w:tcMar>
              <w:top w:w="75" w:type="dxa"/>
              <w:bottom w:w="75" w:type="dxa"/>
              <w:left w:w="90" w:type="dxa"/>
              <w:right w:w="90" w:type="dxa"/>
            </w:tcMar>
            <w:shd w:fill="F2F5F8"/>
          </w:tcPr>
          <w:p>
            <w:pPr>
              <w:spacing w:after="20" w:line="245" w:lineRule="auto"/>
            </w:pPr>
            <w:r>
              <w:rPr>
                <w:sz w:val="18"/>
              </w:rPr>
              <w:t>Enviar sólo el resumen autorizado</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Pago</w:t>
            </w:r>
          </w:p>
        </w:tc>
        <w:tc>
          <w:tcPr>
            <w:tcW w:type="dxa" w:w="4880"/>
            <w:vAlign w:val="center"/>
            <w:tcMar>
              <w:top w:w="75" w:type="dxa"/>
              <w:bottom w:w="75" w:type="dxa"/>
              <w:left w:w="90" w:type="dxa"/>
              <w:right w:w="90" w:type="dxa"/>
            </w:tcMar>
            <w:shd w:fill="FFFFFF"/>
          </w:tcPr>
          <w:p>
            <w:pPr>
              <w:spacing w:after="20" w:line="245" w:lineRule="auto"/>
            </w:pPr>
            <w:r>
              <w:rPr>
                <w:sz w:val="18"/>
              </w:rPr>
              <w:t>Pendiente, confirmado, rechazado, conciliado o reembolsado</w:t>
            </w:r>
          </w:p>
        </w:tc>
        <w:tc>
          <w:tcPr>
            <w:tcW w:type="dxa" w:w="2948"/>
            <w:vAlign w:val="center"/>
            <w:tcMar>
              <w:top w:w="75" w:type="dxa"/>
              <w:bottom w:w="75" w:type="dxa"/>
              <w:left w:w="90" w:type="dxa"/>
              <w:right w:w="90" w:type="dxa"/>
            </w:tcMar>
            <w:shd w:fill="FFFFFF"/>
          </w:tcPr>
          <w:p>
            <w:pPr>
              <w:spacing w:after="20" w:line="245" w:lineRule="auto"/>
            </w:pPr>
            <w:r>
              <w:rPr>
                <w:sz w:val="18"/>
              </w:rPr>
              <w:t>Un webhook repetido no crea un segundo pago</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Recurso</w:t>
            </w:r>
          </w:p>
        </w:tc>
        <w:tc>
          <w:tcPr>
            <w:tcW w:type="dxa" w:w="4880"/>
            <w:vAlign w:val="center"/>
            <w:tcMar>
              <w:top w:w="75" w:type="dxa"/>
              <w:bottom w:w="75" w:type="dxa"/>
              <w:left w:w="90" w:type="dxa"/>
              <w:right w:w="90" w:type="dxa"/>
            </w:tcMar>
            <w:shd w:fill="F2F5F8"/>
          </w:tcPr>
          <w:p>
            <w:pPr>
              <w:spacing w:after="20" w:line="245" w:lineRule="auto"/>
            </w:pPr>
            <w:r>
              <w:rPr>
                <w:sz w:val="18"/>
              </w:rPr>
              <w:t>Disponible, reservado, fuera de servicio o en mantenimiento</w:t>
            </w:r>
          </w:p>
        </w:tc>
        <w:tc>
          <w:tcPr>
            <w:tcW w:type="dxa" w:w="2948"/>
            <w:vAlign w:val="center"/>
            <w:tcMar>
              <w:top w:w="75" w:type="dxa"/>
              <w:bottom w:w="75" w:type="dxa"/>
              <w:left w:w="90" w:type="dxa"/>
              <w:right w:w="90" w:type="dxa"/>
            </w:tcMar>
            <w:shd w:fill="F2F5F8"/>
          </w:tcPr>
          <w:p>
            <w:pPr>
              <w:spacing w:after="20" w:line="245" w:lineRule="auto"/>
            </w:pPr>
            <w:r>
              <w:rPr>
                <w:sz w:val="18"/>
              </w:rPr>
              <w:t>No permitir uso durante un bloqueo</w:t>
            </w:r>
          </w:p>
        </w:tc>
      </w:tr>
    </w:tbl>
    <w:p>
      <w:pPr>
        <w:spacing w:after="20"/>
      </w:pPr>
    </w:p>
    <w:p>
      <w:pPr>
        <w:pStyle w:val="Heading3"/>
      </w:pPr>
      <w:r>
        <w:t>Automatizaciones incluidas</w:t>
      </w:r>
    </w:p>
    <w:p>
      <w:pPr>
        <w:ind w:left="173" w:hanging="173"/>
      </w:pPr>
      <w:r>
        <w:t>• Confirmaciones y recordatorios con permiso de contacto, contenido mínimo, zona horaria de la sede y enlace protegido.</w:t>
      </w:r>
    </w:p>
    <w:p>
      <w:pPr>
        <w:ind w:left="173" w:hanging="173"/>
      </w:pPr>
      <w:r>
        <w:t>• Lista de espera con ofertas temporales que no generen dos confirmaciones para el mismo espacio.</w:t>
      </w:r>
    </w:p>
    <w:p>
      <w:pPr>
        <w:ind w:left="173" w:hanging="173"/>
      </w:pPr>
      <w:r>
        <w:t>• Avisos de notas pendientes de revisión y caducidad de rotaciones a supervisores.</w:t>
      </w:r>
    </w:p>
    <w:p>
      <w:pPr>
        <w:ind w:left="173" w:hanging="173"/>
      </w:pPr>
      <w:r>
        <w:t>• Alertas de mantenimiento, materiales por caducar y existencias mínimas a sus responsables.</w:t>
      </w:r>
    </w:p>
    <w:p>
      <w:pPr>
        <w:ind w:left="173" w:hanging="173"/>
      </w:pPr>
      <w:r>
        <w:t>• Seguimiento de referencias y convenios sin respuesta o próximos a vencer.</w:t>
      </w:r>
    </w:p>
    <w:p>
      <w:pPr>
        <w:ind w:left="173" w:hanging="173"/>
      </w:pPr>
      <w:r>
        <w:t>• Tableros calculados desde registros transaccionales, sin pedir otra captura manual.</w:t>
      </w:r>
    </w:p>
    <w:p>
      <w:pPr>
        <w:pStyle w:val="Heading3"/>
      </w:pPr>
      <w:r>
        <w:t>Controles de integración</w:t>
      </w:r>
    </w:p>
    <w:p>
      <w:r>
        <w:t>La transacción de negocio guardará un evento de salida pendiente; una tarea lo entregará después. Cada evento tendrá identificador único y registro de intentos. Una notificación fallida no revierte una atención; se registra para reintento o contacto manual.</w:t>
      </w:r>
    </w:p>
    <w:p>
      <w:r>
        <w:t>La IA se incorpora desde el levantamiento para explicar preguntas, extraer información autorizada y proponer borradores con fuentes. OpenAI y DeepSeek operan mediante controles del servidor y revisión humana. No se enviarán expedientes identificables por defecto ni se aprobarán decisiones clínicas o normativas automáticamente. C27 define alcance y aceptación.</w:t>
      </w:r>
    </w:p>
    <w:p>
      <w:r>
        <w:t>Cuando el servicio esté fuera de línea, cada unidad utilizará un formato de contingencia aprobado. La recaptura marcará fecha real de atención, fecha de ingreso al sistema y responsable; se revisarán duplicados antes de incorporar el registro.</w:t>
      </w:r>
    </w:p>
    <w:p>
      <w:r>
        <w:br w:type="page"/>
      </w:r>
    </w:p>
    <w:p>
      <w:pPr>
        <w:pStyle w:val="Heading1"/>
      </w:pPr>
      <w:r>
        <w:t>Cronograma de desarrollo y entregas</w:t>
      </w:r>
    </w:p>
    <w:p>
      <w:r>
        <w:t>Calendario objetivo del 1 de octubre al 15 de diciembre de 2026, incluida toda preparación. Se proponen 32 horas semanales de Gonzalo durante diez semanas, más 16 de arranque y 18 de cierre. Las unidades documentan y validan simultáneamente; el código se organiza en bloques objetivo de 2 a 4 horas con Codex. C24 detalla la capacidad.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3"/>
        <w:gridCol w:w="1220"/>
        <w:gridCol w:w="4168"/>
        <w:gridCol w:w="3355"/>
      </w:tblGrid>
      <w:tr>
        <w:trPr>
          <w:cantSplit/>
          <w:tblHeader/>
        </w:trPr>
        <w:tc>
          <w:tcPr>
            <w:tcW w:type="dxa" w:w="1423"/>
            <w:vAlign w:val="center"/>
            <w:tcMar>
              <w:top w:w="75" w:type="dxa"/>
              <w:bottom w:w="75" w:type="dxa"/>
              <w:left w:w="90" w:type="dxa"/>
              <w:right w:w="90" w:type="dxa"/>
            </w:tcMar>
            <w:shd w:fill="052148"/>
          </w:tcPr>
          <w:p>
            <w:r>
              <w:rPr>
                <w:b/>
                <w:color w:val="FFFFFF"/>
                <w:sz w:val="18"/>
              </w:rPr>
              <w:t>Fechas de 2026</w:t>
            </w:r>
          </w:p>
        </w:tc>
        <w:tc>
          <w:tcPr>
            <w:tcW w:type="dxa" w:w="1220"/>
            <w:vAlign w:val="center"/>
            <w:tcMar>
              <w:top w:w="75" w:type="dxa"/>
              <w:bottom w:w="75" w:type="dxa"/>
              <w:left w:w="90" w:type="dxa"/>
              <w:right w:w="90" w:type="dxa"/>
            </w:tcMar>
            <w:shd w:fill="052148"/>
          </w:tcPr>
          <w:p>
            <w:r>
              <w:rPr>
                <w:b/>
                <w:color w:val="FFFFFF"/>
                <w:sz w:val="18"/>
              </w:rPr>
              <w:t>Frente</w:t>
            </w:r>
          </w:p>
        </w:tc>
        <w:tc>
          <w:tcPr>
            <w:tcW w:type="dxa" w:w="4168"/>
            <w:vAlign w:val="center"/>
            <w:tcMar>
              <w:top w:w="75" w:type="dxa"/>
              <w:bottom w:w="75" w:type="dxa"/>
              <w:left w:w="90" w:type="dxa"/>
              <w:right w:w="90" w:type="dxa"/>
            </w:tcMar>
            <w:shd w:fill="052148"/>
          </w:tcPr>
          <w:p>
            <w:r>
              <w:rPr>
                <w:b/>
                <w:color w:val="FFFFFF"/>
                <w:sz w:val="18"/>
              </w:rPr>
              <w:t>Trabajo</w:t>
            </w:r>
          </w:p>
        </w:tc>
        <w:tc>
          <w:tcPr>
            <w:tcW w:type="dxa" w:w="3355"/>
            <w:vAlign w:val="center"/>
            <w:tcMar>
              <w:top w:w="75" w:type="dxa"/>
              <w:bottom w:w="75" w:type="dxa"/>
              <w:left w:w="90" w:type="dxa"/>
              <w:right w:w="90" w:type="dxa"/>
            </w:tcMar>
            <w:shd w:fill="052148"/>
          </w:tcPr>
          <w:p>
            <w:r>
              <w:rPr>
                <w:b/>
                <w:color w:val="FFFFFF"/>
                <w:sz w:val="18"/>
              </w:rPr>
              <w:t>Criterio de salida</w:t>
            </w:r>
          </w:p>
        </w:tc>
      </w:tr>
      <w:tr>
        <w:trPr>
          <w:cantSplit/>
        </w:trPr>
        <w:tc>
          <w:tcPr>
            <w:tcW w:type="dxa" w:w="1423"/>
            <w:vAlign w:val="center"/>
            <w:tcMar>
              <w:top w:w="75" w:type="dxa"/>
              <w:bottom w:w="75" w:type="dxa"/>
              <w:left w:w="90" w:type="dxa"/>
              <w:right w:w="90" w:type="dxa"/>
            </w:tcMar>
            <w:shd w:fill="FFFFFF"/>
          </w:tcPr>
          <w:p>
            <w:r>
              <w:rPr>
                <w:sz w:val="18"/>
              </w:rPr>
              <w:t>1 a 7 oct</w:t>
            </w:r>
          </w:p>
        </w:tc>
        <w:tc>
          <w:tcPr>
            <w:tcW w:type="dxa" w:w="1220"/>
            <w:vAlign w:val="center"/>
            <w:tcMar>
              <w:top w:w="75" w:type="dxa"/>
              <w:bottom w:w="75" w:type="dxa"/>
              <w:left w:w="90" w:type="dxa"/>
              <w:right w:w="90" w:type="dxa"/>
            </w:tcMar>
            <w:shd w:fill="FFFFFF"/>
          </w:tcPr>
          <w:p>
            <w:r>
              <w:rPr>
                <w:sz w:val="18"/>
              </w:rPr>
              <w:t>Arranque</w:t>
            </w:r>
          </w:p>
        </w:tc>
        <w:tc>
          <w:tcPr>
            <w:tcW w:type="dxa" w:w="4168"/>
            <w:vAlign w:val="center"/>
            <w:tcMar>
              <w:top w:w="75" w:type="dxa"/>
              <w:bottom w:w="75" w:type="dxa"/>
              <w:left w:w="90" w:type="dxa"/>
              <w:right w:w="90" w:type="dxa"/>
            </w:tcMar>
            <w:shd w:fill="FFFFFF"/>
          </w:tcPr>
          <w:p>
            <w:r>
              <w:rPr>
                <w:sz w:val="18"/>
              </w:rPr>
              <w:t>Preparación paralela y gestor mínimo al 5 de octubre</w:t>
            </w:r>
          </w:p>
        </w:tc>
        <w:tc>
          <w:tcPr>
            <w:tcW w:type="dxa" w:w="3355"/>
            <w:vAlign w:val="center"/>
            <w:tcMar>
              <w:top w:w="75" w:type="dxa"/>
              <w:bottom w:w="75" w:type="dxa"/>
              <w:left w:w="90" w:type="dxa"/>
              <w:right w:w="90" w:type="dxa"/>
            </w:tcMar>
            <w:shd w:fill="FFFFFF"/>
          </w:tcPr>
          <w:p>
            <w:r>
              <w:rPr>
                <w:sz w:val="18"/>
              </w:rPr>
              <w:t>Dueños, formatos y dependencias identificados</w:t>
            </w:r>
          </w:p>
        </w:tc>
      </w:tr>
      <w:tr>
        <w:trPr>
          <w:cantSplit/>
        </w:trPr>
        <w:tc>
          <w:tcPr>
            <w:tcW w:type="dxa" w:w="1423"/>
            <w:vAlign w:val="center"/>
            <w:tcMar>
              <w:top w:w="75" w:type="dxa"/>
              <w:bottom w:w="75" w:type="dxa"/>
              <w:left w:w="90" w:type="dxa"/>
              <w:right w:w="90" w:type="dxa"/>
            </w:tcMar>
            <w:shd w:fill="F2F5F8"/>
          </w:tcPr>
          <w:p>
            <w:r>
              <w:rPr>
                <w:sz w:val="18"/>
              </w:rPr>
              <w:t>1 a 9 oct</w:t>
            </w:r>
          </w:p>
        </w:tc>
        <w:tc>
          <w:tcPr>
            <w:tcW w:type="dxa" w:w="1220"/>
            <w:vAlign w:val="center"/>
            <w:tcMar>
              <w:top w:w="75" w:type="dxa"/>
              <w:bottom w:w="75" w:type="dxa"/>
              <w:left w:w="90" w:type="dxa"/>
              <w:right w:w="90" w:type="dxa"/>
            </w:tcMar>
            <w:shd w:fill="F2F5F8"/>
          </w:tcPr>
          <w:p>
            <w:r>
              <w:rPr>
                <w:sz w:val="18"/>
              </w:rPr>
              <w:t>Núcleo</w:t>
            </w:r>
          </w:p>
        </w:tc>
        <w:tc>
          <w:tcPr>
            <w:tcW w:type="dxa" w:w="4168"/>
            <w:vAlign w:val="center"/>
            <w:tcMar>
              <w:top w:w="75" w:type="dxa"/>
              <w:bottom w:w="75" w:type="dxa"/>
              <w:left w:w="90" w:type="dxa"/>
              <w:right w:w="90" w:type="dxa"/>
            </w:tcMar>
            <w:shd w:fill="F2F5F8"/>
          </w:tcPr>
          <w:p>
            <w:r>
              <w:rPr>
                <w:sz w:val="18"/>
              </w:rPr>
              <w:t>Identidad, agenda, roles y archivos</w:t>
            </w:r>
          </w:p>
        </w:tc>
        <w:tc>
          <w:tcPr>
            <w:tcW w:type="dxa" w:w="3355"/>
            <w:vAlign w:val="center"/>
            <w:tcMar>
              <w:top w:w="75" w:type="dxa"/>
              <w:bottom w:w="75" w:type="dxa"/>
              <w:left w:w="90" w:type="dxa"/>
              <w:right w:w="90" w:type="dxa"/>
            </w:tcMar>
            <w:shd w:fill="F2F5F8"/>
          </w:tcPr>
          <w:p>
            <w:r>
              <w:rPr>
                <w:sz w:val="18"/>
              </w:rPr>
              <w:t>Recorridos comunes y permisos comprobados</w:t>
            </w:r>
          </w:p>
        </w:tc>
      </w:tr>
      <w:tr>
        <w:trPr>
          <w:cantSplit/>
        </w:trPr>
        <w:tc>
          <w:tcPr>
            <w:tcW w:type="dxa" w:w="1423"/>
            <w:vAlign w:val="center"/>
            <w:tcMar>
              <w:top w:w="75" w:type="dxa"/>
              <w:bottom w:w="75" w:type="dxa"/>
              <w:left w:w="90" w:type="dxa"/>
              <w:right w:w="90" w:type="dxa"/>
            </w:tcMar>
            <w:shd w:fill="FFFFFF"/>
          </w:tcPr>
          <w:p>
            <w:r>
              <w:rPr>
                <w:sz w:val="18"/>
              </w:rPr>
              <w:t>5 a 16 oct</w:t>
            </w:r>
          </w:p>
        </w:tc>
        <w:tc>
          <w:tcPr>
            <w:tcW w:type="dxa" w:w="1220"/>
            <w:vAlign w:val="center"/>
            <w:tcMar>
              <w:top w:w="75" w:type="dxa"/>
              <w:bottom w:w="75" w:type="dxa"/>
              <w:left w:w="90" w:type="dxa"/>
              <w:right w:w="90" w:type="dxa"/>
            </w:tcMar>
            <w:shd w:fill="FFFFFF"/>
          </w:tcPr>
          <w:p>
            <w:r>
              <w:rPr>
                <w:sz w:val="18"/>
              </w:rPr>
              <w:t>Procesos</w:t>
            </w:r>
          </w:p>
        </w:tc>
        <w:tc>
          <w:tcPr>
            <w:tcW w:type="dxa" w:w="4168"/>
            <w:vAlign w:val="center"/>
            <w:tcMar>
              <w:top w:w="75" w:type="dxa"/>
              <w:bottom w:w="75" w:type="dxa"/>
              <w:left w:w="90" w:type="dxa"/>
              <w:right w:w="90" w:type="dxa"/>
            </w:tcMar>
            <w:shd w:fill="FFFFFF"/>
          </w:tcPr>
          <w:p>
            <w:r>
              <w:rPr>
                <w:sz w:val="18"/>
              </w:rPr>
              <w:t>Reglas, NOM y prototipos por unidad</w:t>
            </w:r>
          </w:p>
        </w:tc>
        <w:tc>
          <w:tcPr>
            <w:tcW w:type="dxa" w:w="3355"/>
            <w:vAlign w:val="center"/>
            <w:tcMar>
              <w:top w:w="75" w:type="dxa"/>
              <w:bottom w:w="75" w:type="dxa"/>
              <w:left w:w="90" w:type="dxa"/>
              <w:right w:w="90" w:type="dxa"/>
            </w:tcMar>
            <w:shd w:fill="FFFFFF"/>
          </w:tcPr>
          <w:p>
            <w:r>
              <w:rPr>
                <w:sz w:val="18"/>
              </w:rPr>
              <w:t>Matriz inicial y requisitos aprobados</w:t>
            </w:r>
          </w:p>
        </w:tc>
      </w:tr>
      <w:tr>
        <w:trPr>
          <w:cantSplit/>
        </w:trPr>
        <w:tc>
          <w:tcPr>
            <w:tcW w:type="dxa" w:w="1423"/>
            <w:vAlign w:val="center"/>
            <w:tcMar>
              <w:top w:w="75" w:type="dxa"/>
              <w:bottom w:w="75" w:type="dxa"/>
              <w:left w:w="90" w:type="dxa"/>
              <w:right w:w="90" w:type="dxa"/>
            </w:tcMar>
            <w:shd w:fill="F2F5F8"/>
          </w:tcPr>
          <w:p>
            <w:r>
              <w:rPr>
                <w:sz w:val="18"/>
              </w:rPr>
              <w:t>12 oct a 6 nov</w:t>
            </w:r>
          </w:p>
        </w:tc>
        <w:tc>
          <w:tcPr>
            <w:tcW w:type="dxa" w:w="1220"/>
            <w:vAlign w:val="center"/>
            <w:tcMar>
              <w:top w:w="75" w:type="dxa"/>
              <w:bottom w:w="75" w:type="dxa"/>
              <w:left w:w="90" w:type="dxa"/>
              <w:right w:w="90" w:type="dxa"/>
            </w:tcMar>
            <w:shd w:fill="F2F5F8"/>
          </w:tcPr>
          <w:p>
            <w:r>
              <w:rPr>
                <w:sz w:val="18"/>
              </w:rPr>
              <w:t>Servicios</w:t>
            </w:r>
          </w:p>
        </w:tc>
        <w:tc>
          <w:tcPr>
            <w:tcW w:type="dxa" w:w="4168"/>
            <w:vAlign w:val="center"/>
            <w:tcMar>
              <w:top w:w="75" w:type="dxa"/>
              <w:bottom w:w="75" w:type="dxa"/>
              <w:left w:w="90" w:type="dxa"/>
              <w:right w:w="90" w:type="dxa"/>
            </w:tcMar>
            <w:shd w:fill="F2F5F8"/>
          </w:tcPr>
          <w:p>
            <w:r>
              <w:rPr>
                <w:sz w:val="18"/>
              </w:rPr>
              <w:t>Módulos especializados en bloques con Codex</w:t>
            </w:r>
          </w:p>
        </w:tc>
        <w:tc>
          <w:tcPr>
            <w:tcW w:type="dxa" w:w="3355"/>
            <w:vAlign w:val="center"/>
            <w:tcMar>
              <w:top w:w="75" w:type="dxa"/>
              <w:bottom w:w="75" w:type="dxa"/>
              <w:left w:w="90" w:type="dxa"/>
              <w:right w:w="90" w:type="dxa"/>
            </w:tcMar>
            <w:shd w:fill="F2F5F8"/>
          </w:tcPr>
          <w:p>
            <w:r>
              <w:rPr>
                <w:sz w:val="18"/>
              </w:rPr>
              <w:t>Funciones revisadas por cada unidad</w:t>
            </w:r>
          </w:p>
        </w:tc>
      </w:tr>
      <w:tr>
        <w:trPr>
          <w:cantSplit/>
        </w:trPr>
        <w:tc>
          <w:tcPr>
            <w:tcW w:type="dxa" w:w="1423"/>
            <w:vAlign w:val="center"/>
            <w:tcMar>
              <w:top w:w="75" w:type="dxa"/>
              <w:bottom w:w="75" w:type="dxa"/>
              <w:left w:w="90" w:type="dxa"/>
              <w:right w:w="90" w:type="dxa"/>
            </w:tcMar>
            <w:shd w:fill="FFFFFF"/>
          </w:tcPr>
          <w:p>
            <w:r>
              <w:rPr>
                <w:sz w:val="18"/>
              </w:rPr>
              <w:t>19 oct a 13 nov</w:t>
            </w:r>
          </w:p>
        </w:tc>
        <w:tc>
          <w:tcPr>
            <w:tcW w:type="dxa" w:w="1220"/>
            <w:vAlign w:val="center"/>
            <w:tcMar>
              <w:top w:w="75" w:type="dxa"/>
              <w:bottom w:w="75" w:type="dxa"/>
              <w:left w:w="90" w:type="dxa"/>
              <w:right w:w="90" w:type="dxa"/>
            </w:tcMar>
            <w:shd w:fill="FFFFFF"/>
          </w:tcPr>
          <w:p>
            <w:r>
              <w:rPr>
                <w:sz w:val="18"/>
              </w:rPr>
              <w:t>Integración</w:t>
            </w:r>
          </w:p>
        </w:tc>
        <w:tc>
          <w:tcPr>
            <w:tcW w:type="dxa" w:w="4168"/>
            <w:vAlign w:val="center"/>
            <w:tcMar>
              <w:top w:w="75" w:type="dxa"/>
              <w:bottom w:w="75" w:type="dxa"/>
              <w:left w:w="90" w:type="dxa"/>
              <w:right w:w="90" w:type="dxa"/>
            </w:tcMar>
            <w:shd w:fill="FFFFFF"/>
          </w:tcPr>
          <w:p>
            <w:r>
              <w:rPr>
                <w:sz w:val="18"/>
              </w:rPr>
              <w:t>Caja, docencia, recursos y automatizaciones</w:t>
            </w:r>
          </w:p>
        </w:tc>
        <w:tc>
          <w:tcPr>
            <w:tcW w:type="dxa" w:w="3355"/>
            <w:vAlign w:val="center"/>
            <w:tcMar>
              <w:top w:w="75" w:type="dxa"/>
              <w:bottom w:w="75" w:type="dxa"/>
              <w:left w:w="90" w:type="dxa"/>
              <w:right w:w="90" w:type="dxa"/>
            </w:tcMar>
            <w:shd w:fill="FFFFFF"/>
          </w:tcPr>
          <w:p>
            <w:r>
              <w:rPr>
                <w:sz w:val="18"/>
              </w:rPr>
              <w:t>Circuitos integrados sin duplicidades</w:t>
            </w:r>
          </w:p>
        </w:tc>
      </w:tr>
      <w:tr>
        <w:trPr>
          <w:cantSplit/>
        </w:trPr>
        <w:tc>
          <w:tcPr>
            <w:tcW w:type="dxa" w:w="1423"/>
            <w:vAlign w:val="center"/>
            <w:tcMar>
              <w:top w:w="75" w:type="dxa"/>
              <w:bottom w:w="75" w:type="dxa"/>
              <w:left w:w="90" w:type="dxa"/>
              <w:right w:w="90" w:type="dxa"/>
            </w:tcMar>
            <w:shd w:fill="F2F5F8"/>
          </w:tcPr>
          <w:p>
            <w:r>
              <w:rPr>
                <w:sz w:val="18"/>
              </w:rPr>
              <w:t>26 oct a 20 nov</w:t>
            </w:r>
          </w:p>
        </w:tc>
        <w:tc>
          <w:tcPr>
            <w:tcW w:type="dxa" w:w="1220"/>
            <w:vAlign w:val="center"/>
            <w:tcMar>
              <w:top w:w="75" w:type="dxa"/>
              <w:bottom w:w="75" w:type="dxa"/>
              <w:left w:w="90" w:type="dxa"/>
              <w:right w:w="90" w:type="dxa"/>
            </w:tcMar>
            <w:shd w:fill="F2F5F8"/>
          </w:tcPr>
          <w:p>
            <w:r>
              <w:rPr>
                <w:sz w:val="18"/>
              </w:rPr>
              <w:t>Pilotos</w:t>
            </w:r>
          </w:p>
        </w:tc>
        <w:tc>
          <w:tcPr>
            <w:tcW w:type="dxa" w:w="4168"/>
            <w:vAlign w:val="center"/>
            <w:tcMar>
              <w:top w:w="75" w:type="dxa"/>
              <w:bottom w:w="75" w:type="dxa"/>
              <w:left w:w="90" w:type="dxa"/>
              <w:right w:w="90" w:type="dxa"/>
            </w:tcMar>
            <w:shd w:fill="F2F5F8"/>
          </w:tcPr>
          <w:p>
            <w:r>
              <w:rPr>
                <w:sz w:val="18"/>
              </w:rPr>
              <w:t>Pruebas simultáneas por servicio</w:t>
            </w:r>
          </w:p>
        </w:tc>
        <w:tc>
          <w:tcPr>
            <w:tcW w:type="dxa" w:w="3355"/>
            <w:vAlign w:val="center"/>
            <w:tcMar>
              <w:top w:w="75" w:type="dxa"/>
              <w:bottom w:w="75" w:type="dxa"/>
              <w:left w:w="90" w:type="dxa"/>
              <w:right w:w="90" w:type="dxa"/>
            </w:tcMar>
            <w:shd w:fill="F2F5F8"/>
          </w:tcPr>
          <w:p>
            <w:r>
              <w:rPr>
                <w:sz w:val="18"/>
              </w:rPr>
              <w:t>Alcance completo integrado y probado</w:t>
            </w:r>
          </w:p>
        </w:tc>
      </w:tr>
      <w:tr>
        <w:trPr>
          <w:cantSplit/>
        </w:trPr>
        <w:tc>
          <w:tcPr>
            <w:tcW w:type="dxa" w:w="1423"/>
            <w:vAlign w:val="center"/>
            <w:tcMar>
              <w:top w:w="75" w:type="dxa"/>
              <w:bottom w:w="75" w:type="dxa"/>
              <w:left w:w="90" w:type="dxa"/>
              <w:right w:w="90" w:type="dxa"/>
            </w:tcMar>
            <w:shd w:fill="FFFFFF"/>
          </w:tcPr>
          <w:p>
            <w:r>
              <w:rPr>
                <w:sz w:val="18"/>
              </w:rPr>
              <w:t>23 a 27 nov</w:t>
            </w:r>
          </w:p>
        </w:tc>
        <w:tc>
          <w:tcPr>
            <w:tcW w:type="dxa" w:w="1220"/>
            <w:vAlign w:val="center"/>
            <w:tcMar>
              <w:top w:w="75" w:type="dxa"/>
              <w:bottom w:w="75" w:type="dxa"/>
              <w:left w:w="90" w:type="dxa"/>
              <w:right w:w="90" w:type="dxa"/>
            </w:tcMar>
            <w:shd w:fill="FFFFFF"/>
          </w:tcPr>
          <w:p>
            <w:r>
              <w:rPr>
                <w:sz w:val="18"/>
              </w:rPr>
              <w:t>Aceptación</w:t>
            </w:r>
          </w:p>
        </w:tc>
        <w:tc>
          <w:tcPr>
            <w:tcW w:type="dxa" w:w="4168"/>
            <w:vAlign w:val="center"/>
            <w:tcMar>
              <w:top w:w="75" w:type="dxa"/>
              <w:bottom w:w="75" w:type="dxa"/>
              <w:left w:w="90" w:type="dxa"/>
              <w:right w:w="90" w:type="dxa"/>
            </w:tcMar>
            <w:shd w:fill="FFFFFF"/>
          </w:tcPr>
          <w:p>
            <w:r>
              <w:rPr>
                <w:sz w:val="18"/>
              </w:rPr>
              <w:t>Correcciones y congelación funcional</w:t>
            </w:r>
          </w:p>
        </w:tc>
        <w:tc>
          <w:tcPr>
            <w:tcW w:type="dxa" w:w="3355"/>
            <w:vAlign w:val="center"/>
            <w:tcMar>
              <w:top w:w="75" w:type="dxa"/>
              <w:bottom w:w="75" w:type="dxa"/>
              <w:left w:w="90" w:type="dxa"/>
              <w:right w:w="90" w:type="dxa"/>
            </w:tcMar>
            <w:shd w:fill="FFFFFF"/>
          </w:tcPr>
          <w:p>
            <w:r>
              <w:rPr>
                <w:sz w:val="18"/>
              </w:rPr>
              <w:t>Cero defectos críticos y actas por unidad</w:t>
            </w:r>
          </w:p>
        </w:tc>
      </w:tr>
      <w:tr>
        <w:trPr>
          <w:cantSplit/>
        </w:trPr>
        <w:tc>
          <w:tcPr>
            <w:tcW w:type="dxa" w:w="1423"/>
            <w:vAlign w:val="center"/>
            <w:tcMar>
              <w:top w:w="75" w:type="dxa"/>
              <w:bottom w:w="75" w:type="dxa"/>
              <w:left w:w="90" w:type="dxa"/>
              <w:right w:w="90" w:type="dxa"/>
            </w:tcMar>
            <w:shd w:fill="F2F5F8"/>
          </w:tcPr>
          <w:p>
            <w:r>
              <w:rPr>
                <w:sz w:val="18"/>
              </w:rPr>
              <w:t>30 nov a 4 dic</w:t>
            </w:r>
          </w:p>
        </w:tc>
        <w:tc>
          <w:tcPr>
            <w:tcW w:type="dxa" w:w="1220"/>
            <w:vAlign w:val="center"/>
            <w:tcMar>
              <w:top w:w="75" w:type="dxa"/>
              <w:bottom w:w="75" w:type="dxa"/>
              <w:left w:w="90" w:type="dxa"/>
              <w:right w:w="90" w:type="dxa"/>
            </w:tcMar>
            <w:shd w:fill="F2F5F8"/>
          </w:tcPr>
          <w:p>
            <w:r>
              <w:rPr>
                <w:sz w:val="18"/>
              </w:rPr>
              <w:t>Preparación</w:t>
            </w:r>
          </w:p>
        </w:tc>
        <w:tc>
          <w:tcPr>
            <w:tcW w:type="dxa" w:w="4168"/>
            <w:vAlign w:val="center"/>
            <w:tcMar>
              <w:top w:w="75" w:type="dxa"/>
              <w:bottom w:w="75" w:type="dxa"/>
              <w:left w:w="90" w:type="dxa"/>
              <w:right w:w="90" w:type="dxa"/>
            </w:tcMar>
            <w:shd w:fill="F2F5F8"/>
          </w:tcPr>
          <w:p>
            <w:r>
              <w:rPr>
                <w:sz w:val="18"/>
              </w:rPr>
              <w:t>Ensayo de carga, restauración y capacitación</w:t>
            </w:r>
          </w:p>
        </w:tc>
        <w:tc>
          <w:tcPr>
            <w:tcW w:type="dxa" w:w="3355"/>
            <w:vAlign w:val="center"/>
            <w:tcMar>
              <w:top w:w="75" w:type="dxa"/>
              <w:bottom w:w="75" w:type="dxa"/>
              <w:left w:w="90" w:type="dxa"/>
              <w:right w:w="90" w:type="dxa"/>
            </w:tcMar>
            <w:shd w:fill="F2F5F8"/>
          </w:tcPr>
          <w:p>
            <w:r>
              <w:rPr>
                <w:sz w:val="18"/>
              </w:rPr>
              <w:t>Autorización documentada de arranque</w:t>
            </w:r>
          </w:p>
        </w:tc>
      </w:tr>
      <w:tr>
        <w:trPr>
          <w:cantSplit/>
        </w:trPr>
        <w:tc>
          <w:tcPr>
            <w:tcW w:type="dxa" w:w="1423"/>
            <w:vAlign w:val="center"/>
            <w:tcMar>
              <w:top w:w="75" w:type="dxa"/>
              <w:bottom w:w="75" w:type="dxa"/>
              <w:left w:w="90" w:type="dxa"/>
              <w:right w:w="90" w:type="dxa"/>
            </w:tcMar>
            <w:shd w:fill="FFFFFF"/>
          </w:tcPr>
          <w:p>
            <w:r>
              <w:rPr>
                <w:sz w:val="18"/>
              </w:rPr>
              <w:t>7 a 15 dic</w:t>
            </w:r>
          </w:p>
        </w:tc>
        <w:tc>
          <w:tcPr>
            <w:tcW w:type="dxa" w:w="1220"/>
            <w:vAlign w:val="center"/>
            <w:tcMar>
              <w:top w:w="75" w:type="dxa"/>
              <w:bottom w:w="75" w:type="dxa"/>
              <w:left w:w="90" w:type="dxa"/>
              <w:right w:w="90" w:type="dxa"/>
            </w:tcMar>
            <w:shd w:fill="FFFFFF"/>
          </w:tcPr>
          <w:p>
            <w:r>
              <w:rPr>
                <w:sz w:val="18"/>
              </w:rPr>
              <w:t>Operación</w:t>
            </w:r>
          </w:p>
        </w:tc>
        <w:tc>
          <w:tcPr>
            <w:tcW w:type="dxa" w:w="4168"/>
            <w:vAlign w:val="center"/>
            <w:tcMar>
              <w:top w:w="75" w:type="dxa"/>
              <w:bottom w:w="75" w:type="dxa"/>
              <w:left w:w="90" w:type="dxa"/>
              <w:right w:w="90" w:type="dxa"/>
            </w:tcMar>
            <w:shd w:fill="FFFFFF"/>
          </w:tcPr>
          <w:p>
            <w:r>
              <w:rPr>
                <w:sz w:val="18"/>
              </w:rPr>
              <w:t>Arranque, estabilización y cierre</w:t>
            </w:r>
          </w:p>
        </w:tc>
        <w:tc>
          <w:tcPr>
            <w:tcW w:type="dxa" w:w="3355"/>
            <w:vAlign w:val="center"/>
            <w:tcMar>
              <w:top w:w="75" w:type="dxa"/>
              <w:bottom w:w="75" w:type="dxa"/>
              <w:left w:w="90" w:type="dxa"/>
              <w:right w:w="90" w:type="dxa"/>
            </w:tcMar>
            <w:shd w:fill="FFFFFF"/>
          </w:tcPr>
          <w:p>
            <w:r>
              <w:rPr>
                <w:sz w:val="18"/>
              </w:rPr>
              <w:t>Aceptación consolidada el 15 de diciembre</w:t>
            </w:r>
          </w:p>
        </w:tc>
      </w:tr>
    </w:tbl>
    <w:p>
      <w:pPr>
        <w:spacing w:after="20"/>
      </w:pPr>
    </w:p>
    <w:p>
      <w:r>
        <w:t>Este calendario sustituye la secuencia de 32 semanas y la ampliación de 46 semanas de la versión 2.0. Es una reestimación por entregas breves, reutilización y trabajo institucional simultáneo. El 9 de octubre se contrasta con resultados reales; la fecha exige disponibilidad de validadores y resolución temprana de dependencias.</w:t>
      </w:r>
    </w:p>
    <w:p>
      <w:pPr>
        <w:pStyle w:val="Heading3"/>
      </w:pPr>
      <w:r>
        <w:t>Dependencias que cambian el plazo</w:t>
      </w:r>
    </w:p>
    <w:p>
      <w:r>
        <w:t>La agenda depende de conocer tiempos y recursos. El expediente depende de formularios y reglas de firma. Los pagos dependen del sistema contable y proveedor. La migración depende del estado de los datos. La apertura de otro campus requiere su validación local. Una unidad con reglas sin resolver no debe bloquear la entrada de las que ya cumplen los criterios.</w:t>
      </w:r>
    </w:p>
    <w:p>
      <w:pPr>
        <w:pStyle w:val="Heading3"/>
      </w:pPr>
      <w:r>
        <w:t>Cadencia</w:t>
      </w:r>
    </w:p>
    <w:p>
      <w:r>
        <w:t>Revisión semanal de 30 minutos y dos demostraciones breves por semana. Los responsables contestan en dos días hábiles y tienen suplente. Un tablero común muestra trabajo listo, en revisión y bloqueado. Gonzalo integra una entrega a la vez; las unidades pueden preparar y probar sus propios paquetes simultáneamente.</w:t>
      </w:r>
    </w:p>
    <w:p>
      <w:r>
        <w:br w:type="page"/>
      </w:r>
    </w:p>
    <w:p>
      <w:pPr>
        <w:pStyle w:val="Heading1"/>
      </w:pPr>
      <w:r>
        <w:t>Requisitos y pruebas de aceptación</w:t>
      </w:r>
    </w:p>
    <w:p>
      <w:r>
        <w:t>El listado se convertirá en historias pequeñas con dueño, prioridad, dependencia y caso verificable. Los siguientes criterios permiten evaluar comportamiento, no sólo la apariencia de las pantallas.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3"/>
        <w:gridCol w:w="2440"/>
        <w:gridCol w:w="6913"/>
      </w:tblGrid>
      <w:tr>
        <w:trPr>
          <w:cantSplit/>
          <w:tblHeader/>
        </w:trPr>
        <w:tc>
          <w:tcPr>
            <w:tcW w:type="dxa" w:w="813"/>
            <w:vAlign w:val="center"/>
            <w:tcMar>
              <w:top w:w="75" w:type="dxa"/>
              <w:bottom w:w="75" w:type="dxa"/>
              <w:left w:w="90" w:type="dxa"/>
              <w:right w:w="90" w:type="dxa"/>
            </w:tcMar>
            <w:shd w:fill="052148"/>
          </w:tcPr>
          <w:p>
            <w:pPr>
              <w:spacing w:after="20" w:line="245" w:lineRule="auto"/>
            </w:pPr>
            <w:r>
              <w:rPr>
                <w:b/>
                <w:color w:val="FFFFFF"/>
                <w:sz w:val="18"/>
              </w:rPr>
              <w:t>Código</w:t>
            </w:r>
          </w:p>
        </w:tc>
        <w:tc>
          <w:tcPr>
            <w:tcW w:type="dxa" w:w="2440"/>
            <w:vAlign w:val="center"/>
            <w:tcMar>
              <w:top w:w="75" w:type="dxa"/>
              <w:bottom w:w="75" w:type="dxa"/>
              <w:left w:w="90" w:type="dxa"/>
              <w:right w:w="90" w:type="dxa"/>
            </w:tcMar>
            <w:shd w:fill="052148"/>
          </w:tcPr>
          <w:p>
            <w:pPr>
              <w:spacing w:after="20" w:line="245" w:lineRule="auto"/>
            </w:pPr>
            <w:r>
              <w:rPr>
                <w:b/>
                <w:color w:val="FFFFFF"/>
                <w:sz w:val="18"/>
              </w:rPr>
              <w:t>Requisito</w:t>
            </w:r>
          </w:p>
        </w:tc>
        <w:tc>
          <w:tcPr>
            <w:tcW w:type="dxa" w:w="6913"/>
            <w:vAlign w:val="center"/>
            <w:tcMar>
              <w:top w:w="75" w:type="dxa"/>
              <w:bottom w:w="75" w:type="dxa"/>
              <w:left w:w="90" w:type="dxa"/>
              <w:right w:w="90" w:type="dxa"/>
            </w:tcMar>
            <w:shd w:fill="052148"/>
          </w:tcPr>
          <w:p>
            <w:pPr>
              <w:spacing w:after="20" w:line="245" w:lineRule="auto"/>
            </w:pPr>
            <w:r>
              <w:rPr>
                <w:b/>
                <w:color w:val="FFFFFF"/>
                <w:sz w:val="18"/>
              </w:rPr>
              <w:t>Prueba mínima</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R01</w:t>
            </w:r>
          </w:p>
        </w:tc>
        <w:tc>
          <w:tcPr>
            <w:tcW w:type="dxa" w:w="2440"/>
            <w:vAlign w:val="center"/>
            <w:tcMar>
              <w:top w:w="75" w:type="dxa"/>
              <w:bottom w:w="75" w:type="dxa"/>
              <w:left w:w="90" w:type="dxa"/>
              <w:right w:w="90" w:type="dxa"/>
            </w:tcMar>
            <w:shd w:fill="FFFFFF"/>
          </w:tcPr>
          <w:p>
            <w:pPr>
              <w:spacing w:after="20" w:line="245" w:lineRule="auto"/>
            </w:pPr>
            <w:r>
              <w:rPr>
                <w:sz w:val="18"/>
              </w:rPr>
              <w:t>Persona y representación</w:t>
            </w:r>
          </w:p>
        </w:tc>
        <w:tc>
          <w:tcPr>
            <w:tcW w:type="dxa" w:w="6913"/>
            <w:vAlign w:val="center"/>
            <w:tcMar>
              <w:top w:w="75" w:type="dxa"/>
              <w:bottom w:w="75" w:type="dxa"/>
              <w:left w:w="90" w:type="dxa"/>
              <w:right w:w="90" w:type="dxa"/>
            </w:tcMar>
            <w:shd w:fill="FFFFFF"/>
          </w:tcPr>
          <w:p>
            <w:pPr>
              <w:spacing w:after="20" w:line="245" w:lineRule="auto"/>
            </w:pPr>
            <w:r>
              <w:rPr>
                <w:sz w:val="18"/>
              </w:rPr>
              <w:t>Detectar posible duplicado sin fusionarlo automáticamente; verificar tutor autorizado</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R02</w:t>
            </w:r>
          </w:p>
        </w:tc>
        <w:tc>
          <w:tcPr>
            <w:tcW w:type="dxa" w:w="2440"/>
            <w:vAlign w:val="center"/>
            <w:tcMar>
              <w:top w:w="75" w:type="dxa"/>
              <w:bottom w:w="75" w:type="dxa"/>
              <w:left w:w="90" w:type="dxa"/>
              <w:right w:w="90" w:type="dxa"/>
            </w:tcMar>
            <w:shd w:fill="F2F5F8"/>
          </w:tcPr>
          <w:p>
            <w:pPr>
              <w:spacing w:after="20" w:line="245" w:lineRule="auto"/>
            </w:pPr>
            <w:r>
              <w:rPr>
                <w:sz w:val="18"/>
              </w:rPr>
              <w:t>Agenda y recursos</w:t>
            </w:r>
          </w:p>
        </w:tc>
        <w:tc>
          <w:tcPr>
            <w:tcW w:type="dxa" w:w="6913"/>
            <w:vAlign w:val="center"/>
            <w:tcMar>
              <w:top w:w="75" w:type="dxa"/>
              <w:bottom w:w="75" w:type="dxa"/>
              <w:left w:w="90" w:type="dxa"/>
              <w:right w:w="90" w:type="dxa"/>
            </w:tcMar>
            <w:shd w:fill="F2F5F8"/>
          </w:tcPr>
          <w:p>
            <w:pPr>
              <w:spacing w:after="20" w:line="245" w:lineRule="auto"/>
            </w:pPr>
            <w:r>
              <w:rPr>
                <w:sz w:val="18"/>
              </w:rPr>
              <w:t>Dos solicitudes simultáneas al mismo recurso permiten sólo una confirmación</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R03</w:t>
            </w:r>
          </w:p>
        </w:tc>
        <w:tc>
          <w:tcPr>
            <w:tcW w:type="dxa" w:w="2440"/>
            <w:vAlign w:val="center"/>
            <w:tcMar>
              <w:top w:w="75" w:type="dxa"/>
              <w:bottom w:w="75" w:type="dxa"/>
              <w:left w:w="90" w:type="dxa"/>
              <w:right w:w="90" w:type="dxa"/>
            </w:tcMar>
            <w:shd w:fill="FFFFFF"/>
          </w:tcPr>
          <w:p>
            <w:pPr>
              <w:spacing w:after="20" w:line="245" w:lineRule="auto"/>
            </w:pPr>
            <w:r>
              <w:rPr>
                <w:sz w:val="18"/>
              </w:rPr>
              <w:t>Privacidad</w:t>
            </w:r>
          </w:p>
        </w:tc>
        <w:tc>
          <w:tcPr>
            <w:tcW w:type="dxa" w:w="6913"/>
            <w:vAlign w:val="center"/>
            <w:tcMar>
              <w:top w:w="75" w:type="dxa"/>
              <w:bottom w:w="75" w:type="dxa"/>
              <w:left w:w="90" w:type="dxa"/>
              <w:right w:w="90" w:type="dxa"/>
            </w:tcMar>
            <w:shd w:fill="FFFFFF"/>
          </w:tcPr>
          <w:p>
            <w:pPr>
              <w:spacing w:after="20" w:line="245" w:lineRule="auto"/>
            </w:pPr>
            <w:r>
              <w:rPr>
                <w:sz w:val="18"/>
              </w:rPr>
              <w:t>Recepción y caja reciben denegación del servidor al intentar abrir una nota</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R04</w:t>
            </w:r>
          </w:p>
        </w:tc>
        <w:tc>
          <w:tcPr>
            <w:tcW w:type="dxa" w:w="2440"/>
            <w:vAlign w:val="center"/>
            <w:tcMar>
              <w:top w:w="75" w:type="dxa"/>
              <w:bottom w:w="75" w:type="dxa"/>
              <w:left w:w="90" w:type="dxa"/>
              <w:right w:w="90" w:type="dxa"/>
            </w:tcMar>
            <w:shd w:fill="F2F5F8"/>
          </w:tcPr>
          <w:p>
            <w:pPr>
              <w:spacing w:after="20" w:line="245" w:lineRule="auto"/>
            </w:pPr>
            <w:r>
              <w:rPr>
                <w:sz w:val="18"/>
              </w:rPr>
              <w:t>Supervisión</w:t>
            </w:r>
          </w:p>
        </w:tc>
        <w:tc>
          <w:tcPr>
            <w:tcW w:type="dxa" w:w="6913"/>
            <w:vAlign w:val="center"/>
            <w:tcMar>
              <w:top w:w="75" w:type="dxa"/>
              <w:bottom w:w="75" w:type="dxa"/>
              <w:left w:w="90" w:type="dxa"/>
              <w:right w:w="90" w:type="dxa"/>
            </w:tcMar>
            <w:shd w:fill="F2F5F8"/>
          </w:tcPr>
          <w:p>
            <w:pPr>
              <w:spacing w:after="20" w:line="245" w:lineRule="auto"/>
            </w:pPr>
            <w:r>
              <w:rPr>
                <w:sz w:val="18"/>
              </w:rPr>
              <w:t>Alumno captura; supervisor devuelve o libera; toda acción conserva autor</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R05</w:t>
            </w:r>
          </w:p>
        </w:tc>
        <w:tc>
          <w:tcPr>
            <w:tcW w:type="dxa" w:w="2440"/>
            <w:vAlign w:val="center"/>
            <w:tcMar>
              <w:top w:w="75" w:type="dxa"/>
              <w:bottom w:w="75" w:type="dxa"/>
              <w:left w:w="90" w:type="dxa"/>
              <w:right w:w="90" w:type="dxa"/>
            </w:tcMar>
            <w:shd w:fill="FFFFFF"/>
          </w:tcPr>
          <w:p>
            <w:pPr>
              <w:spacing w:after="20" w:line="245" w:lineRule="auto"/>
            </w:pPr>
            <w:r>
              <w:rPr>
                <w:sz w:val="18"/>
              </w:rPr>
              <w:t>Odontología</w:t>
            </w:r>
          </w:p>
        </w:tc>
        <w:tc>
          <w:tcPr>
            <w:tcW w:type="dxa" w:w="6913"/>
            <w:vAlign w:val="center"/>
            <w:tcMar>
              <w:top w:w="75" w:type="dxa"/>
              <w:bottom w:w="75" w:type="dxa"/>
              <w:left w:w="90" w:type="dxa"/>
              <w:right w:w="90" w:type="dxa"/>
            </w:tcMar>
            <w:shd w:fill="FFFFFF"/>
          </w:tcPr>
          <w:p>
            <w:pPr>
              <w:spacing w:after="20" w:line="245" w:lineRule="auto"/>
            </w:pPr>
            <w:r>
              <w:rPr>
                <w:sz w:val="18"/>
              </w:rPr>
              <w:t>Un procedimiento se enlaza con pieza, plan, consentimiento y cobro correspondientes</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R06</w:t>
            </w:r>
          </w:p>
        </w:tc>
        <w:tc>
          <w:tcPr>
            <w:tcW w:type="dxa" w:w="2440"/>
            <w:vAlign w:val="center"/>
            <w:tcMar>
              <w:top w:w="75" w:type="dxa"/>
              <w:bottom w:w="75" w:type="dxa"/>
              <w:left w:w="90" w:type="dxa"/>
              <w:right w:w="90" w:type="dxa"/>
            </w:tcMar>
            <w:shd w:fill="F2F5F8"/>
          </w:tcPr>
          <w:p>
            <w:pPr>
              <w:spacing w:after="20" w:line="245" w:lineRule="auto"/>
            </w:pPr>
            <w:r>
              <w:rPr>
                <w:sz w:val="18"/>
              </w:rPr>
              <w:t>Rehabilitación</w:t>
            </w:r>
          </w:p>
        </w:tc>
        <w:tc>
          <w:tcPr>
            <w:tcW w:type="dxa" w:w="6913"/>
            <w:vAlign w:val="center"/>
            <w:tcMar>
              <w:top w:w="75" w:type="dxa"/>
              <w:bottom w:w="75" w:type="dxa"/>
              <w:left w:w="90" w:type="dxa"/>
              <w:right w:w="90" w:type="dxa"/>
            </w:tcMar>
            <w:shd w:fill="F2F5F8"/>
          </w:tcPr>
          <w:p>
            <w:pPr>
              <w:spacing w:after="20" w:line="245" w:lineRule="auto"/>
            </w:pPr>
            <w:r>
              <w:rPr>
                <w:sz w:val="18"/>
              </w:rPr>
              <w:t>Sesiones y reevaluaciones conservan escala, unidad, fecha y autor</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R07</w:t>
            </w:r>
          </w:p>
        </w:tc>
        <w:tc>
          <w:tcPr>
            <w:tcW w:type="dxa" w:w="2440"/>
            <w:vAlign w:val="center"/>
            <w:tcMar>
              <w:top w:w="75" w:type="dxa"/>
              <w:bottom w:w="75" w:type="dxa"/>
              <w:left w:w="90" w:type="dxa"/>
              <w:right w:w="90" w:type="dxa"/>
            </w:tcMar>
            <w:shd w:fill="FFFFFF"/>
          </w:tcPr>
          <w:p>
            <w:pPr>
              <w:spacing w:after="20" w:line="245" w:lineRule="auto"/>
            </w:pPr>
            <w:r>
              <w:rPr>
                <w:sz w:val="18"/>
              </w:rPr>
              <w:t>Nutrición</w:t>
            </w:r>
          </w:p>
        </w:tc>
        <w:tc>
          <w:tcPr>
            <w:tcW w:type="dxa" w:w="6913"/>
            <w:vAlign w:val="center"/>
            <w:tcMar>
              <w:top w:w="75" w:type="dxa"/>
              <w:bottom w:w="75" w:type="dxa"/>
              <w:left w:w="90" w:type="dxa"/>
              <w:right w:w="90" w:type="dxa"/>
            </w:tcMar>
            <w:shd w:fill="FFFFFF"/>
          </w:tcPr>
          <w:p>
            <w:pPr>
              <w:spacing w:after="20" w:line="245" w:lineRule="auto"/>
            </w:pPr>
            <w:r>
              <w:rPr>
                <w:sz w:val="18"/>
              </w:rPr>
              <w:t>Un cambio de fórmula no altera resultados históricos sin recalcular de forma explícita</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R08</w:t>
            </w:r>
          </w:p>
        </w:tc>
        <w:tc>
          <w:tcPr>
            <w:tcW w:type="dxa" w:w="2440"/>
            <w:vAlign w:val="center"/>
            <w:tcMar>
              <w:top w:w="75" w:type="dxa"/>
              <w:bottom w:w="75" w:type="dxa"/>
              <w:left w:w="90" w:type="dxa"/>
              <w:right w:w="90" w:type="dxa"/>
            </w:tcMar>
            <w:shd w:fill="F2F5F8"/>
          </w:tcPr>
          <w:p>
            <w:pPr>
              <w:spacing w:after="20" w:line="245" w:lineRule="auto"/>
            </w:pPr>
            <w:r>
              <w:rPr>
                <w:sz w:val="18"/>
              </w:rPr>
              <w:t>Psicología</w:t>
            </w:r>
          </w:p>
        </w:tc>
        <w:tc>
          <w:tcPr>
            <w:tcW w:type="dxa" w:w="6913"/>
            <w:vAlign w:val="center"/>
            <w:tcMar>
              <w:top w:w="75" w:type="dxa"/>
              <w:bottom w:w="75" w:type="dxa"/>
              <w:left w:w="90" w:type="dxa"/>
              <w:right w:w="90" w:type="dxa"/>
            </w:tcMar>
            <w:shd w:fill="F2F5F8"/>
          </w:tcPr>
          <w:p>
            <w:pPr>
              <w:spacing w:after="20" w:line="245" w:lineRule="auto"/>
            </w:pPr>
            <w:r>
              <w:rPr>
                <w:sz w:val="18"/>
              </w:rPr>
              <w:t>Un integrante de caso familiar no consulta notas individuales ajenas</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R09</w:t>
            </w:r>
          </w:p>
        </w:tc>
        <w:tc>
          <w:tcPr>
            <w:tcW w:type="dxa" w:w="2440"/>
            <w:vAlign w:val="center"/>
            <w:tcMar>
              <w:top w:w="75" w:type="dxa"/>
              <w:bottom w:w="75" w:type="dxa"/>
              <w:left w:w="90" w:type="dxa"/>
              <w:right w:w="90" w:type="dxa"/>
            </w:tcMar>
            <w:shd w:fill="FFFFFF"/>
          </w:tcPr>
          <w:p>
            <w:pPr>
              <w:spacing w:after="20" w:line="245" w:lineRule="auto"/>
            </w:pPr>
            <w:r>
              <w:rPr>
                <w:sz w:val="18"/>
              </w:rPr>
              <w:t>Referencia</w:t>
            </w:r>
          </w:p>
        </w:tc>
        <w:tc>
          <w:tcPr>
            <w:tcW w:type="dxa" w:w="6913"/>
            <w:vAlign w:val="center"/>
            <w:tcMar>
              <w:top w:w="75" w:type="dxa"/>
              <w:bottom w:w="75" w:type="dxa"/>
              <w:left w:w="90" w:type="dxa"/>
              <w:right w:w="90" w:type="dxa"/>
            </w:tcMar>
            <w:shd w:fill="FFFFFF"/>
          </w:tcPr>
          <w:p>
            <w:pPr>
              <w:spacing w:after="20" w:line="245" w:lineRule="auto"/>
            </w:pPr>
            <w:r>
              <w:rPr>
                <w:sz w:val="18"/>
              </w:rPr>
              <w:t>Unidad receptora sólo recibe información autorizada y devuelve estado de atención</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R10</w:t>
            </w:r>
          </w:p>
        </w:tc>
        <w:tc>
          <w:tcPr>
            <w:tcW w:type="dxa" w:w="2440"/>
            <w:vAlign w:val="center"/>
            <w:tcMar>
              <w:top w:w="75" w:type="dxa"/>
              <w:bottom w:w="75" w:type="dxa"/>
              <w:left w:w="90" w:type="dxa"/>
              <w:right w:w="90" w:type="dxa"/>
            </w:tcMar>
            <w:shd w:fill="F2F5F8"/>
          </w:tcPr>
          <w:p>
            <w:pPr>
              <w:spacing w:after="20" w:line="245" w:lineRule="auto"/>
            </w:pPr>
            <w:r>
              <w:rPr>
                <w:sz w:val="18"/>
              </w:rPr>
              <w:t>Finanzas</w:t>
            </w:r>
          </w:p>
        </w:tc>
        <w:tc>
          <w:tcPr>
            <w:tcW w:type="dxa" w:w="6913"/>
            <w:vAlign w:val="center"/>
            <w:tcMar>
              <w:top w:w="75" w:type="dxa"/>
              <w:bottom w:w="75" w:type="dxa"/>
              <w:left w:w="90" w:type="dxa"/>
              <w:right w:w="90" w:type="dxa"/>
            </w:tcMar>
            <w:shd w:fill="F2F5F8"/>
          </w:tcPr>
          <w:p>
            <w:pPr>
              <w:spacing w:after="20" w:line="245" w:lineRule="auto"/>
            </w:pPr>
            <w:r>
              <w:rPr>
                <w:sz w:val="18"/>
              </w:rPr>
              <w:t>Notificación de pago duplicada no duplica saldo; devolución enlaza pago original</w:t>
            </w:r>
          </w:p>
        </w:tc>
      </w:tr>
      <w:tr>
        <w:trPr>
          <w:cantSplit/>
        </w:trPr>
        <w:tc>
          <w:tcPr>
            <w:tcW w:type="dxa" w:w="813"/>
            <w:vAlign w:val="center"/>
            <w:tcMar>
              <w:top w:w="75" w:type="dxa"/>
              <w:bottom w:w="75" w:type="dxa"/>
              <w:left w:w="90" w:type="dxa"/>
              <w:right w:w="90" w:type="dxa"/>
            </w:tcMar>
            <w:shd w:fill="FFFFFF"/>
          </w:tcPr>
          <w:p>
            <w:pPr>
              <w:spacing w:after="20" w:line="245" w:lineRule="auto"/>
            </w:pPr>
            <w:r>
              <w:rPr>
                <w:sz w:val="18"/>
              </w:rPr>
              <w:t>R11</w:t>
            </w:r>
          </w:p>
        </w:tc>
        <w:tc>
          <w:tcPr>
            <w:tcW w:type="dxa" w:w="2440"/>
            <w:vAlign w:val="center"/>
            <w:tcMar>
              <w:top w:w="75" w:type="dxa"/>
              <w:bottom w:w="75" w:type="dxa"/>
              <w:left w:w="90" w:type="dxa"/>
              <w:right w:w="90" w:type="dxa"/>
            </w:tcMar>
            <w:shd w:fill="FFFFFF"/>
          </w:tcPr>
          <w:p>
            <w:pPr>
              <w:spacing w:after="20" w:line="245" w:lineRule="auto"/>
            </w:pPr>
            <w:r>
              <w:rPr>
                <w:sz w:val="18"/>
              </w:rPr>
              <w:t>Recursos y docencia</w:t>
            </w:r>
          </w:p>
        </w:tc>
        <w:tc>
          <w:tcPr>
            <w:tcW w:type="dxa" w:w="6913"/>
            <w:vAlign w:val="center"/>
            <w:tcMar>
              <w:top w:w="75" w:type="dxa"/>
              <w:bottom w:w="75" w:type="dxa"/>
              <w:left w:w="90" w:type="dxa"/>
              <w:right w:w="90" w:type="dxa"/>
            </w:tcMar>
            <w:shd w:fill="FFFFFF"/>
          </w:tcPr>
          <w:p>
            <w:pPr>
              <w:spacing w:after="20" w:line="245" w:lineRule="auto"/>
            </w:pPr>
            <w:r>
              <w:rPr>
                <w:sz w:val="18"/>
              </w:rPr>
              <w:t>Equipo bloqueado y rotación vencida impiden nuevas asignaciones indebidas</w:t>
            </w:r>
          </w:p>
        </w:tc>
      </w:tr>
      <w:tr>
        <w:trPr>
          <w:cantSplit/>
        </w:trPr>
        <w:tc>
          <w:tcPr>
            <w:tcW w:type="dxa" w:w="813"/>
            <w:vAlign w:val="center"/>
            <w:tcMar>
              <w:top w:w="75" w:type="dxa"/>
              <w:bottom w:w="75" w:type="dxa"/>
              <w:left w:w="90" w:type="dxa"/>
              <w:right w:w="90" w:type="dxa"/>
            </w:tcMar>
            <w:shd w:fill="F2F5F8"/>
          </w:tcPr>
          <w:p>
            <w:pPr>
              <w:spacing w:after="20" w:line="245" w:lineRule="auto"/>
            </w:pPr>
            <w:r>
              <w:rPr>
                <w:sz w:val="18"/>
              </w:rPr>
              <w:t>R12</w:t>
            </w:r>
          </w:p>
        </w:tc>
        <w:tc>
          <w:tcPr>
            <w:tcW w:type="dxa" w:w="2440"/>
            <w:vAlign w:val="center"/>
            <w:tcMar>
              <w:top w:w="75" w:type="dxa"/>
              <w:bottom w:w="75" w:type="dxa"/>
              <w:left w:w="90" w:type="dxa"/>
              <w:right w:w="90" w:type="dxa"/>
            </w:tcMar>
            <w:shd w:fill="F2F5F8"/>
          </w:tcPr>
          <w:p>
            <w:pPr>
              <w:spacing w:after="20" w:line="245" w:lineRule="auto"/>
            </w:pPr>
            <w:r>
              <w:rPr>
                <w:sz w:val="18"/>
              </w:rPr>
              <w:t>Continuidad</w:t>
            </w:r>
          </w:p>
        </w:tc>
        <w:tc>
          <w:tcPr>
            <w:tcW w:type="dxa" w:w="6913"/>
            <w:vAlign w:val="center"/>
            <w:tcMar>
              <w:top w:w="75" w:type="dxa"/>
              <w:bottom w:w="75" w:type="dxa"/>
              <w:left w:w="90" w:type="dxa"/>
              <w:right w:w="90" w:type="dxa"/>
            </w:tcMar>
            <w:shd w:fill="F2F5F8"/>
          </w:tcPr>
          <w:p>
            <w:pPr>
              <w:spacing w:after="20" w:line="245" w:lineRule="auto"/>
            </w:pPr>
            <w:r>
              <w:rPr>
                <w:sz w:val="18"/>
              </w:rPr>
              <w:t>Restaurar respaldo y verificar expedientes, archivos y pagos de la muestra</w:t>
            </w:r>
          </w:p>
        </w:tc>
      </w:tr>
    </w:tbl>
    <w:p>
      <w:pPr>
        <w:spacing w:after="20"/>
      </w:pPr>
    </w:p>
    <w:p>
      <w:pPr>
        <w:pStyle w:val="Heading3"/>
      </w:pPr>
      <w:r>
        <w:t>Calidad de la aplicación</w:t>
      </w:r>
    </w:p>
    <w:p>
      <w:r>
        <w:t>Probar tareas con teclado, lector de pantalla cuando esté disponible, contraste, mensajes de error y teléfono móvil. Objetivo propuesto: WCAG 2.2 nivel AA en los recorridos principales. Definir el volumen real antes de fijar pruebas de carga; como referencia de trabajo, verificar listados y agenda con la concurrencia acordada y medir tiempos, no sólo afirmar que son rápidos.</w:t>
      </w:r>
    </w:p>
    <w:p>
      <w:r>
        <w:t>Probar autorización por rol, sede, asignación y archivo; caducidad de enlaces; intentos de consultar identificadores ajenos; sesiones; webhooks y reintentos. Revisar dependencias y configuración de producción. El responsable clínico prueba fórmulas y documentos; Finanzas prueba saldos y conciliación.</w:t>
      </w:r>
    </w:p>
    <w:p>
      <w:pPr>
        <w:pStyle w:val="Heading3"/>
      </w:pPr>
      <w:r>
        <w:t>Aceptación por unidad</w:t>
      </w:r>
    </w:p>
    <w:p>
      <w:r>
        <w:t>Cada responsable ejecuta un caso normal, uno cancelado y uno con referencia o excepción. Firma un acta con versión, fecha, defectos pendientes y decisión. La salida requiere cero defectos críticos abiertos y procedimiento de contingencia conocido. Las mejoras menores pueden quedar programadas con dueño y fecha.</w:t>
      </w:r>
      <w:r>
        <w:t xml:space="preserve"> Aplicar también los criterios C18.</w:t>
      </w:r>
    </w:p>
    <w:p>
      <w:r>
        <w:br w:type="page"/>
      </w:r>
    </w:p>
    <w:p>
      <w:pPr>
        <w:pStyle w:val="Heading1"/>
      </w:pPr>
      <w:r>
        <w:t>Migración capacitación y puesta en marcha</w:t>
      </w:r>
    </w:p>
    <w:p>
      <w:r>
        <w:t>La migración comienza con inventario de archivos y sistemas: formato, dueño, cantidad, sensibilidad, calidad y necesidad de conservarlos. No se importará todo por defecto ni se considerará que una hoja de cálculo es fuente autorizada sin validación del área.</w:t>
      </w:r>
    </w:p>
    <w:p>
      <w:pPr>
        <w:pStyle w:val="Heading3"/>
      </w:pPr>
      <w:r>
        <w:t>Secuencia de migración</w:t>
      </w:r>
    </w:p>
    <w:p>
      <w:pPr>
        <w:spacing w:after="80"/>
      </w:pPr>
      <w:r>
        <w:t>1. Definir qué expedientes activos, saldos, catálogos y citas futuras necesita el arranque.</w:t>
      </w:r>
    </w:p>
    <w:p>
      <w:pPr>
        <w:spacing w:after="80"/>
      </w:pPr>
      <w:r>
        <w:t>2. Mapear campos y normalizar unidades, fechas e identificadores sin perder el dato original.</w:t>
      </w:r>
    </w:p>
    <w:p>
      <w:pPr>
        <w:spacing w:after="80"/>
      </w:pPr>
      <w:r>
        <w:t>3. Identificar duplicados para revisión humana y registrar decisiones de vinculación.</w:t>
      </w:r>
    </w:p>
    <w:p>
      <w:pPr>
        <w:spacing w:after="80"/>
      </w:pPr>
      <w:r>
        <w:t>4. Importar una muestra autorizada, conciliar conteos y totales y verificar permisos y adjuntos.</w:t>
      </w:r>
    </w:p>
    <w:p>
      <w:pPr>
        <w:spacing w:after="80"/>
      </w:pPr>
      <w:r>
        <w:t>5. Corregir reglas y realizar ensayo completo con reporte de registros rechazados.</w:t>
      </w:r>
    </w:p>
    <w:p>
      <w:pPr>
        <w:spacing w:after="80"/>
      </w:pPr>
      <w:r>
        <w:t>6. Fijar ventana de corte, congelar cambios donde corresponda y conciliar la carga final.</w:t>
      </w:r>
    </w:p>
    <w:p>
      <w:r>
        <w:t>Los datos de pruebas serán sintéticos o anonimizados y estarán separados de producción. La aplicación operativa no mostrará pacientes ni estadísticas ficticias. Los expedientes históricos pueden conservarse como documentos vinculados cuando su captura estructurada no justifique el costo y sea admisible según las reglas de conservación.</w:t>
      </w:r>
    </w:p>
    <w:p>
      <w:pPr>
        <w:pStyle w:val="Heading3"/>
      </w:pPr>
      <w:r>
        <w:t>Capacitación por función</w:t>
      </w:r>
    </w:p>
    <w:p>
      <w:r>
        <w:t>Recepción practica altas, duplicados, agenda y cancelaciones. Profesionales y alumnos practican notas y revisión. Supervisores practican asignación y cierre. Caja practica pagos, devoluciones y conciliación. Dirección practica lectura de indicadores. TI practica restauración y respuesta a incidentes. Entregar guías breves con tareas y canal de soporte.</w:t>
      </w:r>
    </w:p>
    <w:p>
      <w:pPr>
        <w:pStyle w:val="Heading3"/>
      </w:pPr>
      <w:r>
        <w:t>Arranque y reversión</w:t>
      </w:r>
    </w:p>
    <w:p>
      <w:r>
        <w:t>Desde el 7 de diciembre abrir turnos limitados de las unidades aprobadas y ampliar durante la semana. Los pilotos previos se realizan en paralelo con responsables distintos. Definir el registro oficial de cada operación y fecha; evitar doble captura indefinida. El 15 de diciembre se firma la aceptación consolidada.</w:t>
      </w:r>
    </w:p>
    <w:p>
      <w:r>
        <w:t>Si ocurre un incidente crítico, detener nuevas operaciones del módulo afectado y activar contingencia. Para revertir una versión conservar los registros creados desde el corte y conciliarlos antes de restaurar. Nunca reemplazar la base con una copia antigua descartando atenciones o pagos nuevos.</w:t>
      </w:r>
    </w:p>
    <w:p>
      <w:pPr>
        <w:pStyle w:val="Heading3"/>
      </w:pPr>
      <w:r>
        <w:t>Operación posterior</w:t>
      </w:r>
    </w:p>
    <w:p>
      <w:r>
        <w:t>Asignar responsable funcional y técnico, ventana de mantenimiento, revisión de accesos, prueba de respaldos y presupuesto de actualizaciones. Revisar incidencias diariamente durante el arranque y semanalmente al estabilizarse. La salida del desarrollador de una guardia no elimina la necesidad de un responsable institucional de operación.</w:t>
      </w:r>
    </w:p>
    <w:p>
      <w:r>
        <w:br w:type="page"/>
      </w:r>
    </w:p>
    <w:p>
      <w:pPr>
        <w:pStyle w:val="Heading1"/>
      </w:pPr>
      <w:r>
        <w:t>Indicadores presupuesto y decisiones pendientes</w:t>
      </w:r>
    </w:p>
    <w:p>
      <w:pPr>
        <w:pStyle w:val="Heading3"/>
      </w:pPr>
      <w:r>
        <w:t>Indicadores con definición propuesta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pPr>
              <w:spacing w:after="20" w:line="245" w:lineRule="auto"/>
            </w:pPr>
            <w:r>
              <w:rPr>
                <w:b/>
                <w:color w:val="FFFFFF"/>
                <w:sz w:val="18"/>
              </w:rPr>
              <w:t>Indicador</w:t>
            </w:r>
          </w:p>
        </w:tc>
        <w:tc>
          <w:tcPr>
            <w:tcW w:type="dxa" w:w="4880"/>
            <w:vAlign w:val="center"/>
            <w:tcMar>
              <w:top w:w="75" w:type="dxa"/>
              <w:bottom w:w="75" w:type="dxa"/>
              <w:left w:w="90" w:type="dxa"/>
              <w:right w:w="90" w:type="dxa"/>
            </w:tcMar>
            <w:shd w:fill="052148"/>
          </w:tcPr>
          <w:p>
            <w:pPr>
              <w:spacing w:after="20" w:line="245" w:lineRule="auto"/>
            </w:pPr>
            <w:r>
              <w:rPr>
                <w:b/>
                <w:color w:val="FFFFFF"/>
                <w:sz w:val="18"/>
              </w:rPr>
              <w:t>Cálculo</w:t>
            </w:r>
          </w:p>
        </w:tc>
        <w:tc>
          <w:tcPr>
            <w:tcW w:type="dxa" w:w="2948"/>
            <w:vAlign w:val="center"/>
            <w:tcMar>
              <w:top w:w="75" w:type="dxa"/>
              <w:bottom w:w="75" w:type="dxa"/>
              <w:left w:w="90" w:type="dxa"/>
              <w:right w:w="90" w:type="dxa"/>
            </w:tcMar>
            <w:shd w:fill="052148"/>
          </w:tcPr>
          <w:p>
            <w:pPr>
              <w:spacing w:after="20" w:line="245" w:lineRule="auto"/>
            </w:pPr>
            <w:r>
              <w:rPr>
                <w:b/>
                <w:color w:val="FFFFFF"/>
                <w:sz w:val="18"/>
              </w:rPr>
              <w:t>Responsable sugerido</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Ausencias</w:t>
            </w:r>
          </w:p>
        </w:tc>
        <w:tc>
          <w:tcPr>
            <w:tcW w:type="dxa" w:w="4880"/>
            <w:vAlign w:val="center"/>
            <w:tcMar>
              <w:top w:w="75" w:type="dxa"/>
              <w:bottom w:w="75" w:type="dxa"/>
              <w:left w:w="90" w:type="dxa"/>
              <w:right w:w="90" w:type="dxa"/>
            </w:tcMar>
            <w:shd w:fill="FFFFFF"/>
          </w:tcPr>
          <w:p>
            <w:pPr>
              <w:spacing w:after="20" w:line="245" w:lineRule="auto"/>
            </w:pPr>
            <w:r>
              <w:rPr>
                <w:sz w:val="18"/>
              </w:rPr>
              <w:t>Citas ausentes entre citas confirmadas vencidas elegibles</w:t>
            </w:r>
          </w:p>
        </w:tc>
        <w:tc>
          <w:tcPr>
            <w:tcW w:type="dxa" w:w="2948"/>
            <w:vAlign w:val="center"/>
            <w:tcMar>
              <w:top w:w="75" w:type="dxa"/>
              <w:bottom w:w="75" w:type="dxa"/>
              <w:left w:w="90" w:type="dxa"/>
              <w:right w:w="90" w:type="dxa"/>
            </w:tcMar>
            <w:shd w:fill="FFFFFF"/>
          </w:tcPr>
          <w:p>
            <w:pPr>
              <w:spacing w:after="20" w:line="245" w:lineRule="auto"/>
            </w:pPr>
            <w:r>
              <w:rPr>
                <w:sz w:val="18"/>
              </w:rPr>
              <w:t>Recepción</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Ocupación</w:t>
            </w:r>
          </w:p>
        </w:tc>
        <w:tc>
          <w:tcPr>
            <w:tcW w:type="dxa" w:w="4880"/>
            <w:vAlign w:val="center"/>
            <w:tcMar>
              <w:top w:w="75" w:type="dxa"/>
              <w:bottom w:w="75" w:type="dxa"/>
              <w:left w:w="90" w:type="dxa"/>
              <w:right w:w="90" w:type="dxa"/>
            </w:tcMar>
            <w:shd w:fill="F2F5F8"/>
          </w:tcPr>
          <w:p>
            <w:pPr>
              <w:spacing w:after="20" w:line="245" w:lineRule="auto"/>
            </w:pPr>
            <w:r>
              <w:rPr>
                <w:sz w:val="18"/>
              </w:rPr>
              <w:t>Minutos reservados entre minutos disponibles del recurso</w:t>
            </w:r>
          </w:p>
        </w:tc>
        <w:tc>
          <w:tcPr>
            <w:tcW w:type="dxa" w:w="2948"/>
            <w:vAlign w:val="center"/>
            <w:tcMar>
              <w:top w:w="75" w:type="dxa"/>
              <w:bottom w:w="75" w:type="dxa"/>
              <w:left w:w="90" w:type="dxa"/>
              <w:right w:w="90" w:type="dxa"/>
            </w:tcMar>
            <w:shd w:fill="F2F5F8"/>
          </w:tcPr>
          <w:p>
            <w:pPr>
              <w:spacing w:after="20" w:line="245" w:lineRule="auto"/>
            </w:pPr>
            <w:r>
              <w:rPr>
                <w:sz w:val="18"/>
              </w:rPr>
              <w:t>Coordinación</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Espera</w:t>
            </w:r>
          </w:p>
        </w:tc>
        <w:tc>
          <w:tcPr>
            <w:tcW w:type="dxa" w:w="4880"/>
            <w:vAlign w:val="center"/>
            <w:tcMar>
              <w:top w:w="75" w:type="dxa"/>
              <w:bottom w:w="75" w:type="dxa"/>
              <w:left w:w="90" w:type="dxa"/>
              <w:right w:w="90" w:type="dxa"/>
            </w:tcMar>
            <w:shd w:fill="FFFFFF"/>
          </w:tcPr>
          <w:p>
            <w:pPr>
              <w:spacing w:after="20" w:line="245" w:lineRule="auto"/>
            </w:pPr>
            <w:r>
              <w:rPr>
                <w:sz w:val="18"/>
              </w:rPr>
              <w:t>Minutos entre llegada e inicio de atención</w:t>
            </w:r>
          </w:p>
        </w:tc>
        <w:tc>
          <w:tcPr>
            <w:tcW w:type="dxa" w:w="2948"/>
            <w:vAlign w:val="center"/>
            <w:tcMar>
              <w:top w:w="75" w:type="dxa"/>
              <w:bottom w:w="75" w:type="dxa"/>
              <w:left w:w="90" w:type="dxa"/>
              <w:right w:w="90" w:type="dxa"/>
            </w:tcMar>
            <w:shd w:fill="FFFFFF"/>
          </w:tcPr>
          <w:p>
            <w:pPr>
              <w:spacing w:after="20" w:line="245" w:lineRule="auto"/>
            </w:pPr>
            <w:r>
              <w:rPr>
                <w:sz w:val="18"/>
              </w:rPr>
              <w:t>Unidad</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Notas pendientes</w:t>
            </w:r>
          </w:p>
        </w:tc>
        <w:tc>
          <w:tcPr>
            <w:tcW w:type="dxa" w:w="4880"/>
            <w:vAlign w:val="center"/>
            <w:tcMar>
              <w:top w:w="75" w:type="dxa"/>
              <w:bottom w:w="75" w:type="dxa"/>
              <w:left w:w="90" w:type="dxa"/>
              <w:right w:w="90" w:type="dxa"/>
            </w:tcMar>
            <w:shd w:fill="F2F5F8"/>
          </w:tcPr>
          <w:p>
            <w:pPr>
              <w:spacing w:after="20" w:line="245" w:lineRule="auto"/>
            </w:pPr>
            <w:r>
              <w:rPr>
                <w:sz w:val="18"/>
              </w:rPr>
              <w:t>Notas que exceden plazo aprobado sin liberación</w:t>
            </w:r>
          </w:p>
        </w:tc>
        <w:tc>
          <w:tcPr>
            <w:tcW w:type="dxa" w:w="2948"/>
            <w:vAlign w:val="center"/>
            <w:tcMar>
              <w:top w:w="75" w:type="dxa"/>
              <w:bottom w:w="75" w:type="dxa"/>
              <w:left w:w="90" w:type="dxa"/>
              <w:right w:w="90" w:type="dxa"/>
            </w:tcMar>
            <w:shd w:fill="F2F5F8"/>
          </w:tcPr>
          <w:p>
            <w:pPr>
              <w:spacing w:after="20" w:line="245" w:lineRule="auto"/>
            </w:pPr>
            <w:r>
              <w:rPr>
                <w:sz w:val="18"/>
              </w:rPr>
              <w:t>Supervisor</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Continuidad</w:t>
            </w:r>
          </w:p>
        </w:tc>
        <w:tc>
          <w:tcPr>
            <w:tcW w:type="dxa" w:w="4880"/>
            <w:vAlign w:val="center"/>
            <w:tcMar>
              <w:top w:w="75" w:type="dxa"/>
              <w:bottom w:w="75" w:type="dxa"/>
              <w:left w:w="90" w:type="dxa"/>
              <w:right w:w="90" w:type="dxa"/>
            </w:tcMar>
            <w:shd w:fill="FFFFFF"/>
          </w:tcPr>
          <w:p>
            <w:pPr>
              <w:spacing w:after="20" w:line="245" w:lineRule="auto"/>
            </w:pPr>
            <w:r>
              <w:rPr>
                <w:sz w:val="18"/>
              </w:rPr>
              <w:t>Episodios con seguimiento cumplido entre episodios que lo requieren</w:t>
            </w:r>
          </w:p>
        </w:tc>
        <w:tc>
          <w:tcPr>
            <w:tcW w:type="dxa" w:w="2948"/>
            <w:vAlign w:val="center"/>
            <w:tcMar>
              <w:top w:w="75" w:type="dxa"/>
              <w:bottom w:w="75" w:type="dxa"/>
              <w:left w:w="90" w:type="dxa"/>
              <w:right w:w="90" w:type="dxa"/>
            </w:tcMar>
            <w:shd w:fill="FFFFFF"/>
          </w:tcPr>
          <w:p>
            <w:pPr>
              <w:spacing w:after="20" w:line="245" w:lineRule="auto"/>
            </w:pPr>
            <w:r>
              <w:rPr>
                <w:sz w:val="18"/>
              </w:rPr>
              <w:t>Unidad</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Conciliación</w:t>
            </w:r>
          </w:p>
        </w:tc>
        <w:tc>
          <w:tcPr>
            <w:tcW w:type="dxa" w:w="4880"/>
            <w:vAlign w:val="center"/>
            <w:tcMar>
              <w:top w:w="75" w:type="dxa"/>
              <w:bottom w:w="75" w:type="dxa"/>
              <w:left w:w="90" w:type="dxa"/>
              <w:right w:w="90" w:type="dxa"/>
            </w:tcMar>
            <w:shd w:fill="F2F5F8"/>
          </w:tcPr>
          <w:p>
            <w:pPr>
              <w:spacing w:after="20" w:line="245" w:lineRule="auto"/>
            </w:pPr>
            <w:r>
              <w:rPr>
                <w:sz w:val="18"/>
              </w:rPr>
              <w:t>Pagos conciliados entre pagos recibidos del periodo</w:t>
            </w:r>
          </w:p>
        </w:tc>
        <w:tc>
          <w:tcPr>
            <w:tcW w:type="dxa" w:w="2948"/>
            <w:vAlign w:val="center"/>
            <w:tcMar>
              <w:top w:w="75" w:type="dxa"/>
              <w:bottom w:w="75" w:type="dxa"/>
              <w:left w:w="90" w:type="dxa"/>
              <w:right w:w="90" w:type="dxa"/>
            </w:tcMar>
            <w:shd w:fill="F2F5F8"/>
          </w:tcPr>
          <w:p>
            <w:pPr>
              <w:spacing w:after="20" w:line="245" w:lineRule="auto"/>
            </w:pPr>
            <w:r>
              <w:rPr>
                <w:sz w:val="18"/>
              </w:rPr>
              <w:t>Finanzas</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Beneficiarios</w:t>
            </w:r>
          </w:p>
        </w:tc>
        <w:tc>
          <w:tcPr>
            <w:tcW w:type="dxa" w:w="4880"/>
            <w:vAlign w:val="center"/>
            <w:tcMar>
              <w:top w:w="75" w:type="dxa"/>
              <w:bottom w:w="75" w:type="dxa"/>
              <w:left w:w="90" w:type="dxa"/>
              <w:right w:w="90" w:type="dxa"/>
            </w:tcMar>
            <w:shd w:fill="FFFFFF"/>
          </w:tcPr>
          <w:p>
            <w:pPr>
              <w:spacing w:after="20" w:line="245" w:lineRule="auto"/>
            </w:pPr>
            <w:r>
              <w:rPr>
                <w:sz w:val="18"/>
              </w:rPr>
              <w:t>Personas únicas atendidas en el periodo por alcance definido</w:t>
            </w:r>
          </w:p>
        </w:tc>
        <w:tc>
          <w:tcPr>
            <w:tcW w:type="dxa" w:w="2948"/>
            <w:vAlign w:val="center"/>
            <w:tcMar>
              <w:top w:w="75" w:type="dxa"/>
              <w:bottom w:w="75" w:type="dxa"/>
              <w:left w:w="90" w:type="dxa"/>
              <w:right w:w="90" w:type="dxa"/>
            </w:tcMar>
            <w:shd w:fill="FFFFFF"/>
          </w:tcPr>
          <w:p>
            <w:pPr>
              <w:spacing w:after="20" w:line="245" w:lineRule="auto"/>
            </w:pPr>
            <w:r>
              <w:rPr>
                <w:sz w:val="18"/>
              </w:rPr>
              <w:t>Dirección</w:t>
            </w:r>
          </w:p>
        </w:tc>
      </w:tr>
    </w:tbl>
    <w:p>
      <w:pPr>
        <w:spacing w:after="20"/>
      </w:pPr>
    </w:p>
    <w:p>
      <w:r>
        <w:t>Separar beneficiarios, atenciones y sesiones. Segmentar por sede y servicio, y excluir cancelaciones según la definición aprobada. Los objetivos se fijarán después de medir la línea base; no se inventan cifras de impacto institucional.</w:t>
      </w:r>
    </w:p>
    <w:p>
      <w:pPr>
        <w:pStyle w:val="Heading3"/>
      </w:pPr>
      <w:r>
        <w:t>Presupuesto de trabajo</w:t>
      </w:r>
    </w:p>
    <w:p>
      <w:r>
        <w:t>Capacidad propuesta: 295 horas de Gonzalo más 59 de reserva, total 354, con programación asistida por Codex. Sustituye la estimación de 1368 horas de la versión 2.0. C24 desglosa actividades y tiempo institucional separado. Cotizar aparte asesoría especializada, evaluación de conformidad, trámites, adecuaciones y captura histórica masiva.</w:t>
      </w:r>
    </w:p>
    <w:p>
      <w:r>
        <w:t>Costos recurrentes por cotizar: servidor dedicado o capacidad reservada, almacenamiento y respaldos externos, mensajería, correo transaccional, dominio si hace falta, monitoreo, PAC y comisiones de cobro. Añadir soporte y mantenimiento. No asumir que el VPS existente tiene capacidad o controles suficientes antes de evaluarlo.</w:t>
      </w:r>
    </w:p>
    <w:p>
      <w:pPr>
        <w:pStyle w:val="Heading3"/>
      </w:pPr>
      <w:r>
        <w:t>Decisiones institucionales necesarias</w:t>
      </w:r>
    </w:p>
    <w:p>
      <w:pPr>
        <w:ind w:left="173" w:hanging="173"/>
      </w:pPr>
      <w:r>
        <w:t>• Confirmar sedes iniciales y si jurídico y ESMODELO operarán dentro de la plataforma.</w:t>
      </w:r>
    </w:p>
    <w:p>
      <w:pPr>
        <w:ind w:left="173" w:hanging="173"/>
      </w:pPr>
      <w:r>
        <w:t>• Designar dueño del producto, responsables de cada unidad y suplentes.</w:t>
      </w:r>
    </w:p>
    <w:p>
      <w:pPr>
        <w:ind w:left="173" w:hanging="173"/>
      </w:pPr>
      <w:r>
        <w:t>• Definir supervisión, firma, conservación y acceso a documentos por modalidad de atención.</w:t>
      </w:r>
    </w:p>
    <w:p>
      <w:pPr>
        <w:ind w:left="173" w:hanging="173"/>
      </w:pPr>
      <w:r>
        <w:t>• Confirmar tarifarios, facturación, convenios, proveedores e integración escolar.</w:t>
      </w:r>
    </w:p>
    <w:p>
      <w:pPr>
        <w:ind w:left="173" w:hanging="173"/>
      </w:pPr>
      <w:r>
        <w:t>• Asignar tiempo de usuarios para validar y recursos para soporte después del arranque.</w:t>
      </w:r>
    </w:p>
    <w:p>
      <w:pPr>
        <w:pStyle w:val="Heading3"/>
      </w:pPr>
      <w:r>
        <w:t>Revisión normativa del diseño</w:t>
      </w:r>
    </w:p>
    <w:p>
      <w:r>
        <w:t>C01 a C20 conservan las obligaciones, evidencias y pruebas. C17 y C21 a C26 coordinan el trabajo simultáneo; C18 mantiene los criterios de autorización. La aceleración del código no reduce los requisitos sanitarios, jurídicos ni de seguridad para operar.</w:t>
      </w:r>
    </w:p>
    <w:p>
      <w:r>
        <w:br w:type="page"/>
      </w:r>
    </w:p>
    <w:p>
      <w:pPr>
        <w:pStyle w:val="Heading1"/>
      </w:pPr>
      <w:r>
        <w:t>Identidad visual y landing page</w:t>
      </w:r>
    </w:p>
    <w:p>
      <w:r>
        <w:t>La referencia solicitada es www.modelo.edu.mx. En la consulta directa se recuperó una portada institucional con escudo y recursos CSS. El buscador mostró contenido discordante; no se utilizó ese contenido como referencia de marca ni se infiere de ello un diagnóstico técnico del dominio.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4880"/>
        <w:gridCol w:w="2948"/>
      </w:tblGrid>
      <w:tr>
        <w:trPr>
          <w:cantSplit/>
          <w:tblHeader/>
        </w:trPr>
        <w:tc>
          <w:tcPr>
            <w:tcW w:type="dxa" w:w="2338"/>
            <w:vAlign w:val="center"/>
            <w:tcMar>
              <w:top w:w="75" w:type="dxa"/>
              <w:bottom w:w="75" w:type="dxa"/>
              <w:left w:w="90" w:type="dxa"/>
              <w:right w:w="90" w:type="dxa"/>
            </w:tcMar>
            <w:shd w:fill="052148"/>
          </w:tcPr>
          <w:p>
            <w:pPr>
              <w:spacing w:after="20" w:line="245" w:lineRule="auto"/>
            </w:pPr>
            <w:r>
              <w:rPr>
                <w:b/>
                <w:color w:val="FFFFFF"/>
                <w:sz w:val="18"/>
              </w:rPr>
              <w:t>Elemento</w:t>
            </w:r>
          </w:p>
        </w:tc>
        <w:tc>
          <w:tcPr>
            <w:tcW w:type="dxa" w:w="4880"/>
            <w:vAlign w:val="center"/>
            <w:tcMar>
              <w:top w:w="75" w:type="dxa"/>
              <w:bottom w:w="75" w:type="dxa"/>
              <w:left w:w="90" w:type="dxa"/>
              <w:right w:w="90" w:type="dxa"/>
            </w:tcMar>
            <w:shd w:fill="052148"/>
          </w:tcPr>
          <w:p>
            <w:pPr>
              <w:spacing w:after="20" w:line="245" w:lineRule="auto"/>
            </w:pPr>
            <w:r>
              <w:rPr>
                <w:b/>
                <w:color w:val="FFFFFF"/>
                <w:sz w:val="18"/>
              </w:rPr>
              <w:t>Valor observado en CSS</w:t>
            </w:r>
          </w:p>
        </w:tc>
        <w:tc>
          <w:tcPr>
            <w:tcW w:type="dxa" w:w="2948"/>
            <w:vAlign w:val="center"/>
            <w:tcMar>
              <w:top w:w="75" w:type="dxa"/>
              <w:bottom w:w="75" w:type="dxa"/>
              <w:left w:w="90" w:type="dxa"/>
              <w:right w:w="90" w:type="dxa"/>
            </w:tcMar>
            <w:shd w:fill="052148"/>
          </w:tcPr>
          <w:p>
            <w:pPr>
              <w:spacing w:after="20" w:line="245" w:lineRule="auto"/>
            </w:pPr>
            <w:r>
              <w:rPr>
                <w:b/>
                <w:color w:val="FFFFFF"/>
                <w:sz w:val="18"/>
              </w:rPr>
              <w:t>Uso propuesto</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Azul</w:t>
            </w:r>
          </w:p>
        </w:tc>
        <w:tc>
          <w:tcPr>
            <w:tcW w:type="dxa" w:w="4880"/>
            <w:vAlign w:val="center"/>
            <w:tcMar>
              <w:top w:w="75" w:type="dxa"/>
              <w:bottom w:w="75" w:type="dxa"/>
              <w:left w:w="90" w:type="dxa"/>
              <w:right w:w="90" w:type="dxa"/>
            </w:tcMar>
            <w:shd w:fill="FFFFFF"/>
          </w:tcPr>
          <w:p>
            <w:pPr>
              <w:spacing w:after="20" w:line="245" w:lineRule="auto"/>
            </w:pPr>
            <w:r>
              <w:rPr>
                <w:sz w:val="18"/>
              </w:rPr>
              <w:t>#052148</w:t>
            </w:r>
          </w:p>
        </w:tc>
        <w:tc>
          <w:tcPr>
            <w:tcW w:type="dxa" w:w="2948"/>
            <w:vAlign w:val="center"/>
            <w:tcMar>
              <w:top w:w="75" w:type="dxa"/>
              <w:bottom w:w="75" w:type="dxa"/>
              <w:left w:w="90" w:type="dxa"/>
              <w:right w:w="90" w:type="dxa"/>
            </w:tcMar>
            <w:shd w:fill="FFFFFF"/>
          </w:tcPr>
          <w:p>
            <w:pPr>
              <w:spacing w:after="20" w:line="245" w:lineRule="auto"/>
            </w:pPr>
            <w:r>
              <w:rPr>
                <w:sz w:val="18"/>
              </w:rPr>
              <w:t>Encabezados, navegación y botón principal</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Acento</w:t>
            </w:r>
          </w:p>
        </w:tc>
        <w:tc>
          <w:tcPr>
            <w:tcW w:type="dxa" w:w="4880"/>
            <w:vAlign w:val="center"/>
            <w:tcMar>
              <w:top w:w="75" w:type="dxa"/>
              <w:bottom w:w="75" w:type="dxa"/>
              <w:left w:w="90" w:type="dxa"/>
              <w:right w:w="90" w:type="dxa"/>
            </w:tcMar>
            <w:shd w:fill="F2F5F8"/>
          </w:tcPr>
          <w:p>
            <w:pPr>
              <w:spacing w:after="20" w:line="245" w:lineRule="auto"/>
            </w:pPr>
            <w:r>
              <w:rPr>
                <w:sz w:val="18"/>
              </w:rPr>
              <w:t>#39B9D6</w:t>
            </w:r>
          </w:p>
        </w:tc>
        <w:tc>
          <w:tcPr>
            <w:tcW w:type="dxa" w:w="2948"/>
            <w:vAlign w:val="center"/>
            <w:tcMar>
              <w:top w:w="75" w:type="dxa"/>
              <w:bottom w:w="75" w:type="dxa"/>
              <w:left w:w="90" w:type="dxa"/>
              <w:right w:w="90" w:type="dxa"/>
            </w:tcMar>
            <w:shd w:fill="F2F5F8"/>
          </w:tcPr>
          <w:p>
            <w:pPr>
              <w:spacing w:after="20" w:line="245" w:lineRule="auto"/>
            </w:pPr>
            <w:r>
              <w:rPr>
                <w:sz w:val="18"/>
              </w:rPr>
              <w:t>Detalles, iconos y superficies de apoyo</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Fondo</w:t>
            </w:r>
          </w:p>
        </w:tc>
        <w:tc>
          <w:tcPr>
            <w:tcW w:type="dxa" w:w="4880"/>
            <w:vAlign w:val="center"/>
            <w:tcMar>
              <w:top w:w="75" w:type="dxa"/>
              <w:bottom w:w="75" w:type="dxa"/>
              <w:left w:w="90" w:type="dxa"/>
              <w:right w:w="90" w:type="dxa"/>
            </w:tcMar>
            <w:shd w:fill="FFFFFF"/>
          </w:tcPr>
          <w:p>
            <w:pPr>
              <w:spacing w:after="20" w:line="245" w:lineRule="auto"/>
            </w:pPr>
            <w:r>
              <w:rPr>
                <w:sz w:val="18"/>
              </w:rPr>
              <w:t>#F1F1F1</w:t>
            </w:r>
          </w:p>
        </w:tc>
        <w:tc>
          <w:tcPr>
            <w:tcW w:type="dxa" w:w="2948"/>
            <w:vAlign w:val="center"/>
            <w:tcMar>
              <w:top w:w="75" w:type="dxa"/>
              <w:bottom w:w="75" w:type="dxa"/>
              <w:left w:w="90" w:type="dxa"/>
              <w:right w:w="90" w:type="dxa"/>
            </w:tcMar>
            <w:shd w:fill="FFFFFF"/>
          </w:tcPr>
          <w:p>
            <w:pPr>
              <w:spacing w:after="20" w:line="245" w:lineRule="auto"/>
            </w:pPr>
            <w:r>
              <w:rPr>
                <w:sz w:val="18"/>
              </w:rPr>
              <w:t>Fondo secundario y divisiones</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Blanco</w:t>
            </w:r>
          </w:p>
        </w:tc>
        <w:tc>
          <w:tcPr>
            <w:tcW w:type="dxa" w:w="4880"/>
            <w:vAlign w:val="center"/>
            <w:tcMar>
              <w:top w:w="75" w:type="dxa"/>
              <w:bottom w:w="75" w:type="dxa"/>
              <w:left w:w="90" w:type="dxa"/>
              <w:right w:w="90" w:type="dxa"/>
            </w:tcMar>
            <w:shd w:fill="F2F5F8"/>
          </w:tcPr>
          <w:p>
            <w:pPr>
              <w:spacing w:after="20" w:line="245" w:lineRule="auto"/>
            </w:pPr>
            <w:r>
              <w:rPr>
                <w:sz w:val="18"/>
              </w:rPr>
              <w:t>#FFFFFF</w:t>
            </w:r>
          </w:p>
        </w:tc>
        <w:tc>
          <w:tcPr>
            <w:tcW w:type="dxa" w:w="2948"/>
            <w:vAlign w:val="center"/>
            <w:tcMar>
              <w:top w:w="75" w:type="dxa"/>
              <w:bottom w:w="75" w:type="dxa"/>
              <w:left w:w="90" w:type="dxa"/>
              <w:right w:w="90" w:type="dxa"/>
            </w:tcMar>
            <w:shd w:fill="F2F5F8"/>
          </w:tcPr>
          <w:p>
            <w:pPr>
              <w:spacing w:after="20" w:line="245" w:lineRule="auto"/>
            </w:pPr>
            <w:r>
              <w:rPr>
                <w:sz w:val="18"/>
              </w:rPr>
              <w:t>Superficies y texto sobre azul</w:t>
            </w:r>
          </w:p>
        </w:tc>
      </w:tr>
      <w:tr>
        <w:trPr>
          <w:cantSplit/>
        </w:trPr>
        <w:tc>
          <w:tcPr>
            <w:tcW w:type="dxa" w:w="2338"/>
            <w:vAlign w:val="center"/>
            <w:tcMar>
              <w:top w:w="75" w:type="dxa"/>
              <w:bottom w:w="75" w:type="dxa"/>
              <w:left w:w="90" w:type="dxa"/>
              <w:right w:w="90" w:type="dxa"/>
            </w:tcMar>
            <w:shd w:fill="FFFFFF"/>
          </w:tcPr>
          <w:p>
            <w:pPr>
              <w:spacing w:after="20" w:line="245" w:lineRule="auto"/>
            </w:pPr>
            <w:r>
              <w:rPr>
                <w:sz w:val="18"/>
              </w:rPr>
              <w:t>Texto</w:t>
            </w:r>
          </w:p>
        </w:tc>
        <w:tc>
          <w:tcPr>
            <w:tcW w:type="dxa" w:w="4880"/>
            <w:vAlign w:val="center"/>
            <w:tcMar>
              <w:top w:w="75" w:type="dxa"/>
              <w:bottom w:w="75" w:type="dxa"/>
              <w:left w:w="90" w:type="dxa"/>
              <w:right w:w="90" w:type="dxa"/>
            </w:tcMar>
            <w:shd w:fill="FFFFFF"/>
          </w:tcPr>
          <w:p>
            <w:pPr>
              <w:spacing w:after="20" w:line="245" w:lineRule="auto"/>
            </w:pPr>
            <w:r>
              <w:rPr>
                <w:sz w:val="18"/>
              </w:rPr>
              <w:t>#333333 y #444444</w:t>
            </w:r>
          </w:p>
        </w:tc>
        <w:tc>
          <w:tcPr>
            <w:tcW w:type="dxa" w:w="2948"/>
            <w:vAlign w:val="center"/>
            <w:tcMar>
              <w:top w:w="75" w:type="dxa"/>
              <w:bottom w:w="75" w:type="dxa"/>
              <w:left w:w="90" w:type="dxa"/>
              <w:right w:w="90" w:type="dxa"/>
            </w:tcMar>
            <w:shd w:fill="FFFFFF"/>
          </w:tcPr>
          <w:p>
            <w:pPr>
              <w:spacing w:after="20" w:line="245" w:lineRule="auto"/>
            </w:pPr>
            <w:r>
              <w:rPr>
                <w:sz w:val="18"/>
              </w:rPr>
              <w:t>Cuerpo y texto secundario</w:t>
            </w:r>
          </w:p>
        </w:tc>
      </w:tr>
      <w:tr>
        <w:trPr>
          <w:cantSplit/>
        </w:trPr>
        <w:tc>
          <w:tcPr>
            <w:tcW w:type="dxa" w:w="2338"/>
            <w:vAlign w:val="center"/>
            <w:tcMar>
              <w:top w:w="75" w:type="dxa"/>
              <w:bottom w:w="75" w:type="dxa"/>
              <w:left w:w="90" w:type="dxa"/>
              <w:right w:w="90" w:type="dxa"/>
            </w:tcMar>
            <w:shd w:fill="F2F5F8"/>
          </w:tcPr>
          <w:p>
            <w:pPr>
              <w:spacing w:after="20" w:line="245" w:lineRule="auto"/>
            </w:pPr>
            <w:r>
              <w:rPr>
                <w:sz w:val="18"/>
              </w:rPr>
              <w:t>Tipografía</w:t>
            </w:r>
          </w:p>
        </w:tc>
        <w:tc>
          <w:tcPr>
            <w:tcW w:type="dxa" w:w="4880"/>
            <w:vAlign w:val="center"/>
            <w:tcMar>
              <w:top w:w="75" w:type="dxa"/>
              <w:bottom w:w="75" w:type="dxa"/>
              <w:left w:w="90" w:type="dxa"/>
              <w:right w:w="90" w:type="dxa"/>
            </w:tcMar>
            <w:shd w:fill="F2F5F8"/>
          </w:tcPr>
          <w:p>
            <w:pPr>
              <w:spacing w:after="20" w:line="245" w:lineRule="auto"/>
            </w:pPr>
            <w:r>
              <w:rPr>
                <w:sz w:val="18"/>
              </w:rPr>
              <w:t>Futura y Arial</w:t>
            </w:r>
          </w:p>
        </w:tc>
        <w:tc>
          <w:tcPr>
            <w:tcW w:type="dxa" w:w="2948"/>
            <w:vAlign w:val="center"/>
            <w:tcMar>
              <w:top w:w="75" w:type="dxa"/>
              <w:bottom w:w="75" w:type="dxa"/>
              <w:left w:w="90" w:type="dxa"/>
              <w:right w:w="90" w:type="dxa"/>
            </w:tcMar>
            <w:shd w:fill="F2F5F8"/>
          </w:tcPr>
          <w:p>
            <w:pPr>
              <w:spacing w:after="20" w:line="245" w:lineRule="auto"/>
            </w:pPr>
            <w:r>
              <w:rPr>
                <w:sz w:val="18"/>
              </w:rPr>
              <w:t>Títulos geométricos y cuerpo legible</w:t>
            </w:r>
          </w:p>
        </w:tc>
      </w:tr>
    </w:tbl>
    <w:p>
      <w:pPr>
        <w:spacing w:after="20"/>
      </w:pPr>
    </w:p>
    <w:p>
      <w:r>
        <w:t>Estos son valores del recurso web recuperado, no un manual de marca certificado. Futura requiere comprobar licencia antes de distribuir su archivo; la propuesta CSS usa fuentes locales y alternativas. El escudo final debe provenir del archivo institucional aprobado.</w:t>
      </w:r>
    </w:p>
    <w:p>
      <w:pPr>
        <w:pStyle w:val="Heading3"/>
      </w:pPr>
      <w:r>
        <w:t>Composición propuesta</w:t>
      </w:r>
    </w:p>
    <w:p>
      <w:r>
        <w:t>Una barra superior azul identifica la Escuela de Salud. El encabezado blanco contiene marca, Servicios, Cómo agendar, Sedes y Contacto, con acceso separado para pacientes y personal. El bloque principal presenta Tu salud en un mismo lugar, una breve explicación y los botones Solicitar cita y Conocer servicios.</w:t>
      </w:r>
    </w:p>
    <w:p>
      <w:r>
        <w:t>La sección de servicios muestra odontología, fisioterapia, nutrición, psicología, ciencias del deporte y atención comunitaria. Cada tarjeta remite al catálogo de la sede; una sección adicional presenta servicios para organizaciones y orientación jurídica cuando se confirme el alcance.</w:t>
      </w:r>
    </w:p>
    <w:p>
      <w:r>
        <w:t>El recorrido explica elegir servicio, solicitar horario y recibir confirmación. El pie contiene sede, contacto institucional y privacidad. No se publican tarifas, testimonios, disponibilidad ni cifras sin validación. Las imágenes clínicas del concepto son ilustrativas y no prueban que representen instalaciones o personal reales.</w:t>
      </w:r>
    </w:p>
    <w:p>
      <w:pPr>
        <w:pStyle w:val="Heading3"/>
      </w:pPr>
      <w:r>
        <w:t>Criterios de interfaz</w:t>
      </w:r>
    </w:p>
    <w:p>
      <w:r>
        <w:t>Diseño adaptable desde 360 píxeles, texto base de 16 píxeles o mayor, objetivos táctiles cómodos y estados de foco visibles. Usar azul oscuro sobre blanco y reservar el cian para acentos o fondos con texto oscuro; comprobar contraste antes de aprobar componentes. No depender únicamente del color para errores o estados.</w:t>
      </w:r>
    </w:p>
    <w:p>
      <w:r>
        <w:t>Se entrega un archivo CSS con variables de la referencia y reglas base propuestas, además de la imagen conceptual de landing. La imagen orienta la construcción; no es una aplicación funcional ni demuestra accesibilidad, permisos o integración de agenda.</w:t>
      </w:r>
    </w:p>
    <w:p>
      <w:r>
        <w:br w:type="page"/>
      </w:r>
    </w:p>
    <w:p>
      <w:pPr>
        <w:pStyle w:val="Heading1"/>
      </w:pPr>
      <w:r>
        <w:t>Fuentes y preparación de la primera reunión</w:t>
      </w:r>
    </w:p>
    <w:p>
      <w:r>
        <w:t>Fuentes consultadas el 23 de septiembre de 2026. Las páginas de servicios fundamentan el inventario inicial; la operación real y los horarios deben validarse con cada responsable. Las recomendaciones de arquitectura, alcance, plazos e indicadores son propuestas de este documento.</w:t>
      </w:r>
    </w:p>
    <w:p>
      <w:pPr>
        <w:pStyle w:val="Heading3"/>
      </w:pPr>
      <w:r>
        <w:t>Identidad y servicios institucionales</w:t>
      </w:r>
    </w:p>
    <w:p>
      <w:pPr>
        <w:ind w:left="173" w:hanging="173"/>
      </w:pPr>
      <w:r>
        <w:t>• Referencia visual: https://www.modelo.edu.mx/</w:t>
      </w:r>
    </w:p>
    <w:p>
      <w:pPr>
        <w:ind w:left="173" w:hanging="173"/>
      </w:pPr>
      <w:r>
        <w:t>• CSS recuperado: https://www.modelo.edu.mx/css/style.css</w:t>
      </w:r>
    </w:p>
    <w:p>
      <w:pPr>
        <w:ind w:left="173" w:hanging="173"/>
      </w:pPr>
      <w:r>
        <w:t>• Escudo recuperado: https://www.modelo.edu.mx/images/logo.png</w:t>
      </w:r>
    </w:p>
    <w:p>
      <w:pPr>
        <w:ind w:left="173" w:hanging="173"/>
      </w:pPr>
      <w:r>
        <w:t>• Directorio general: https://www.unimodelo.edu.mx/servicios</w:t>
      </w:r>
    </w:p>
    <w:p>
      <w:pPr>
        <w:ind w:left="173" w:hanging="173"/>
      </w:pPr>
      <w:r>
        <w:t>• Odontología: https://www.unimodelo.edu.mx/merida/servicios/clinica-dental</w:t>
      </w:r>
    </w:p>
    <w:p>
      <w:pPr>
        <w:ind w:left="173" w:hanging="173"/>
      </w:pPr>
      <w:r>
        <w:t>• Fisioterapia: https://www.unimodelo.edu.mx/merida/servicios/clinica-fisioterapia</w:t>
      </w:r>
    </w:p>
    <w:p>
      <w:pPr>
        <w:ind w:left="173" w:hanging="173"/>
      </w:pPr>
      <w:r>
        <w:t>• Servicios comunitarios: https://www.unimodelo.edu.mx/merida/servicios/casita</w:t>
      </w:r>
    </w:p>
    <w:p>
      <w:pPr>
        <w:ind w:left="173" w:hanging="173"/>
      </w:pPr>
      <w:r>
        <w:t>• Deporte: https://www.unimodelo.edu.mx/merida/servicios/laboratorio-ciencias-deporte</w:t>
      </w:r>
    </w:p>
    <w:p>
      <w:pPr>
        <w:ind w:left="173" w:hanging="173"/>
      </w:pPr>
      <w:r>
        <w:t>• Directorio complementario: https://ingenieria.eium.com.mx/servicioseium/</w:t>
      </w:r>
    </w:p>
    <w:p>
      <w:pPr>
        <w:pStyle w:val="Heading3"/>
      </w:pPr>
      <w:r>
        <w:t>Fuentes oficiales para revisar requisitos</w:t>
      </w:r>
    </w:p>
    <w:p>
      <w:pPr>
        <w:ind w:left="173" w:hanging="173"/>
      </w:pPr>
      <w:r>
        <w:t>• Ley Federal de Protección de Datos Personales en Posesión de los Particulares, texto de Cámara de Diputados: https://www.diputados.gob.mx/LeyesBiblio/pdf/LFPDPPP.pdf</w:t>
      </w:r>
    </w:p>
    <w:p>
      <w:pPr>
        <w:ind w:left="173" w:hanging="173"/>
      </w:pPr>
      <w:r>
        <w:t>• NOM 004 SSA3 2012 del expediente clínico: https://sidof.segob.gob.mx/notas/5272787</w:t>
      </w:r>
    </w:p>
    <w:p>
      <w:pPr>
        <w:ind w:left="173" w:hanging="173"/>
      </w:pPr>
      <w:r>
        <w:t>• NOM 024 SSA3 2012 sobre sistemas de información de registro electrónico para la salud: https://platiica.economia.gob.mx/normalizacion/nom-024-ssa3-2012/</w:t>
      </w:r>
    </w:p>
    <w:p>
      <w:pPr>
        <w:pStyle w:val="Heading3"/>
      </w:pPr>
      <w:r>
        <w:t>Material que debe llevar cada responsable</w:t>
      </w:r>
    </w:p>
    <w:p>
      <w:r>
        <w:t>Catálogo real de servicios; horarios; organigrama operativo; formatos vacíos; un caso anonimizado y sus excepciones; tarifas vigentes; registros y sistemas utilizados; volumen aproximado; problemas frecuentes y tres prioridades. El área de TI aportará inventario de infraestructura e integraciones; Finanzas, reglas de cobro y conciliación.</w:t>
      </w:r>
    </w:p>
    <w:p>
      <w:pPr>
        <w:pStyle w:val="Heading3"/>
      </w:pPr>
      <w:r>
        <w:t>Acuerdos que deben salir de la reunión</w:t>
      </w:r>
    </w:p>
    <w:p>
      <w:r>
        <w:t>Confirmar Mérida y La Casita, responsables y suplentes el 1 y 2 de octubre; reservar validaciones hasta el 15 de diciembre; habilitar evidencias; recibir formatos al 7 de octubre; asignar dueño y fecha a decisiones y dependencias. C21 a C27 contienen calendario y automatización vigentes.</w:t>
      </w:r>
    </w:p>
    <w:p>
      <w:r>
        <w:t>Registro de acuerdos sugerido: código, decisión, evidencia, responsable, fecha compromiso, impacto en alcance y estado. El documento de procesos y la lista de requisitos deberán permanecer vinculados para que un cambio operativo pueda rastrearse hasta la pantalla, la regla y la prueba correspondiente.</w:t>
      </w:r>
    </w:p>
    <w:p>
      <w:r>
        <w:br w:type="page"/>
      </w:r>
    </w:p>
    <w:p>
      <w:pPr>
        <w:pStyle w:val="Heading1"/>
      </w:pPr>
      <w:r>
        <w:t>C01 Alcance del cumplimiento integral</w:t>
      </w:r>
    </w:p>
    <w:p>
      <w:r>
        <w:t>Esta ampliación incorpora el cumplimiento normativo al levantamiento, al diseño del sistema y a la autorización de cada servicio. Forma parte del plan de trabajo y complementa sus 120 preguntas originales. La institución deberá validar la matriz con sus responsables sanitario, jurídico, académico, de seguridad y de tecnologías antes de liberar módulos clínicos.</w:t>
      </w:r>
    </w:p>
    <w:p>
      <w:r>
        <w:t>Fecha de corte de la consulta documental: 23 de septiembre de 2026. Se revisaron fuentes oficiales de la Secretaría de Economía, DOF, Secretaría de Salud, COFEPRIS, STPS, Cámara de Diputados y Gobierno de Yucatán. Las fichas del catálogo permiten identificar la norma; su texto publicado, modificaciones y transitorios determinan la obligación.</w:t>
      </w:r>
    </w:p>
    <w:p>
      <w:pPr>
        <w:pStyle w:val="Heading3"/>
      </w:pPr>
      <w:r>
        <w:t>Cómo interpretar la matriz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Clasificación</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Significado</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Decisión requerida</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B base del servicio</w:t>
            </w:r>
          </w:p>
        </w:tc>
        <w:tc>
          <w:tcPr>
            <w:tcW w:type="dxa" w:w="4067"/>
            <w:vAlign w:val="center"/>
            <w:tcMar>
              <w:top w:w="85" w:type="dxa"/>
              <w:bottom w:w="85" w:type="dxa"/>
              <w:left w:w="85" w:type="dxa"/>
              <w:right w:w="85" w:type="dxa"/>
            </w:tcMar>
            <w:shd w:fill="FFFFFF"/>
          </w:tcPr>
          <w:p>
            <w:pPr>
              <w:spacing w:after="40" w:line="247" w:lineRule="auto"/>
            </w:pPr>
            <w:r>
              <w:rPr>
                <w:sz w:val="18"/>
              </w:rPr>
              <w:t>La actividad descrita encuadra inicialmente en la norma</w:t>
            </w:r>
          </w:p>
        </w:tc>
        <w:tc>
          <w:tcPr>
            <w:tcW w:type="dxa" w:w="3457"/>
            <w:vAlign w:val="center"/>
            <w:tcMar>
              <w:top w:w="85" w:type="dxa"/>
              <w:bottom w:w="85" w:type="dxa"/>
              <w:left w:w="85" w:type="dxa"/>
              <w:right w:w="85" w:type="dxa"/>
            </w:tcMar>
            <w:shd w:fill="FFFFFF"/>
          </w:tcPr>
          <w:p>
            <w:pPr>
              <w:spacing w:after="40" w:line="247" w:lineRule="auto"/>
            </w:pPr>
            <w:r>
              <w:rPr>
                <w:sz w:val="18"/>
              </w:rPr>
              <w:t>Confirmar sede, modalidad y numerales aplicables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C condicionada</w:t>
            </w:r>
          </w:p>
        </w:tc>
        <w:tc>
          <w:tcPr>
            <w:tcW w:type="dxa" w:w="4067"/>
            <w:vAlign w:val="center"/>
            <w:tcMar>
              <w:top w:w="85" w:type="dxa"/>
              <w:bottom w:w="85" w:type="dxa"/>
              <w:left w:w="85" w:type="dxa"/>
              <w:right w:w="85" w:type="dxa"/>
            </w:tcMar>
            <w:shd w:fill="F2F5F8"/>
          </w:tcPr>
          <w:p>
            <w:pPr>
              <w:spacing w:after="40" w:line="247" w:lineRule="auto"/>
            </w:pPr>
            <w:r>
              <w:rPr>
                <w:sz w:val="18"/>
              </w:rPr>
              <w:t>La obligación depende de equipo, procedimiento, población o modalidad</w:t>
            </w:r>
          </w:p>
        </w:tc>
        <w:tc>
          <w:tcPr>
            <w:tcW w:type="dxa" w:w="3457"/>
            <w:vAlign w:val="center"/>
            <w:tcMar>
              <w:top w:w="85" w:type="dxa"/>
              <w:bottom w:w="85" w:type="dxa"/>
              <w:left w:w="85" w:type="dxa"/>
              <w:right w:w="85" w:type="dxa"/>
            </w:tcMar>
            <w:shd w:fill="F2F5F8"/>
          </w:tcPr>
          <w:p>
            <w:pPr>
              <w:spacing w:after="40" w:line="247" w:lineRule="auto"/>
            </w:pPr>
            <w:r>
              <w:rPr>
                <w:sz w:val="18"/>
              </w:rPr>
              <w:t>Comprobar si se activa el supuesto y documentar la conclusión</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T transversal</w:t>
            </w:r>
          </w:p>
        </w:tc>
        <w:tc>
          <w:tcPr>
            <w:tcW w:type="dxa" w:w="4067"/>
            <w:vAlign w:val="center"/>
            <w:tcMar>
              <w:top w:w="85" w:type="dxa"/>
              <w:bottom w:w="85" w:type="dxa"/>
              <w:left w:w="85" w:type="dxa"/>
              <w:right w:w="85" w:type="dxa"/>
            </w:tcMar>
            <w:shd w:fill="FFFFFF"/>
          </w:tcPr>
          <w:p>
            <w:pPr>
              <w:spacing w:after="40" w:line="247" w:lineRule="auto"/>
            </w:pPr>
            <w:r>
              <w:rPr>
                <w:sz w:val="18"/>
              </w:rPr>
              <w:t>Afecta a varias unidades o al establecimiento como conjunto</w:t>
            </w:r>
          </w:p>
        </w:tc>
        <w:tc>
          <w:tcPr>
            <w:tcW w:type="dxa" w:w="3457"/>
            <w:vAlign w:val="center"/>
            <w:tcMar>
              <w:top w:w="85" w:type="dxa"/>
              <w:bottom w:w="85" w:type="dxa"/>
              <w:left w:w="85" w:type="dxa"/>
              <w:right w:w="85" w:type="dxa"/>
            </w:tcMar>
            <w:shd w:fill="FFFFFF"/>
          </w:tcPr>
          <w:p>
            <w:pPr>
              <w:spacing w:after="40" w:line="247" w:lineRule="auto"/>
            </w:pPr>
            <w:r>
              <w:rPr>
                <w:sz w:val="18"/>
              </w:rPr>
              <w:t>Asignar dueño institucional y evidencia por sede</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P propuesta de control</w:t>
            </w:r>
          </w:p>
        </w:tc>
        <w:tc>
          <w:tcPr>
            <w:tcW w:type="dxa" w:w="4067"/>
            <w:vAlign w:val="center"/>
            <w:tcMar>
              <w:top w:w="85" w:type="dxa"/>
              <w:bottom w:w="85" w:type="dxa"/>
              <w:left w:w="85" w:type="dxa"/>
              <w:right w:w="85" w:type="dxa"/>
            </w:tcMar>
            <w:shd w:fill="F2F5F8"/>
          </w:tcPr>
          <w:p>
            <w:pPr>
              <w:spacing w:after="40" w:line="247" w:lineRule="auto"/>
            </w:pPr>
            <w:r>
              <w:rPr>
                <w:sz w:val="18"/>
              </w:rPr>
              <w:t>Diseño operativo o informático sugerido para acreditar cumplimiento</w:t>
            </w:r>
          </w:p>
        </w:tc>
        <w:tc>
          <w:tcPr>
            <w:tcW w:type="dxa" w:w="3457"/>
            <w:vAlign w:val="center"/>
            <w:tcMar>
              <w:top w:w="85" w:type="dxa"/>
              <w:bottom w:w="85" w:type="dxa"/>
              <w:left w:w="85" w:type="dxa"/>
              <w:right w:w="85" w:type="dxa"/>
            </w:tcMar>
            <w:shd w:fill="F2F5F8"/>
          </w:tcPr>
          <w:p>
            <w:pPr>
              <w:spacing w:after="40" w:line="247" w:lineRule="auto"/>
            </w:pPr>
            <w:r>
              <w:rPr>
                <w:sz w:val="18"/>
              </w:rPr>
              <w:t>Aprobar su implementación y periodicidad</w:t>
            </w:r>
          </w:p>
        </w:tc>
      </w:tr>
    </w:tbl>
    <w:p>
      <w:pPr>
        <w:spacing w:after="20"/>
      </w:pPr>
    </w:p>
    <w:p>
      <w:r>
        <w:t>Vigente no significa aplicable a todos los servicios. Tampoco significa que la institución ya cumple. Cada obligación comenzará con estado «pendiente de evaluar», separado de «no aplica justificado», «cumple», «parcial» o «incumplimiento comprobado». Un proyecto de NOM o un tema de un programa de normalización no sustituye por sí solo una norma vigente.</w:t>
      </w:r>
    </w:p>
    <w:p>
      <w:pPr>
        <w:pStyle w:val="Heading3"/>
      </w:pPr>
      <w:r>
        <w:t>Entregables obligatorios del levantamiento ampliado</w:t>
      </w:r>
    </w:p>
    <w:p>
      <w:pPr>
        <w:ind w:left="173" w:hanging="173"/>
      </w:pPr>
      <w:r>
        <w:t>• Matriz por razón social, sede, unidad y actividad, con norma y numeral, obligación, supuesto de aplicación, responsable y evidencia.</w:t>
      </w:r>
    </w:p>
    <w:p>
      <w:pPr>
        <w:ind w:left="173" w:hanging="173"/>
      </w:pPr>
      <w:r>
        <w:t>• Dictamen interno de aplicabilidad validado; diagnóstico de brechas comprobadas; acciones correctivas con plazos y presupuesto.</w:t>
      </w:r>
    </w:p>
    <w:p>
      <w:pPr>
        <w:ind w:left="173" w:hanging="173"/>
      </w:pPr>
      <w:r>
        <w:t>• Procedimientos y formatos aprobados, pruebas del sistema y acta de autorización de cada servicio.</w:t>
      </w:r>
    </w:p>
    <w:p>
      <w:pPr>
        <w:ind w:left="173" w:hanging="173"/>
      </w:pPr>
      <w:r>
        <w:t>• Registro de cambios legales con evaluación humana antes de modificar reglas o formularios.</w:t>
      </w:r>
    </w:p>
    <w:p>
      <w:r>
        <w:t>No se ha inspeccionado la operación ni se han examinado permisos, expedientes o instalaciones. Por ello, este documento es un programa de verificación y ejecución; no constituye una certificación ni declara infracciones. El inventario deberá ampliarse si aparecen actividades no documentadas, como hospitalización, banco de sangre, farmacia, radioterapia o atención obstétrica.</w:t>
      </w:r>
    </w:p>
    <w:p>
      <w:pPr>
        <w:pStyle w:val="Heading3"/>
      </w:pPr>
      <w:r>
        <w:t>Lectura de la ampliación</w:t>
      </w:r>
    </w:p>
    <w:p>
      <w:r>
        <w:t>C02 resume el mapa de servicios; C03 a C11 desarrollan cada unidad. C12 a C16 cubren controles transversales y digitales. C17 y C18 establecen el trabajo y su aceptación. C19 contiene el registro de NOM y C20 las fuentes complementarias. Las denominaciones temáticas abreviadas del registro facilitan la lectura; los enlaces llevan a la identificación oficial.</w:t>
      </w:r>
    </w:p>
    <w:p>
      <w:r>
        <w:br w:type="page"/>
      </w:r>
    </w:p>
    <w:p>
      <w:pPr>
        <w:pStyle w:val="Heading1"/>
      </w:pPr>
      <w:r>
        <w:t>C02 Mapa normativo por servicio</w:t>
      </w:r>
    </w:p>
    <w:p>
      <w:r>
        <w:t>En todos los servicios clínicos se revisan expediente NOM-004-SSA3-2012, registro electrónico NOM-024-SSA3-2012 al usar SIRES, accesibilidad física NOM-030-SSA3-2013, protección de datos y seguridad del paciente. La infraestructura se clasifica conforme al tipo de consultorio; no se asigna categoría hospitalaria por pertenecer a una universidad.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Servicio</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NOM centrales</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Supuestos que amplían la revisión</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Odontología</w:t>
            </w:r>
          </w:p>
        </w:tc>
        <w:tc>
          <w:tcPr>
            <w:tcW w:type="dxa" w:w="4067"/>
            <w:vAlign w:val="center"/>
            <w:tcMar>
              <w:top w:w="85" w:type="dxa"/>
              <w:bottom w:w="85" w:type="dxa"/>
              <w:left w:w="85" w:type="dxa"/>
              <w:right w:w="85" w:type="dxa"/>
            </w:tcMar>
            <w:shd w:fill="FFFFFF"/>
          </w:tcPr>
          <w:p>
            <w:pPr>
              <w:spacing w:after="40" w:line="247" w:lineRule="auto"/>
            </w:pPr>
            <w:r>
              <w:rPr>
                <w:sz w:val="18"/>
              </w:rPr>
              <w:t>013-SSA2-2015; 005-SSA3-2018 o 016-SSA3-2012; 087-SEMARNAT-SSA1-2002</w:t>
            </w:r>
          </w:p>
        </w:tc>
        <w:tc>
          <w:tcPr>
            <w:tcW w:type="dxa" w:w="3457"/>
            <w:vAlign w:val="center"/>
            <w:tcMar>
              <w:top w:w="85" w:type="dxa"/>
              <w:bottom w:w="85" w:type="dxa"/>
              <w:left w:w="85" w:type="dxa"/>
              <w:right w:w="85" w:type="dxa"/>
            </w:tcMar>
            <w:shd w:fill="FFFFFF"/>
          </w:tcPr>
          <w:p>
            <w:pPr>
              <w:spacing w:after="40" w:line="247" w:lineRule="auto"/>
            </w:pPr>
            <w:r>
              <w:rPr>
                <w:sz w:val="18"/>
              </w:rPr>
              <w:t>Rayos X, anestesiología, cirugía mayor, residuos químicos y servicio social</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Fisioterapia</w:t>
            </w:r>
          </w:p>
        </w:tc>
        <w:tc>
          <w:tcPr>
            <w:tcW w:type="dxa" w:w="4067"/>
            <w:vAlign w:val="center"/>
            <w:tcMar>
              <w:top w:w="85" w:type="dxa"/>
              <w:bottom w:w="85" w:type="dxa"/>
              <w:left w:w="85" w:type="dxa"/>
              <w:right w:w="85" w:type="dxa"/>
            </w:tcMar>
            <w:shd w:fill="F2F5F8"/>
          </w:tcPr>
          <w:p>
            <w:pPr>
              <w:spacing w:after="40" w:line="247" w:lineRule="auto"/>
            </w:pPr>
            <w:r>
              <w:rPr>
                <w:sz w:val="18"/>
              </w:rPr>
              <w:t>004-SSA3-2012; 015-SSA-2023 cuando atienda discapacidad; 030-SSA3-2013</w:t>
            </w:r>
          </w:p>
        </w:tc>
        <w:tc>
          <w:tcPr>
            <w:tcW w:type="dxa" w:w="3457"/>
            <w:vAlign w:val="center"/>
            <w:tcMar>
              <w:top w:w="85" w:type="dxa"/>
              <w:bottom w:w="85" w:type="dxa"/>
              <w:left w:w="85" w:type="dxa"/>
              <w:right w:w="85" w:type="dxa"/>
            </w:tcMar>
            <w:shd w:fill="F2F5F8"/>
          </w:tcPr>
          <w:p>
            <w:pPr>
              <w:spacing w:after="40" w:line="247" w:lineRule="auto"/>
            </w:pPr>
            <w:r>
              <w:rPr>
                <w:sz w:val="18"/>
              </w:rPr>
              <w:t>Consulta de especialidad, hidroterapia, radiación no ionizante y técnicas invasivas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Nutrición</w:t>
            </w:r>
          </w:p>
        </w:tc>
        <w:tc>
          <w:tcPr>
            <w:tcW w:type="dxa" w:w="4067"/>
            <w:vAlign w:val="center"/>
            <w:tcMar>
              <w:top w:w="85" w:type="dxa"/>
              <w:bottom w:w="85" w:type="dxa"/>
              <w:left w:w="85" w:type="dxa"/>
              <w:right w:w="85" w:type="dxa"/>
            </w:tcMar>
            <w:shd w:fill="FFFFFF"/>
          </w:tcPr>
          <w:p>
            <w:pPr>
              <w:spacing w:after="40" w:line="247" w:lineRule="auto"/>
            </w:pPr>
            <w:r>
              <w:rPr>
                <w:sz w:val="18"/>
              </w:rPr>
              <w:t>043-SSA2-2012; 005-SSA3-2018</w:t>
            </w:r>
          </w:p>
        </w:tc>
        <w:tc>
          <w:tcPr>
            <w:tcW w:type="dxa" w:w="3457"/>
            <w:vAlign w:val="center"/>
            <w:tcMar>
              <w:top w:w="85" w:type="dxa"/>
              <w:bottom w:w="85" w:type="dxa"/>
              <w:left w:w="85" w:type="dxa"/>
              <w:right w:w="85" w:type="dxa"/>
            </w:tcMar>
            <w:shd w:fill="FFFFFF"/>
          </w:tcPr>
          <w:p>
            <w:pPr>
              <w:spacing w:after="40" w:line="247" w:lineRule="auto"/>
            </w:pPr>
            <w:r>
              <w:rPr>
                <w:sz w:val="18"/>
              </w:rPr>
              <w:t>Sobrepeso u obesidad: 008-SSA3-2017; alimentos preparados y enfermedades crónicas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Psicología clínica</w:t>
            </w:r>
          </w:p>
        </w:tc>
        <w:tc>
          <w:tcPr>
            <w:tcW w:type="dxa" w:w="4067"/>
            <w:vAlign w:val="center"/>
            <w:tcMar>
              <w:top w:w="85" w:type="dxa"/>
              <w:bottom w:w="85" w:type="dxa"/>
              <w:left w:w="85" w:type="dxa"/>
              <w:right w:w="85" w:type="dxa"/>
            </w:tcMar>
            <w:shd w:fill="F2F5F8"/>
          </w:tcPr>
          <w:p>
            <w:pPr>
              <w:spacing w:after="40" w:line="247" w:lineRule="auto"/>
            </w:pPr>
            <w:r>
              <w:rPr>
                <w:sz w:val="18"/>
              </w:rPr>
              <w:t>004-SSA3-2012; 005-SSA3-2018</w:t>
            </w:r>
          </w:p>
        </w:tc>
        <w:tc>
          <w:tcPr>
            <w:tcW w:type="dxa" w:w="3457"/>
            <w:vAlign w:val="center"/>
            <w:tcMar>
              <w:top w:w="85" w:type="dxa"/>
              <w:bottom w:w="85" w:type="dxa"/>
              <w:left w:w="85" w:type="dxa"/>
              <w:right w:w="85" w:type="dxa"/>
            </w:tcMar>
            <w:shd w:fill="F2F5F8"/>
          </w:tcPr>
          <w:p>
            <w:pPr>
              <w:spacing w:after="40" w:line="247" w:lineRule="auto"/>
            </w:pPr>
            <w:r>
              <w:rPr>
                <w:sz w:val="18"/>
              </w:rPr>
              <w:t>Violencia: 046-SSA2-2005; adicciones: 028-SSA2-2009; hospitalización psiquiátrica sólo si existe</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Deporte y readaptación</w:t>
            </w:r>
          </w:p>
        </w:tc>
        <w:tc>
          <w:tcPr>
            <w:tcW w:type="dxa" w:w="4067"/>
            <w:vAlign w:val="center"/>
            <w:tcMar>
              <w:top w:w="85" w:type="dxa"/>
              <w:bottom w:w="85" w:type="dxa"/>
              <w:left w:w="85" w:type="dxa"/>
              <w:right w:w="85" w:type="dxa"/>
            </w:tcMar>
            <w:shd w:fill="FFFFFF"/>
          </w:tcPr>
          <w:p>
            <w:pPr>
              <w:spacing w:after="40" w:line="247" w:lineRule="auto"/>
            </w:pPr>
            <w:r>
              <w:rPr>
                <w:sz w:val="18"/>
              </w:rPr>
              <w:t>Normas clínicas anteriores cuando exista atención a la salud</w:t>
            </w:r>
          </w:p>
        </w:tc>
        <w:tc>
          <w:tcPr>
            <w:tcW w:type="dxa" w:w="3457"/>
            <w:vAlign w:val="center"/>
            <w:tcMar>
              <w:top w:w="85" w:type="dxa"/>
              <w:bottom w:w="85" w:type="dxa"/>
              <w:left w:w="85" w:type="dxa"/>
              <w:right w:w="85" w:type="dxa"/>
            </w:tcMar>
            <w:shd w:fill="FFFFFF"/>
          </w:tcPr>
          <w:p>
            <w:pPr>
              <w:spacing w:after="40" w:line="247" w:lineRule="auto"/>
            </w:pPr>
            <w:r>
              <w:rPr>
                <w:sz w:val="18"/>
              </w:rPr>
              <w:t>Laboratorio clínico, pruebas con muestras, rehabilitación, alberca o investigación</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UAPS y prevención</w:t>
            </w:r>
          </w:p>
        </w:tc>
        <w:tc>
          <w:tcPr>
            <w:tcW w:type="dxa" w:w="4067"/>
            <w:vAlign w:val="center"/>
            <w:tcMar>
              <w:top w:w="85" w:type="dxa"/>
              <w:bottom w:w="85" w:type="dxa"/>
              <w:left w:w="85" w:type="dxa"/>
              <w:right w:w="85" w:type="dxa"/>
            </w:tcMar>
            <w:shd w:fill="F2F5F8"/>
          </w:tcPr>
          <w:p>
            <w:pPr>
              <w:spacing w:after="40" w:line="247" w:lineRule="auto"/>
            </w:pPr>
            <w:r>
              <w:rPr>
                <w:sz w:val="18"/>
              </w:rPr>
              <w:t>005-SSA3-2018; 017-SSA2-2012; 009-SSA2-2013 según actividad escolar</w:t>
            </w:r>
          </w:p>
        </w:tc>
        <w:tc>
          <w:tcPr>
            <w:tcW w:type="dxa" w:w="3457"/>
            <w:vAlign w:val="center"/>
            <w:tcMar>
              <w:top w:w="85" w:type="dxa"/>
              <w:bottom w:w="85" w:type="dxa"/>
              <w:left w:w="85" w:type="dxa"/>
              <w:right w:w="85" w:type="dxa"/>
            </w:tcMar>
            <w:shd w:fill="F2F5F8"/>
          </w:tcPr>
          <w:p>
            <w:pPr>
              <w:spacing w:after="40" w:line="247" w:lineRule="auto"/>
            </w:pPr>
            <w:r>
              <w:rPr>
                <w:sz w:val="18"/>
              </w:rPr>
              <w:t>Enfermería, vacunación, crónicos, embarazo, pruebas VIH y toma de muestras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Servicios comunitarios</w:t>
            </w:r>
          </w:p>
        </w:tc>
        <w:tc>
          <w:tcPr>
            <w:tcW w:type="dxa" w:w="4067"/>
            <w:vAlign w:val="center"/>
            <w:tcMar>
              <w:top w:w="85" w:type="dxa"/>
              <w:bottom w:w="85" w:type="dxa"/>
              <w:left w:w="85" w:type="dxa"/>
              <w:right w:w="85" w:type="dxa"/>
            </w:tcMar>
            <w:shd w:fill="FFFFFF"/>
          </w:tcPr>
          <w:p>
            <w:pPr>
              <w:spacing w:after="40" w:line="247" w:lineRule="auto"/>
            </w:pPr>
            <w:r>
              <w:rPr>
                <w:sz w:val="18"/>
              </w:rPr>
              <w:t>Normas del acto que se realice, aunque sea gratuito o fuera del campus</w:t>
            </w:r>
          </w:p>
        </w:tc>
        <w:tc>
          <w:tcPr>
            <w:tcW w:type="dxa" w:w="3457"/>
            <w:vAlign w:val="center"/>
            <w:tcMar>
              <w:top w:w="85" w:type="dxa"/>
              <w:bottom w:w="85" w:type="dxa"/>
              <w:left w:w="85" w:type="dxa"/>
              <w:right w:w="85" w:type="dxa"/>
            </w:tcMar>
            <w:shd w:fill="FFFFFF"/>
          </w:tcPr>
          <w:p>
            <w:pPr>
              <w:spacing w:after="40" w:line="247" w:lineRule="auto"/>
            </w:pPr>
            <w:r>
              <w:rPr>
                <w:sz w:val="18"/>
              </w:rPr>
              <w:t>Orientación alimentaria, asistencia alimentaria, trabajo con menores y campañas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Servicios laborales y educativos</w:t>
            </w:r>
          </w:p>
        </w:tc>
        <w:tc>
          <w:tcPr>
            <w:tcW w:type="dxa" w:w="4067"/>
            <w:vAlign w:val="center"/>
            <w:tcMar>
              <w:top w:w="85" w:type="dxa"/>
              <w:bottom w:w="85" w:type="dxa"/>
              <w:left w:w="85" w:type="dxa"/>
              <w:right w:w="85" w:type="dxa"/>
            </w:tcMar>
            <w:shd w:fill="F2F5F8"/>
          </w:tcPr>
          <w:p>
            <w:pPr>
              <w:spacing w:after="40" w:line="247" w:lineRule="auto"/>
            </w:pPr>
            <w:r>
              <w:rPr>
                <w:sz w:val="18"/>
              </w:rPr>
              <w:t>035-STPS-2018 y 030-STPS-2009 según contrato y alcance</w:t>
            </w:r>
          </w:p>
        </w:tc>
        <w:tc>
          <w:tcPr>
            <w:tcW w:type="dxa" w:w="3457"/>
            <w:vAlign w:val="center"/>
            <w:tcMar>
              <w:top w:w="85" w:type="dxa"/>
              <w:bottom w:w="85" w:type="dxa"/>
              <w:left w:w="85" w:type="dxa"/>
              <w:right w:w="85" w:type="dxa"/>
            </w:tcMar>
            <w:shd w:fill="F2F5F8"/>
          </w:tcPr>
          <w:p>
            <w:pPr>
              <w:spacing w:after="40" w:line="247" w:lineRule="auto"/>
            </w:pPr>
            <w:r>
              <w:rPr>
                <w:sz w:val="18"/>
              </w:rPr>
              <w:t>Evaluación clínica individual, datos del empleador, riesgos físicos y químicos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Despacho jurídico</w:t>
            </w:r>
          </w:p>
        </w:tc>
        <w:tc>
          <w:tcPr>
            <w:tcW w:type="dxa" w:w="4067"/>
            <w:vAlign w:val="center"/>
            <w:tcMar>
              <w:top w:w="85" w:type="dxa"/>
              <w:bottom w:w="85" w:type="dxa"/>
              <w:left w:w="85" w:type="dxa"/>
              <w:right w:w="85" w:type="dxa"/>
            </w:tcMar>
            <w:shd w:fill="FFFFFF"/>
          </w:tcPr>
          <w:p>
            <w:pPr>
              <w:spacing w:after="40" w:line="247" w:lineRule="auto"/>
            </w:pPr>
            <w:r>
              <w:rPr>
                <w:sz w:val="18"/>
              </w:rPr>
              <w:t>No se identifica una NOM clínica propia por asesorar</w:t>
            </w:r>
          </w:p>
        </w:tc>
        <w:tc>
          <w:tcPr>
            <w:tcW w:type="dxa" w:w="3457"/>
            <w:vAlign w:val="center"/>
            <w:tcMar>
              <w:top w:w="85" w:type="dxa"/>
              <w:bottom w:w="85" w:type="dxa"/>
              <w:left w:w="85" w:type="dxa"/>
              <w:right w:w="85" w:type="dxa"/>
            </w:tcMar>
            <w:shd w:fill="FFFFFF"/>
          </w:tcPr>
          <w:p>
            <w:pPr>
              <w:spacing w:after="40" w:line="247" w:lineRule="auto"/>
            </w:pPr>
            <w:r>
              <w:rPr>
                <w:sz w:val="18"/>
              </w:rPr>
              <w:t>Datos sensibles recibidos, secreto profesional, representación y expedientes separados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Recepción caja docencia y recursos</w:t>
            </w:r>
          </w:p>
        </w:tc>
        <w:tc>
          <w:tcPr>
            <w:tcW w:type="dxa" w:w="4067"/>
            <w:vAlign w:val="center"/>
            <w:tcMar>
              <w:top w:w="85" w:type="dxa"/>
              <w:bottom w:w="85" w:type="dxa"/>
              <w:left w:w="85" w:type="dxa"/>
              <w:right w:w="85" w:type="dxa"/>
            </w:tcMar>
            <w:shd w:fill="F2F5F8"/>
          </w:tcPr>
          <w:p>
            <w:pPr>
              <w:spacing w:after="40" w:line="247" w:lineRule="auto"/>
            </w:pPr>
            <w:r>
              <w:rPr>
                <w:sz w:val="18"/>
              </w:rPr>
              <w:t>NOM clínicas en su función de apoyo; NOM laborales del centro</w:t>
            </w:r>
          </w:p>
        </w:tc>
        <w:tc>
          <w:tcPr>
            <w:tcW w:type="dxa" w:w="3457"/>
            <w:vAlign w:val="center"/>
            <w:tcMar>
              <w:top w:w="85" w:type="dxa"/>
              <w:bottom w:w="85" w:type="dxa"/>
              <w:left w:w="85" w:type="dxa"/>
              <w:right w:w="85" w:type="dxa"/>
            </w:tcMar>
            <w:shd w:fill="F2F5F8"/>
          </w:tcPr>
          <w:p>
            <w:pPr>
              <w:spacing w:after="40" w:line="247" w:lineRule="auto"/>
            </w:pPr>
            <w:r>
              <w:rPr>
                <w:sz w:val="18"/>
              </w:rPr>
              <w:t>Servicio social, investigación, proveedores, esterilización, mantenimiento y publicidad</w:t>
            </w:r>
          </w:p>
        </w:tc>
      </w:tr>
    </w:tbl>
    <w:p>
      <w:pPr>
        <w:spacing w:after="20"/>
      </w:pPr>
    </w:p>
    <w:p>
      <w:r>
        <w:t>Las claves de la tabla llevan el prefijo NOM. Cada fila se desarrolla a continuación y remite al registro C19. Una norma referida dentro de otra puede haber sido sustituida: se revisará la versión vigente y no se copiará automáticamente la bibliografía histórica.</w:t>
      </w:r>
    </w:p>
    <w:p>
      <w:pPr>
        <w:pStyle w:val="Heading3"/>
      </w:pPr>
      <w:r>
        <w:t>Cambios que deben reflejarse en los formatos</w:t>
      </w:r>
    </w:p>
    <w:p>
      <w:r>
        <w:t>Usar NOM-005-SSA3-2018 en lugar de la versión 2010; NOM-015-SSA-2023 para discapacidad en lugar de NOM-015-SSA3-2012; NOM-017-STPS-2024 para EPP en lugar de 2008. Para agua, revisar NOM-127-SSA1-2021 y su alcance. Las denominaciones actuales de protección civil son NOM-003-SSPC-2011 y NOM-008-SSPC-2015, antes SEGOB; documentar la correspondencia sin duplicar obligaciones. [Registro C19; fuente F12]</w:t>
      </w:r>
    </w:p>
    <w:p>
      <w:r>
        <w:br w:type="page"/>
      </w:r>
    </w:p>
    <w:p>
      <w:pPr>
        <w:pStyle w:val="Heading1"/>
      </w:pPr>
      <w:r>
        <w:t>C03 Odontología</w:t>
      </w:r>
    </w:p>
    <w:p>
      <w:r>
        <w:t>Responsable propuesto: coordinación odontológica y responsable sanitario del establecimiento, con apoyo de esterilización, mantenimiento, docencia y TI.</w:t>
      </w:r>
    </w:p>
    <w:p>
      <w:pPr>
        <w:pStyle w:val="Heading3"/>
      </w:pPr>
      <w:r>
        <w:t>Aplicabilidad y controles</w:t>
      </w:r>
    </w:p>
    <w:p>
      <w:r>
        <w:t>B — NOM-013-SSA2-2015. Revisar capítulos 5, 8 y 9: expediente odontológico, prevención de infecciones y consentimiento. Verificar odontograma y periodontograma iniciales y de seguimiento, evolución, auxiliares diagnósticos y cambios del plan. Su numeral 8.24 establece testigos biológicos cada dos meses; el protocolo puede ser más exigente por equipo, fabricante o riesgo. NOM-004-SSA3-2012 complementa la custodia y confidencialidad. [N01, N02; F01]</w:t>
      </w:r>
    </w:p>
    <w:p>
      <w:r>
        <w:t>B/C — NOM-005-SSA3-2018, numeral 6.4 y apéndice B, para estomatología general; NOM-016-SSA3-2012 para infraestructura de especialidad según clasificación real. Levantar áreas de lavado y esterilización, suministro de agua, seguridad eléctrica e inventario. [N03, N04]</w:t>
      </w:r>
    </w:p>
    <w:p>
      <w:r>
        <w:t>B/C — NOM-087-SEMARNAT-SSA1-2002 por RPBI; NOM-052-SEMARNAT-2005 si existen residuos peligrosos químicos. Separar punzocortantes, residuos biológicos y materiales como amalgamas o químicos de revelado según su caracterización. [N07, N32]</w:t>
      </w:r>
    </w:p>
    <w:p>
      <w:r>
        <w:t>C — NOM-229-SSA1-2002 con modificaciones y NOM-012-STPS-2012 según equipo radiológico y exposición. La primera incluye panorámica dental y excluye aplicaciones odontológicas convencionales en su campo original; COFEPRIS incluye panorámica y tomografía dental en su orientación sobre licencia. El asesor radiológico deberá resolver el equipo concreto, sin interpretar la exclusión como ausencia de protección radiológica. [N08, N43; F04]</w:t>
      </w:r>
    </w:p>
    <w:p>
      <w:r>
        <w:t>C — NOM-006-SSA3-2011 y NOM-026-SSA3-2012 si se realiza anestesiología o cirugía mayor ambulatoria; no atribuirlas automáticamente a una aplicación ordinaria de anestesia local. [N24, N25]</w:t>
      </w:r>
    </w:p>
    <w:p>
      <w:pPr>
        <w:pStyle w:val="Heading3"/>
      </w:pPr>
      <w:r>
        <w:t>Preguntas adicionales para el desarrollador</w:t>
      </w:r>
    </w:p>
    <w:p>
      <w:r>
        <w:t>ODC01 ¿Qué procedimientos se hacen realmente, con qué profesional y en qué establecimiento autorizado?</w:t>
      </w:r>
    </w:p>
    <w:p>
      <w:r>
        <w:t>ODC02 ¿Qué cambia en el consentimiento si cambia el plan y cómo se prueba su explicación y firma?</w:t>
      </w:r>
    </w:p>
    <w:p>
      <w:r>
        <w:t>ODC03 ¿Cómo se identifica equipo, ciclo, carga, resultado y liberador de esterilización? ¿Cómo se inmoviliza una carga fallida?</w:t>
      </w:r>
    </w:p>
    <w:p>
      <w:r>
        <w:t>ODC04 ¿Qué tipo, marca y modelo de rayos X existe y qué permisos, controles y dictámenes corresponden?</w:t>
      </w:r>
    </w:p>
    <w:p>
      <w:r>
        <w:t>ODC05 ¿Qué accidente por punzocortante o reacción a medicamento activa atención, notificación y seguimiento?</w:t>
      </w:r>
    </w:p>
    <w:p>
      <w:r>
        <w:t>ODC06 ¿Qué puede realizar un alumno, quién supervisa presencialmente y quién libera el registro?</w:t>
      </w:r>
    </w:p>
    <w:p>
      <w:pPr>
        <w:pStyle w:val="Heading3"/>
      </w:pPr>
      <w:r>
        <w:t>Evidencias y resultado del trabajo</w:t>
      </w:r>
    </w:p>
    <w:p>
      <w:r>
        <w:t>Solicitar formatos vigentes, una muestra anonimizada, bitácoras de esterilización, mantenimiento, registros de residuos, credenciales y documentos radiológicos si proceden. Propuesta del sistema: trazabilidad de instrumental y lotes, consentimiento versionado, firma del supervisor y bloqueo de recursos fuera de servicio. El cierre requiere que coordinación valide los casos normal, cambio de plan, carga fallida y urgencia con referencia.</w:t>
      </w:r>
    </w:p>
    <w:p>
      <w:r>
        <w:br w:type="page"/>
      </w:r>
    </w:p>
    <w:p>
      <w:pPr>
        <w:pStyle w:val="Heading1"/>
      </w:pPr>
      <w:r>
        <w:t>C04 Fisioterapia y rehabilitación</w:t>
      </w:r>
    </w:p>
    <w:p>
      <w:r>
        <w:t>Responsable propuesto: coordinación de fisioterapia, responsable clínico, mantenimiento y seguridad y salud en el trabajo.</w:t>
      </w:r>
    </w:p>
    <w:p>
      <w:pPr>
        <w:pStyle w:val="Heading3"/>
      </w:pPr>
      <w:r>
        <w:t>Aplicabilidad y controles</w:t>
      </w:r>
    </w:p>
    <w:p>
      <w:r>
        <w:t>B — NOM-004-SSA3-2012 para la atención clínica y NOM-024-SSA3-2012 para el registro electrónico. El sistema deberá conservar valoración, objetivos, intervención, evolución, reevaluación y alta según formatos aprobados. [N01, N05]</w:t>
      </w:r>
    </w:p>
    <w:p>
      <w:r>
        <w:t>C — NOM-015-SSA-2023 cuando se otorgue atención médica integral a personas con discapacidad. Revisar evaluación funcional, accesibilidad y coordinación interdisciplinaria dentro de las competencias del equipo. NOM-030-SSA3-2013 regula accesibilidad arquitectónica, no sustituye una evaluación del sitio web. [N09, N06]</w:t>
      </w:r>
    </w:p>
    <w:p>
      <w:r>
        <w:t>C — NOM-005-SSA3-2018 o NOM-016-SSA3-2012 según el establecimiento y la consulta de especialidad realmente presentes; Jurídico y el responsable sanitario documentarán el encuadre. NOM-039-SSA-2023 sólo si se participa en certificación de discapacidad bajo los requisitos correspondientes; una valoración funcional no equivale a ese certificado. [N03, N04, N10]</w:t>
      </w:r>
    </w:p>
    <w:p>
      <w:r>
        <w:t>C — NOM-013-STPS-1993 ante fuentes electromagnéticas no ionizantes, según exposición. Revisar equipos de electroterapia, láser u otras tecnologías y las instrucciones del fabricante. La NOM-240-SSA1-2012 orienta la tecnovigilancia conforme al papel del establecimiento. [N44, N27]</w:t>
      </w:r>
    </w:p>
    <w:p>
      <w:r>
        <w:t>C — NOM-245-SSA1-2010 cuando una instalación de hidroterapia encuadre como alberca de uso público. Una tina individual exige evaluación específica; no se asume que toda hidroterapia tiene el mismo régimen. Revisar agua, limpieza, recirculación y muestreo con el responsable sanitario. [N28]</w:t>
      </w:r>
    </w:p>
    <w:p>
      <w:pPr>
        <w:pStyle w:val="Heading3"/>
      </w:pPr>
      <w:r>
        <w:t>Preguntas adicionales para el desarrollador</w:t>
      </w:r>
    </w:p>
    <w:p>
      <w:r>
        <w:t>FIC01 ¿Se atiende discapacidad, lesión deportiva, dolor o consulta de rehabilitación médica y quién determina el diagnóstico?</w:t>
      </w:r>
    </w:p>
    <w:p>
      <w:r>
        <w:t>FIC02 ¿Qué contraindicaciones y señales de alarma se comprueban antes de cada modalidad?</w:t>
      </w:r>
    </w:p>
    <w:p>
      <w:r>
        <w:t>FIC03 ¿Quién autoriza el uso de cada equipo y dónde consta su mantenimiento y capacitación?</w:t>
      </w:r>
    </w:p>
    <w:p>
      <w:r>
        <w:t>FIC04 ¿Existen hidroterapia, punción seca u otras técnicas invasivas? ¿Qué competencia y protocolo las respaldan?</w:t>
      </w:r>
    </w:p>
    <w:p>
      <w:r>
        <w:t>FIC05 ¿Qué escalas, unidades y criterios clínicos permiten reevaluar y cerrar un episodio?</w:t>
      </w:r>
    </w:p>
    <w:p>
      <w:r>
        <w:t>FIC06 ¿Cómo se atienden caídas, quemaduras, lesión durante movilización o falla de dispositivo?</w:t>
      </w:r>
    </w:p>
    <w:p>
      <w:pPr>
        <w:pStyle w:val="Heading3"/>
      </w:pPr>
      <w:r>
        <w:t>Evidencias y resultado del trabajo</w:t>
      </w:r>
    </w:p>
    <w:p>
      <w:r>
        <w:t>Solicitar catálogo de técnicas, perfiles profesionales, formatos, inventario con manuales, mantenimiento y registros de incidentes. Si existe agua terapéutica, agregar clasificación de instalación y controles sanitarios. Evaluar también movilización segura y ergonomía, distinguiendo obligaciones normativas de protocolos preventivos propios.</w:t>
      </w:r>
    </w:p>
    <w:p>
      <w:r>
        <w:t>Propuesta del sistema: plan por episodio, dosis y parámetros documentados, registro por sesión, restricciones visibles al profesional asignado, mantenimiento que impida reservar equipo no disponible y seguimiento de incidentes. Cierre: simular una sesión suspendida por contraindicación, un evento adverso y una referencia, con validación clínica.</w:t>
      </w:r>
    </w:p>
    <w:p>
      <w:r>
        <w:br w:type="page"/>
      </w:r>
    </w:p>
    <w:p>
      <w:pPr>
        <w:pStyle w:val="Heading1"/>
      </w:pPr>
      <w:r>
        <w:t>C05 Nutrición</w:t>
      </w:r>
    </w:p>
    <w:p>
      <w:r>
        <w:t>Responsable propuesto: coordinación de nutrición; apoyo de responsable sanitario, cocina si existe y Finanzas para paquetes.</w:t>
      </w:r>
    </w:p>
    <w:p>
      <w:pPr>
        <w:pStyle w:val="Heading3"/>
      </w:pPr>
      <w:r>
        <w:t>Aplicabilidad y controles</w:t>
      </w:r>
    </w:p>
    <w:p>
      <w:r>
        <w:t>B — NOM-043-SSA2-2012 para orientación alimentaria. Registrar el alcance de la consejería y aprobar materiales dirigidos a edades, contextos culturales y condiciones de los usuarios. NOM-005-SSA3-2018, numeral 6.8 y apéndice F, establece el equipamiento del consultorio de nutriología. [N11, N03]</w:t>
      </w:r>
    </w:p>
    <w:p>
      <w:r>
        <w:t>C — NOM-008-SSA3-2017 al ofrecer tratamiento integral del sobrepeso y la obesidad. Confirmar competencias, participación interdisciplinaria y prácticas autorizadas. La aplicación no deberá convertir una fórmula antropométrica en prescripción médica ni habilitar medicamentos a perfiles sin facultad. [N12]</w:t>
      </w:r>
    </w:p>
    <w:p>
      <w:r>
        <w:t>C — NOM-015-SSA2-2010, NOM-030-SSA2-2009 y NOM-037-SSA2-2012 en intervenciones de diabetes, hipertensión y dislipidemias, respectivamente, conforme a la actividad profesional realizada. Documentar referencia y coordinación con el médico, sin trasladar al nutriólogo funciones ajenas. [N13, N14, N15]</w:t>
      </w:r>
    </w:p>
    <w:p>
      <w:r>
        <w:t>C — NOM-251-SSA1-2009 si se preparan o procesan alimentos, bebidas o suplementos; dar una consulta no activa por sí solo todo el régimen de una cocina. NOM-014-SSA3-2013 si se realiza asistencia social alimentaria a grupos de riesgo. [N29, N30]</w:t>
      </w:r>
    </w:p>
    <w:p>
      <w:pPr>
        <w:pStyle w:val="Heading3"/>
      </w:pPr>
      <w:r>
        <w:t>Preguntas adicionales para el desarrollador</w:t>
      </w:r>
    </w:p>
    <w:p>
      <w:r>
        <w:t>NUC01 ¿Se ofrece orientación, consulta clínica, tratamiento de obesidad, alimentación colectiva o venta de productos?</w:t>
      </w:r>
    </w:p>
    <w:p>
      <w:r>
        <w:t>NUC02 ¿Cómo se documentan diagnóstico nutricional, alergias, restricciones, objetivos y referencia médica?</w:t>
      </w:r>
    </w:p>
    <w:p>
      <w:r>
        <w:t>NUC03 ¿Qué cálculos se emplean, quién los valida y qué versión de fórmula debe conservar cada resultado?</w:t>
      </w:r>
    </w:p>
    <w:p>
      <w:r>
        <w:t>NUC04 ¿Qué población requiere formatos distintos: menores, embarazadas, adultos mayores o pacientes con enfermedades crónicas?</w:t>
      </w:r>
    </w:p>
    <w:p>
      <w:r>
        <w:t>NUC05 ¿Se preparan alimentos? ¿Cómo se registran proveedores, temperaturas, higiene, lotes y atención de quejas?</w:t>
      </w:r>
    </w:p>
    <w:p>
      <w:r>
        <w:t>NUC06 ¿Cómo se controla que planes, anuncios y paquetes no prometan resultados garantizados ni mezclen finalidades comerciales sin informar?</w:t>
      </w:r>
    </w:p>
    <w:p>
      <w:pPr>
        <w:pStyle w:val="Heading3"/>
      </w:pPr>
      <w:r>
        <w:t>Evidencias y resultado del trabajo</w:t>
      </w:r>
    </w:p>
    <w:p>
      <w:r>
        <w:t>Solicitar formatos y materiales educativos aprobados, criterios de referencia, fichas de equipos de medición, verificación de básculas y expedientes de cocina si corresponde. Distinguir el equipo de uso clínico de instrumentos sujetos a verificación metrológica comercial; confirmar el supuesto antes de exigir un dictamen específico.</w:t>
      </w:r>
    </w:p>
    <w:p>
      <w:r>
        <w:t>Propuesta del sistema: mediciones con unidades y autor, cálculos versionados, planes históricos, consentimientos pertinentes y trazabilidad de entregas alimentarias si se activan. Cierre: revisar un caso de enfermedad crónica, una medición errónea corregida sin perder historial y una referencia documentada.</w:t>
      </w:r>
    </w:p>
    <w:p>
      <w:r>
        <w:br w:type="page"/>
      </w:r>
    </w:p>
    <w:p>
      <w:pPr>
        <w:pStyle w:val="Heading1"/>
      </w:pPr>
      <w:r>
        <w:t>C06 Psicología clínica</w:t>
      </w:r>
    </w:p>
    <w:p>
      <w:r>
        <w:t>Responsable propuesto: coordinación de psicología, responsable clínico y Jurídico para menores, crisis y comunicación a terceros.</w:t>
      </w:r>
    </w:p>
    <w:p>
      <w:pPr>
        <w:pStyle w:val="Heading3"/>
      </w:pPr>
      <w:r>
        <w:t>Aplicabilidad y controles</w:t>
      </w:r>
    </w:p>
    <w:p>
      <w:r>
        <w:t>B — NOM-004-SSA3-2012 y NOM-005-SSA3-2018, numeral 6.7 y apéndice E, para expediente y consultorio. Diferenciar atención clínica de orientación escolar o evaluación laboral; clasificar los registros y accesos por finalidad. [N01, N03]</w:t>
      </w:r>
    </w:p>
    <w:p>
      <w:r>
        <w:t>C — NOM-046-SSA2-2005 y su modificación de 2016 cuando corresponda la prevención y atención de violencia familiar, sexual y contra las mujeres. Preparar detección, documentación, atención dentro de capacidad, referencia y avisos previstos por la normativa. No sustituir estas obligaciones con un formulario genérico de confidencialidad. [N16; F05]</w:t>
      </w:r>
    </w:p>
    <w:p>
      <w:r>
        <w:t>C — NOM-028-SSA2-2009 para actividades de prevención, tratamiento o control de adicciones dentro de su campo. NOM-025-SSA2-2014 corresponde a unidades de atención integral hospitalaria médico-psiquiátrica: no debe imponerse íntegramente a una consulta psicológica ambulatoria por compartir la temática de salud mental. [N17, N18]</w:t>
      </w:r>
    </w:p>
    <w:p>
      <w:r>
        <w:t>T — Protección de datos y derechos de niñas, niños y adolescentes. Validar representación, información al menor conforme a su situación y protección frente a violencia. No conceder acceso automático a toda la historia a quien paga ni a cualquier familiar. [F06, F09]</w:t>
      </w:r>
    </w:p>
    <w:p>
      <w:pPr>
        <w:pStyle w:val="Heading3"/>
      </w:pPr>
      <w:r>
        <w:t>Preguntas adicionales para el desarrollador</w:t>
      </w:r>
    </w:p>
    <w:p>
      <w:r>
        <w:t>PSC01 ¿Qué servicios son clínicos, escolares, laborales, de pareja o familiares y quién es el titular de cada registro?</w:t>
      </w:r>
    </w:p>
    <w:p>
      <w:r>
        <w:t>PSC02 ¿Qué procedimiento aplica ante riesgo suicida, violencia, abuso o necesidad de intervención urgente?</w:t>
      </w:r>
    </w:p>
    <w:p>
      <w:r>
        <w:t>PSC03 ¿Quién decide avisos y referencias, en qué plazo y con qué fundamento? ¿Cómo se acredita su recepción?</w:t>
      </w:r>
    </w:p>
    <w:p>
      <w:r>
        <w:t>PSC04 ¿Cómo se verifica la representación de un menor y se resuelven restricciones de custodia o conflicto familiar?</w:t>
      </w:r>
    </w:p>
    <w:p>
      <w:r>
        <w:t>PSC05 ¿Qué se entrega a escuela, empleador, familiar o autoridad y quién aprueba esa entrega?</w:t>
      </w:r>
    </w:p>
    <w:p>
      <w:r>
        <w:t>PSC06 ¿Se realizan sesiones remotas, grabaciones o pruebas psicométricas? ¿Qué licencias, permisos y medidas de privacidad existen?</w:t>
      </w:r>
    </w:p>
    <w:p>
      <w:pPr>
        <w:pStyle w:val="Heading3"/>
      </w:pPr>
      <w:r>
        <w:t>Evidencias y resultado del trabajo</w:t>
      </w:r>
    </w:p>
    <w:p>
      <w:r>
        <w:t>Solicitar protocolos de crisis, directorio de referencia, formatos de consentimiento, reglas de acceso y materiales de evaluación con licencias cuando correspondan. No incorporar reactivos protegidos por derechos de autor sin autorización.</w:t>
      </w:r>
    </w:p>
    <w:p>
      <w:r>
        <w:t>Propuesta del sistema: acceso por caso y profesional, notas individuales separadas en terapia familiar, registro de fundamento y destinatario de entregas, alertas internas con contenido mínimo. Una alerta de crisis requiere atención humana inmediata según protocolo; no puede quedar sólo en una cola de mensajes. Cierre: ensayar atención de menor, solicitud de empleador y crisis fuera del horario habitual.</w:t>
      </w:r>
    </w:p>
    <w:p>
      <w:r>
        <w:br w:type="page"/>
      </w:r>
    </w:p>
    <w:p>
      <w:pPr>
        <w:pStyle w:val="Heading1"/>
      </w:pPr>
      <w:r>
        <w:t>C07 Ciencias del deporte y readaptación</w:t>
      </w:r>
    </w:p>
    <w:p>
      <w:r>
        <w:t>Responsable propuesto: coordinación del laboratorio o servicio, profesional clínico cuando intervenga y encargado de equipos.</w:t>
      </w:r>
    </w:p>
    <w:p>
      <w:pPr>
        <w:pStyle w:val="Heading3"/>
      </w:pPr>
      <w:r>
        <w:t>Aplicabilidad y controles</w:t>
      </w:r>
    </w:p>
    <w:p>
      <w:r>
        <w:t>B/C — Clasificar cada actividad como entrenamiento, evaluación de rendimiento, atención clínica, rehabilitación o investigación. No se identificó en las fuentes revisadas una sola NOM que regule íntegramente «ciencias del deporte». Las obligaciones se activan por el acto y el riesgo, no por el nombre del laboratorio.</w:t>
      </w:r>
    </w:p>
    <w:p>
      <w:r>
        <w:t>C — NOM-004-SSA3-2012, NOM-024-SSA3-2012, NOM-015-SSA-2023 y NOM-016-SSA3-2012 cuando se desarrollen atención clínica, rehabilitación de personas con discapacidad o consulta especializada, según su respectivo campo. Nutrición deportiva incorpora NOM-043-SSA2-2012 y, si procede, NOM-008-SSA3-2017. [N01, N05, N09, N04, N11, N12]</w:t>
      </w:r>
    </w:p>
    <w:p>
      <w:r>
        <w:t>C — NOM-007-SSA3-2011 si existe laboratorio clínico; no se presume por usar la palabra laboratorio ni por hacer mediciones físicas. Si se toman muestras capilares u otras muestras biológicas, el responsable sanitario deberá clasificar el proceso, controles analíticos, destino y obligaciones. NOM-087-SEMARNAT-SSA1-2002 aplica a los RPBI generados. [N23, N07]</w:t>
      </w:r>
    </w:p>
    <w:p>
      <w:r>
        <w:t>C — NOM-012-SSA3-2012 cuando se desarrollen proyectos de investigación para la salud en seres humanos; una atención o práctica docente no es automáticamente un proyecto de investigación. NOM-245-SSA1-2010 si se utiliza alberca dentro de su campo. [N26, N28]</w:t>
      </w:r>
    </w:p>
    <w:p>
      <w:pPr>
        <w:pStyle w:val="Heading3"/>
      </w:pPr>
      <w:r>
        <w:t>Preguntas adicionales para el desarrollador</w:t>
      </w:r>
    </w:p>
    <w:p>
      <w:r>
        <w:t>DEC01 ¿Cuáles pruebas son de rendimiento y cuáles tienen finalidad diagnóstica o terapéutica?</w:t>
      </w:r>
    </w:p>
    <w:p>
      <w:r>
        <w:t>DEC02 ¿Quién determina aptitud, contraindicaciones, intensidad y criterios para interrumpir cada prueba?</w:t>
      </w:r>
    </w:p>
    <w:p>
      <w:r>
        <w:t>DEC03 ¿Se realizan pruebas de esfuerzo, lactato, espirometría u otras técnicas y qué personal competente las interpreta?</w:t>
      </w:r>
    </w:p>
    <w:p>
      <w:r>
        <w:t>DEC04 ¿Se reciben menores o deportistas remitidos por equipos? ¿Quién puede recibir resultados individuales?</w:t>
      </w:r>
    </w:p>
    <w:p>
      <w:r>
        <w:t>DEC05 ¿Qué prueba de funcionamiento, calibración o verificación requiere cada instrumento?</w:t>
      </w:r>
    </w:p>
    <w:p>
      <w:r>
        <w:t>DEC06 ¿Qué proyecto usa datos para investigación y cuáles aprobaciones y consentimientos lo respaldan?</w:t>
      </w:r>
    </w:p>
    <w:p>
      <w:pPr>
        <w:pStyle w:val="Heading3"/>
      </w:pPr>
      <w:r>
        <w:t>Evidencias y resultado del trabajo</w:t>
      </w:r>
    </w:p>
    <w:p>
      <w:r>
        <w:t>Solicitar protocolos, fichas técnicas, planes de atención a incidentes, registros de mantenimiento y contratos con equipos deportivos. Propuesta del sistema: resultados con unidad y método, versión de protocolo, operador, equipo y estado de aceptación; señalización de resultado no validado. Los informes a clubes deben limitarse a la finalidad autorizada.</w:t>
      </w:r>
    </w:p>
    <w:p>
      <w:r>
        <w:t>El cierre requiere simular una prueba interrumpida, un resultado fuera de rango revisado por profesional y una solicitud de datos por parte de un entrenador. El consentimiento del participante no exime de disponer de personal competente, equipo seguro y referencia ante urgencia.</w:t>
      </w:r>
    </w:p>
    <w:p>
      <w:r>
        <w:br w:type="page"/>
      </w:r>
    </w:p>
    <w:p>
      <w:pPr>
        <w:pStyle w:val="Heading1"/>
      </w:pPr>
      <w:r>
        <w:t>C08 Atención y prevención de la salud</w:t>
      </w:r>
    </w:p>
    <w:p>
      <w:r>
        <w:t>Responsable propuesto: coordinación UAPS, personal médico o de enfermería según oferta real y enlace de epidemiología.</w:t>
      </w:r>
    </w:p>
    <w:p>
      <w:pPr>
        <w:pStyle w:val="Heading3"/>
      </w:pPr>
      <w:r>
        <w:t>Aplicabilidad y controles</w:t>
      </w:r>
    </w:p>
    <w:p>
      <w:r>
        <w:t>B/C — NOM-005-SSA3-2018 y NOM-004-SSA3-2012 según atención ambulatoria. NOM-019-SSA3-2013 cuando se presten cuidados de enfermería. Precisar competencias de cada perfil y actos sujetos a indicación médica. [N03, N01, N19]</w:t>
      </w:r>
    </w:p>
    <w:p>
      <w:r>
        <w:t>C — NOM-036-SSA2-2012 cuando se apliquen vacunas u otros biológicos de su ámbito. La agenda no podrá ofrecer esta actividad sin confirmar recursos, personal, cadena de frío y procedimiento de incidentes. NOM-220-SSA1-2016 contempla farmacovigilancia según funciones del servicio. [N20, N21]</w:t>
      </w:r>
    </w:p>
    <w:p>
      <w:r>
        <w:t>B/C — NOM-017-SSA2-2012 para vigilancia epidemiológica dentro de su campo y NOM-035-SSA3-2012 para información en salud conforme a obligaciones del prestador. Definir unidad notificante, evento, canal, responsable, suplente y plazo concreto; no programar el mismo plazo para todos los eventos. [N22, N31]</w:t>
      </w:r>
    </w:p>
    <w:p>
      <w:r>
        <w:t>C — NOM-009-SSA2-2013 en promoción de salud escolar; NOM-015-SSA2-2010, NOM-030-SSA2-2009 y NOM-037-SSA2-2012 para crónicos; NOM-010-SSA-2023 para VIH; NOM-007-SSA2-2016 si se brinda atención de embarazo o del recién nacido dentro de la capacidad autorizada. Toma de muestras: evaluar NOM-007-SSA3-2011 y RPBI. [N33, N13, N14, N15, N34, N35, N23, N07]</w:t>
      </w:r>
    </w:p>
    <w:p>
      <w:pPr>
        <w:pStyle w:val="Heading3"/>
      </w:pPr>
      <w:r>
        <w:t>Preguntas adicionales para el desarrollador</w:t>
      </w:r>
    </w:p>
    <w:p>
      <w:r>
        <w:t>UAC01 ¿Qué actos se realizan y cuáles sólo se canalizan a otra institución?</w:t>
      </w:r>
    </w:p>
    <w:p>
      <w:r>
        <w:t>UAC02 ¿Quién prescribe, aplica medicamentos o vacunas y comprueba identidad, alergias y dosis?</w:t>
      </w:r>
    </w:p>
    <w:p>
      <w:r>
        <w:t>UAC03 ¿Qué registro conserva lote, caducidad, temperatura y persona que administró el producto?</w:t>
      </w:r>
    </w:p>
    <w:p>
      <w:r>
        <w:t>UAC04 ¿Quién recibe alertas epidemiológicas y quién realiza la notificación oficial y conserva el acuse?</w:t>
      </w:r>
    </w:p>
    <w:p>
      <w:r>
        <w:t>UAC05 ¿Se realizan pruebas rápidas o muestras? ¿Qué control de calidad, consentimiento y referencia requieren?</w:t>
      </w:r>
    </w:p>
    <w:p>
      <w:r>
        <w:t>UAC06 ¿Qué sucede si el paciente llega con una urgencia que supera la capacidad del servicio?</w:t>
      </w:r>
    </w:p>
    <w:p>
      <w:pPr>
        <w:pStyle w:val="Heading3"/>
      </w:pPr>
      <w:r>
        <w:t>Evidencias y resultado del trabajo</w:t>
      </w:r>
    </w:p>
    <w:p>
      <w:r>
        <w:t>Solicitar cartera autorizada, protocolos, inventario de medicamentos y biológicos, bitácoras y canales oficiales de referencia. La existencia de un botiquín no convierte al área en servicio formal de urgencias; si se opera como tal debe ampliarse la matriz antes de habilitarlo.</w:t>
      </w:r>
    </w:p>
    <w:p>
      <w:r>
        <w:t>Propuesta del sistema: identificar lotes, generar recordatorios de seguimiento, registrar aviso oficial con acuse y detectar tareas vencidas. Las notificaciones sanitarias requieren revisión y envío por la persona autorizada; no se enviarán automáticamente a autoridades por detectar una palabra en la nota. Cierre: ensayar cadena de frío fuera de rango, evento notificable y traslado.</w:t>
      </w:r>
    </w:p>
    <w:p>
      <w:r>
        <w:br w:type="page"/>
      </w:r>
    </w:p>
    <w:p>
      <w:pPr>
        <w:pStyle w:val="Heading1"/>
      </w:pPr>
      <w:r>
        <w:t>C09 Servicios comunitarios laborales y educativos</w:t>
      </w:r>
    </w:p>
    <w:p>
      <w:r>
        <w:t>Responsable propuesto: coordinación de La Casita y vinculación, con el responsable de cada intervención clínica y cada convenio.</w:t>
      </w:r>
    </w:p>
    <w:p>
      <w:pPr>
        <w:pStyle w:val="Heading3"/>
      </w:pPr>
      <w:r>
        <w:t>Aplicabilidad y controles</w:t>
      </w:r>
    </w:p>
    <w:p>
      <w:r>
        <w:t>B/C — En una jornada comunitaria se aplican las NOM del servicio efectivamente prestado. La gratuidad, el descuento, el voluntariado o la actividad universitaria no eliminan el deber de documentar atención, proteger datos y actuar dentro de las competencias.</w:t>
      </w:r>
    </w:p>
    <w:p>
      <w:r>
        <w:t>C — NOM-009-SSA2-2013 para promoción de salud escolar, NOM-043-SSA2-2012 para orientación alimentaria, NOM-014-SSA3-2013 para asistencia social alimentaria a grupos de riesgo y NOM-251-SSA1-2009 para preparación de alimentos. [N33, N11, N30, N29]</w:t>
      </w:r>
    </w:p>
    <w:p>
      <w:r>
        <w:t>C — NOM-035-STPS-2018 si se ofrecen servicios a empleadores para riesgos psicosociales. Definir el alcance por tamaño del centro de trabajo: hasta 15; de 16 a 50; y más de 50 trabajadores. La contratación de un cuestionario no cubre por sí sola la política, prevención, medidas y seguimiento del empleador. [N41]</w:t>
      </w:r>
    </w:p>
    <w:p>
      <w:r>
        <w:t>C — NOM-030-STPS-2009 si el contrato abarca servicios preventivos de seguridad y salud. El alcance puede activar otras NOM según los riesgos del centro cliente; no anunciar una evaluación psicológica como auditoría integral de SST. [N40]</w:t>
      </w:r>
    </w:p>
    <w:p>
      <w:pPr>
        <w:pStyle w:val="Heading3"/>
      </w:pPr>
      <w:r>
        <w:t>Preguntas adicionales para el desarrollador</w:t>
      </w:r>
    </w:p>
    <w:p>
      <w:r>
        <w:t>COC01 ¿Qué unidad responde por cada jornada y quién acredita local, permisos, personal y materiales?</w:t>
      </w:r>
    </w:p>
    <w:p>
      <w:r>
        <w:t>COC02 ¿Qué convenio delimita responsabilidades, derivaciones, pagos, datos y atención posterior?</w:t>
      </w:r>
    </w:p>
    <w:p>
      <w:r>
        <w:t>COC03 ¿Quién conserva el registro original cuando participan varias instituciones?</w:t>
      </w:r>
    </w:p>
    <w:p>
      <w:r>
        <w:t>COC04 ¿Qué recibe el empleador: resultados agregados, recomendaciones o información individual autorizada?</w:t>
      </w:r>
    </w:p>
    <w:p>
      <w:r>
        <w:t>COC05 ¿Cómo se determina el tamaño del centro de trabajo y la metodología válida para el servicio NOM-035?</w:t>
      </w:r>
    </w:p>
    <w:p>
      <w:r>
        <w:t>COC06 ¿Cómo se documenta una referencia y se verifica que la persona accedió al servicio receptor?</w:t>
      </w:r>
    </w:p>
    <w:p>
      <w:pPr>
        <w:pStyle w:val="Heading3"/>
      </w:pPr>
      <w:r>
        <w:t>Evidencias y resultado del trabajo</w:t>
      </w:r>
    </w:p>
    <w:p>
      <w:r>
        <w:t>Solicitar convenios, programas, listas de personal autorizado, formatos y reportes de ejemplo anonimizados. Determinar si se prestan servicios en centros de asistencia social o sólo orientación; una nueva modalidad residencial exige ampliar requisitos.</w:t>
      </w:r>
    </w:p>
    <w:p>
      <w:r>
        <w:t>Propuesta del sistema: expediente de jornada, sede temporal, equipo responsable, captura sin conexión con custodia segura y sincronización controlada; informes agregados con protección frente a reidentificación. Separar evaluación laboral de expediente de terapia individual. Cierre: validar una campaña externa y un contrato laboral con campos de datos, responsabilidades y productos claramente delimitados.</w:t>
      </w:r>
    </w:p>
    <w:p>
      <w:r>
        <w:br w:type="page"/>
      </w:r>
    </w:p>
    <w:p>
      <w:pPr>
        <w:pStyle w:val="Heading1"/>
      </w:pPr>
      <w:r>
        <w:t>C10 Vinculación jurídica y protección de derechos</w:t>
      </w:r>
    </w:p>
    <w:p>
      <w:r>
        <w:t>Responsable propuesto: despacho jurídico o asesoría institucional; coordinación con el responsable sanitario sólo para el asunto concreto.</w:t>
      </w:r>
    </w:p>
    <w:p>
      <w:pPr>
        <w:pStyle w:val="Heading3"/>
      </w:pPr>
      <w:r>
        <w:t>Alcance normativo</w:t>
      </w:r>
    </w:p>
    <w:p>
      <w:r>
        <w:t>No se identifica una NOM sanitaria propia aplicable al simple servicio de orientación jurídica. Sí deben revisarse ejercicio profesional local, representación, contratos, secreto profesional, conflictos de interés y protección de datos. Cuando el asunto nace de atención clínica, las NOM de ese servicio aportan el marco del hecho, sin convertir el expediente jurídico en expediente clínico.</w:t>
      </w:r>
    </w:p>
    <w:p>
      <w:r>
        <w:t>La LFPDPPP regula el tratamiento privado de datos y la LGDNNA aporta el marco de protección de menores. Revisar la legislación estatal y procesal correspondiente al asunto y la transición local del régimen procesal antes de automatizar plazos. Este plan no fija calendarios judiciales universales. [F06, F09]</w:t>
      </w:r>
    </w:p>
    <w:p>
      <w:r>
        <w:t>NOM-151-SCFI-2016 puede ser relevante para conservación de mensajes de datos y digitalización dentro de su ámbito mercantil. Jurídico definirá cuándo se requiere un mecanismo de constancia con un prestador acreditado. Un PDF, una imagen de firma o un hash propio no equivalen por sí solos a esa constancia. Tampoco sustituyen el cumplimiento clínico de NOM-004 y NOM-024. [N52]</w:t>
      </w:r>
    </w:p>
    <w:p>
      <w:pPr>
        <w:pStyle w:val="Heading3"/>
      </w:pPr>
      <w:r>
        <w:t>Preguntas adicionales para el desarrollador</w:t>
      </w:r>
    </w:p>
    <w:p>
      <w:r>
        <w:t>JUC01 ¿Quién es el cliente del despacho cuando existe un conflicto entre paciente e institución?</w:t>
      </w:r>
    </w:p>
    <w:p>
      <w:r>
        <w:t>JUC02 ¿Cómo se detecta y documenta conflicto de interés antes de recibir información confidencial?</w:t>
      </w:r>
    </w:p>
    <w:p>
      <w:r>
        <w:t>JUC03 ¿Qué poder, autorización o representación permite actuar o recibir documentos?</w:t>
      </w:r>
    </w:p>
    <w:p>
      <w:r>
        <w:t>JUC04 ¿Qué información clínica es necesaria, con qué fundamento y qué profesional valida la entrega?</w:t>
      </w:r>
    </w:p>
    <w:p>
      <w:r>
        <w:t>JUC05 ¿Qué documentos se preservan por litigio o investigación y quién puede levantar la retención?</w:t>
      </w:r>
    </w:p>
    <w:p>
      <w:r>
        <w:t>JUC06 ¿Qué plazos se calculan, cuál es su fuente, jurisdicción y fecha de notificación, y quién verifica el resultado?</w:t>
      </w:r>
    </w:p>
    <w:p>
      <w:pPr>
        <w:pStyle w:val="Heading3"/>
      </w:pPr>
      <w:r>
        <w:t>Evidencias y resultado del trabajo</w:t>
      </w:r>
    </w:p>
    <w:p>
      <w:r>
        <w:t>Solicitar formatos de apertura, carta de servicios, poderes, protocolo de conflicto de interés, reglas de custodia y matriz de jurisdicciones. Mantener reservado el contenido del asunto frente a recepción clínica y áreas que no participan en él.</w:t>
      </w:r>
    </w:p>
    <w:p>
      <w:r>
        <w:t>Propuesta del sistema: compartimento jurídico separado, expediente de autorizaciones y entregas, control de vencimientos con validación profesional y conservación por litigio. El acceso por emergencia clínica no debe abrir automáticamente un expediente jurídico; son finalidades distintas.</w:t>
      </w:r>
    </w:p>
    <w:p>
      <w:r>
        <w:t>Cierre: simular una solicitud de expediente por autoridad, un familiar sin representación y un conflicto institucional. Registrar recepción, verificación, decisión, documentación entregada y acuse. La transparencia hacia el paciente debe articularse con sus derechos y la reserva de terceros, sin tratar el secreto profesional como una prohibición absoluta de atender solicitudes legítimas.</w:t>
      </w:r>
    </w:p>
    <w:p>
      <w:r>
        <w:br w:type="page"/>
      </w:r>
    </w:p>
    <w:p>
      <w:pPr>
        <w:pStyle w:val="Heading1"/>
      </w:pPr>
      <w:r>
        <w:t>C11 Recepción administración docencia y recursos</w:t>
      </w:r>
    </w:p>
    <w:p>
      <w:r>
        <w:t>Responsable propuesto: Dirección, responsables de unidad, Recursos Humanos, coordinación académica, Finanzas y mantenimiento.</w:t>
      </w:r>
    </w:p>
    <w:p>
      <w:pPr>
        <w:pStyle w:val="Heading3"/>
      </w:pPr>
      <w:r>
        <w:t>Controles por función</w:t>
      </w:r>
    </w:p>
    <w:p>
      <w:r>
        <w:t>Recepción verificará identidad y representación, información del servicio, privacidad y agenda; no tendrá acceso rutinario a notas clínicas. Caja conservará concepto, importe y comprobante, sin copiar diagnósticos al recibo o al log de pagos. La coordinación definirá qué datos mínimos requiere cada función.</w:t>
      </w:r>
    </w:p>
    <w:p>
      <w:r>
        <w:t>La Ley General de Salud, artículos 79 y 83, es parte de la revisión de títulos, ejercicio y datos profesionales. Verificar cédulas y facultades por actividad; una matrícula escolar o la presencia de un docente no habilita por sí sola cualquier acto clínico. [F07]</w:t>
      </w:r>
    </w:p>
    <w:p>
      <w:r>
        <w:t>C — NOM-009-SSA3-2013 para campos clínicos del servicio social de medicina y estomatología. No extenderla automáticamente a todas las prácticas de fisioterapia, nutrición o psicología; éstas requieren revisar convenios, reglas académicas y supervisión propios. NOM-012-SSA3-2012 cuando exista investigación para la salud en seres humanos. [N36, N26]</w:t>
      </w:r>
    </w:p>
    <w:p>
      <w:r>
        <w:t>T/C — Recursos debe integrar esterilización, limpieza, inventario, mantenimiento y tecnovigilancia según equipos. Autoclaves y compresores requieren clasificación técnica frente a NOM-020-STPS-2011; no todos tienen iguales obligaciones ni toda unidad necesita el mismo trámite. [N27, N46]</w:t>
      </w:r>
    </w:p>
    <w:p>
      <w:pPr>
        <w:pStyle w:val="Heading3"/>
      </w:pPr>
      <w:r>
        <w:t>Preguntas adicionales para el desarrollador</w:t>
      </w:r>
    </w:p>
    <w:p>
      <w:r>
        <w:t>ADC01 ¿Qué razón social presta, cobra y factura cada servicio y quién conserva el expediente?</w:t>
      </w:r>
    </w:p>
    <w:p>
      <w:r>
        <w:t>ADC02 ¿Qué permisos amparan cada domicilio y cartera real, incluidos cambios de responsable?</w:t>
      </w:r>
    </w:p>
    <w:p>
      <w:r>
        <w:t>ADC03 ¿Cómo se verifica título, cédula, capacitación y alcance de actuación antes de asignar pacientes?</w:t>
      </w:r>
    </w:p>
    <w:p>
      <w:r>
        <w:t>ADC04 ¿Qué documento autoriza a un alumno, fija supervisor y fecha de término de su acceso?</w:t>
      </w:r>
    </w:p>
    <w:p>
      <w:r>
        <w:t>ADC05 ¿Cómo se distinguen consentimiento asistencial, participación docente, investigación y uso de imagen?</w:t>
      </w:r>
    </w:p>
    <w:p>
      <w:r>
        <w:t>ADC06 ¿Qué compras, mantenimiento, calibración, retiro y caducidades deben impedir utilizar un recurso?</w:t>
      </w:r>
    </w:p>
    <w:p>
      <w:pPr>
        <w:pStyle w:val="Heading3"/>
      </w:pPr>
      <w:r>
        <w:t>Evidencias y resultado del trabajo</w:t>
      </w:r>
    </w:p>
    <w:p>
      <w:r>
        <w:t>Solicitar padrón de profesionales, expedientes de alumnos, convenios, permisos, inventario y contratos. No exigir a una cédula profesional una caducidad inexistente; distinguir verificación de identidad y registro de las renovaciones reales de certificados, permisos o acreditaciones.</w:t>
      </w:r>
    </w:p>
    <w:p>
      <w:r>
        <w:t>Propuesta del sistema: credenciales verificadas, asignación limitada por actividad y vigencia de rotación, doble autoría alumno supervisor, catálogo de recursos y retiro trazable. Un proyecto de investigación debe tener sus aprobaciones específicas y su conjunto de datos autorizado, separado de la operación asistencial. Cierre: comprobar acceso de alumno vencido, equipo retirado y cobro sin acceso a diagnóstico.</w:t>
      </w:r>
    </w:p>
    <w:p>
      <w:r>
        <w:br w:type="page"/>
      </w:r>
    </w:p>
    <w:p>
      <w:pPr>
        <w:pStyle w:val="Heading1"/>
      </w:pPr>
      <w:r>
        <w:t>C12 Seguridad laboral y protección civil</w:t>
      </w:r>
    </w:p>
    <w:p>
      <w:r>
        <w:t>El diagnóstico debe realizarse por centro de trabajo y sede, con inventario de puestos, trabajadores, alumnos expuestos, equipos y sustancias. Las NOM laborales obligan conforme a su campo; para estudiantes se definirán también medidas institucionales y convenios, sin confundir categorías laborales.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Norma o grupo</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Qué se debe comprobar</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Evidencia propuesta</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NOM-001-STPS-2008 y NOM-002-STPS-2010</w:t>
            </w:r>
          </w:p>
        </w:tc>
        <w:tc>
          <w:tcPr>
            <w:tcW w:type="dxa" w:w="4067"/>
            <w:vAlign w:val="center"/>
            <w:tcMar>
              <w:top w:w="85" w:type="dxa"/>
              <w:bottom w:w="85" w:type="dxa"/>
              <w:left w:w="85" w:type="dxa"/>
              <w:right w:w="85" w:type="dxa"/>
            </w:tcMar>
            <w:shd w:fill="FFFFFF"/>
          </w:tcPr>
          <w:p>
            <w:pPr>
              <w:spacing w:after="40" w:line="247" w:lineRule="auto"/>
            </w:pPr>
            <w:r>
              <w:rPr>
                <w:sz w:val="18"/>
              </w:rPr>
              <w:t>Instalaciones seguras y prevención de incendios conforme al riesgo</w:t>
            </w:r>
          </w:p>
        </w:tc>
        <w:tc>
          <w:tcPr>
            <w:tcW w:type="dxa" w:w="3457"/>
            <w:vAlign w:val="center"/>
            <w:tcMar>
              <w:top w:w="85" w:type="dxa"/>
              <w:bottom w:w="85" w:type="dxa"/>
              <w:left w:w="85" w:type="dxa"/>
              <w:right w:w="85" w:type="dxa"/>
            </w:tcMar>
            <w:shd w:fill="FFFFFF"/>
          </w:tcPr>
          <w:p>
            <w:pPr>
              <w:spacing w:after="40" w:line="247" w:lineRule="auto"/>
            </w:pPr>
            <w:r>
              <w:rPr>
                <w:sz w:val="18"/>
              </w:rPr>
              <w:t>Recorridos, evaluación de incendio, mantenimiento y simulacros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NOM-019-STPS-2011 y NOM-030-STPS-2009</w:t>
            </w:r>
          </w:p>
        </w:tc>
        <w:tc>
          <w:tcPr>
            <w:tcW w:type="dxa" w:w="4067"/>
            <w:vAlign w:val="center"/>
            <w:tcMar>
              <w:top w:w="85" w:type="dxa"/>
              <w:bottom w:w="85" w:type="dxa"/>
              <w:left w:w="85" w:type="dxa"/>
              <w:right w:w="85" w:type="dxa"/>
            </w:tcMar>
            <w:shd w:fill="F2F5F8"/>
          </w:tcPr>
          <w:p>
            <w:pPr>
              <w:spacing w:after="40" w:line="247" w:lineRule="auto"/>
            </w:pPr>
            <w:r>
              <w:rPr>
                <w:sz w:val="18"/>
              </w:rPr>
              <w:t>Comisión de seguridad e higiene y servicios preventivos</w:t>
            </w:r>
          </w:p>
        </w:tc>
        <w:tc>
          <w:tcPr>
            <w:tcW w:type="dxa" w:w="3457"/>
            <w:vAlign w:val="center"/>
            <w:tcMar>
              <w:top w:w="85" w:type="dxa"/>
              <w:bottom w:w="85" w:type="dxa"/>
              <w:left w:w="85" w:type="dxa"/>
              <w:right w:w="85" w:type="dxa"/>
            </w:tcMar>
            <w:shd w:fill="F2F5F8"/>
          </w:tcPr>
          <w:p>
            <w:pPr>
              <w:spacing w:after="40" w:line="247" w:lineRule="auto"/>
            </w:pPr>
            <w:r>
              <w:rPr>
                <w:sz w:val="18"/>
              </w:rPr>
              <w:t>Actas, diagnóstico, programa o relación de acciones y seguimiento</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NOM-017-STPS-2024</w:t>
            </w:r>
          </w:p>
        </w:tc>
        <w:tc>
          <w:tcPr>
            <w:tcW w:type="dxa" w:w="4067"/>
            <w:vAlign w:val="center"/>
            <w:tcMar>
              <w:top w:w="85" w:type="dxa"/>
              <w:bottom w:w="85" w:type="dxa"/>
              <w:left w:w="85" w:type="dxa"/>
              <w:right w:w="85" w:type="dxa"/>
            </w:tcMar>
            <w:shd w:fill="FFFFFF"/>
          </w:tcPr>
          <w:p>
            <w:pPr>
              <w:spacing w:after="40" w:line="247" w:lineRule="auto"/>
            </w:pPr>
            <w:r>
              <w:rPr>
                <w:sz w:val="18"/>
              </w:rPr>
              <w:t>Selección y manejo de EPP según peligros</w:t>
            </w:r>
          </w:p>
        </w:tc>
        <w:tc>
          <w:tcPr>
            <w:tcW w:type="dxa" w:w="3457"/>
            <w:vAlign w:val="center"/>
            <w:tcMar>
              <w:top w:w="85" w:type="dxa"/>
              <w:bottom w:w="85" w:type="dxa"/>
              <w:left w:w="85" w:type="dxa"/>
              <w:right w:w="85" w:type="dxa"/>
            </w:tcMar>
            <w:shd w:fill="FFFFFF"/>
          </w:tcPr>
          <w:p>
            <w:pPr>
              <w:spacing w:after="40" w:line="247" w:lineRule="auto"/>
            </w:pPr>
            <w:r>
              <w:rPr>
                <w:sz w:val="18"/>
              </w:rPr>
              <w:t>Matriz por puesto, entrega, capacitación y reposición</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NOM-025-STPS-2008 y NOM-026-STPS-2008</w:t>
            </w:r>
          </w:p>
        </w:tc>
        <w:tc>
          <w:tcPr>
            <w:tcW w:type="dxa" w:w="4067"/>
            <w:vAlign w:val="center"/>
            <w:tcMar>
              <w:top w:w="85" w:type="dxa"/>
              <w:bottom w:w="85" w:type="dxa"/>
              <w:left w:w="85" w:type="dxa"/>
              <w:right w:w="85" w:type="dxa"/>
            </w:tcMar>
            <w:shd w:fill="F2F5F8"/>
          </w:tcPr>
          <w:p>
            <w:pPr>
              <w:spacing w:after="40" w:line="247" w:lineRule="auto"/>
            </w:pPr>
            <w:r>
              <w:rPr>
                <w:sz w:val="18"/>
              </w:rPr>
              <w:t>Iluminación y señalización</w:t>
            </w:r>
          </w:p>
        </w:tc>
        <w:tc>
          <w:tcPr>
            <w:tcW w:type="dxa" w:w="3457"/>
            <w:vAlign w:val="center"/>
            <w:tcMar>
              <w:top w:w="85" w:type="dxa"/>
              <w:bottom w:w="85" w:type="dxa"/>
              <w:left w:w="85" w:type="dxa"/>
              <w:right w:w="85" w:type="dxa"/>
            </w:tcMar>
            <w:shd w:fill="F2F5F8"/>
          </w:tcPr>
          <w:p>
            <w:pPr>
              <w:spacing w:after="40" w:line="247" w:lineRule="auto"/>
            </w:pPr>
            <w:r>
              <w:rPr>
                <w:sz w:val="18"/>
              </w:rPr>
              <w:t>Evaluaciones técnicas y verificación física</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NOM-035-STPS-2018</w:t>
            </w:r>
          </w:p>
        </w:tc>
        <w:tc>
          <w:tcPr>
            <w:tcW w:type="dxa" w:w="4067"/>
            <w:vAlign w:val="center"/>
            <w:tcMar>
              <w:top w:w="85" w:type="dxa"/>
              <w:bottom w:w="85" w:type="dxa"/>
              <w:left w:w="85" w:type="dxa"/>
              <w:right w:w="85" w:type="dxa"/>
            </w:tcMar>
            <w:shd w:fill="FFFFFF"/>
          </w:tcPr>
          <w:p>
            <w:pPr>
              <w:spacing w:after="40" w:line="247" w:lineRule="auto"/>
            </w:pPr>
            <w:r>
              <w:rPr>
                <w:sz w:val="18"/>
              </w:rPr>
              <w:t>Riesgos psicosociales según tamaño del centro</w:t>
            </w:r>
          </w:p>
        </w:tc>
        <w:tc>
          <w:tcPr>
            <w:tcW w:type="dxa" w:w="3457"/>
            <w:vAlign w:val="center"/>
            <w:tcMar>
              <w:top w:w="85" w:type="dxa"/>
              <w:bottom w:w="85" w:type="dxa"/>
              <w:left w:w="85" w:type="dxa"/>
              <w:right w:w="85" w:type="dxa"/>
            </w:tcMar>
            <w:shd w:fill="FFFFFF"/>
          </w:tcPr>
          <w:p>
            <w:pPr>
              <w:spacing w:after="40" w:line="247" w:lineRule="auto"/>
            </w:pPr>
            <w:r>
              <w:rPr>
                <w:sz w:val="18"/>
              </w:rPr>
              <w:t>Política, evaluación aplicable, medidas y seguimiento</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NOM-005-STPS-1998, 018-STPS-2015 y 010-STPS-2014</w:t>
            </w:r>
          </w:p>
        </w:tc>
        <w:tc>
          <w:tcPr>
            <w:tcW w:type="dxa" w:w="4067"/>
            <w:vAlign w:val="center"/>
            <w:tcMar>
              <w:top w:w="85" w:type="dxa"/>
              <w:bottom w:w="85" w:type="dxa"/>
              <w:left w:w="85" w:type="dxa"/>
              <w:right w:w="85" w:type="dxa"/>
            </w:tcMar>
            <w:shd w:fill="F2F5F8"/>
          </w:tcPr>
          <w:p>
            <w:pPr>
              <w:spacing w:after="40" w:line="247" w:lineRule="auto"/>
            </w:pPr>
            <w:r>
              <w:rPr>
                <w:sz w:val="18"/>
              </w:rPr>
              <w:t>Sustancias peligrosas y exposición a agentes químicos, cuando proceda</w:t>
            </w:r>
          </w:p>
        </w:tc>
        <w:tc>
          <w:tcPr>
            <w:tcW w:type="dxa" w:w="3457"/>
            <w:vAlign w:val="center"/>
            <w:tcMar>
              <w:top w:w="85" w:type="dxa"/>
              <w:bottom w:w="85" w:type="dxa"/>
              <w:left w:w="85" w:type="dxa"/>
              <w:right w:w="85" w:type="dxa"/>
            </w:tcMar>
            <w:shd w:fill="F2F5F8"/>
          </w:tcPr>
          <w:p>
            <w:pPr>
              <w:spacing w:after="40" w:line="247" w:lineRule="auto"/>
            </w:pPr>
            <w:r>
              <w:rPr>
                <w:sz w:val="18"/>
              </w:rPr>
              <w:t>Inventario, hojas de datos de seguridad, análisis y controles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NOM-012-STPS-2012 y 013-STPS-1993</w:t>
            </w:r>
          </w:p>
        </w:tc>
        <w:tc>
          <w:tcPr>
            <w:tcW w:type="dxa" w:w="4067"/>
            <w:vAlign w:val="center"/>
            <w:tcMar>
              <w:top w:w="85" w:type="dxa"/>
              <w:bottom w:w="85" w:type="dxa"/>
              <w:left w:w="85" w:type="dxa"/>
              <w:right w:w="85" w:type="dxa"/>
            </w:tcMar>
            <w:shd w:fill="FFFFFF"/>
          </w:tcPr>
          <w:p>
            <w:pPr>
              <w:spacing w:after="40" w:line="247" w:lineRule="auto"/>
            </w:pPr>
            <w:r>
              <w:rPr>
                <w:sz w:val="18"/>
              </w:rPr>
              <w:t>Fuentes ionizantes o no ionizantes, respectivamente</w:t>
            </w:r>
          </w:p>
        </w:tc>
        <w:tc>
          <w:tcPr>
            <w:tcW w:type="dxa" w:w="3457"/>
            <w:vAlign w:val="center"/>
            <w:tcMar>
              <w:top w:w="85" w:type="dxa"/>
              <w:bottom w:w="85" w:type="dxa"/>
              <w:left w:w="85" w:type="dxa"/>
              <w:right w:w="85" w:type="dxa"/>
            </w:tcMar>
            <w:shd w:fill="FFFFFF"/>
          </w:tcPr>
          <w:p>
            <w:pPr>
              <w:spacing w:after="40" w:line="247" w:lineRule="auto"/>
            </w:pPr>
            <w:r>
              <w:rPr>
                <w:sz w:val="18"/>
              </w:rPr>
              <w:t>Clasificación de exposición y controles del especialista</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NOM-020-STPS-2011</w:t>
            </w:r>
          </w:p>
        </w:tc>
        <w:tc>
          <w:tcPr>
            <w:tcW w:type="dxa" w:w="4067"/>
            <w:vAlign w:val="center"/>
            <w:tcMar>
              <w:top w:w="85" w:type="dxa"/>
              <w:bottom w:w="85" w:type="dxa"/>
              <w:left w:w="85" w:type="dxa"/>
              <w:right w:w="85" w:type="dxa"/>
            </w:tcMar>
            <w:shd w:fill="F2F5F8"/>
          </w:tcPr>
          <w:p>
            <w:pPr>
              <w:spacing w:after="40" w:line="247" w:lineRule="auto"/>
            </w:pPr>
            <w:r>
              <w:rPr>
                <w:sz w:val="18"/>
              </w:rPr>
              <w:t>Recipientes y generadores de vapor dentro de su campo</w:t>
            </w:r>
          </w:p>
        </w:tc>
        <w:tc>
          <w:tcPr>
            <w:tcW w:type="dxa" w:w="3457"/>
            <w:vAlign w:val="center"/>
            <w:tcMar>
              <w:top w:w="85" w:type="dxa"/>
              <w:bottom w:w="85" w:type="dxa"/>
              <w:left w:w="85" w:type="dxa"/>
              <w:right w:w="85" w:type="dxa"/>
            </w:tcMar>
            <w:shd w:fill="F2F5F8"/>
          </w:tcPr>
          <w:p>
            <w:pPr>
              <w:spacing w:after="40" w:line="247" w:lineRule="auto"/>
            </w:pPr>
            <w:r>
              <w:rPr>
                <w:sz w:val="18"/>
              </w:rPr>
              <w:t>Expediente técnico y clasificación de cada equipo</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NOM-029-STPS-2011 y NOM-001-SEDE-2012</w:t>
            </w:r>
          </w:p>
        </w:tc>
        <w:tc>
          <w:tcPr>
            <w:tcW w:type="dxa" w:w="4067"/>
            <w:vAlign w:val="center"/>
            <w:tcMar>
              <w:top w:w="85" w:type="dxa"/>
              <w:bottom w:w="85" w:type="dxa"/>
              <w:left w:w="85" w:type="dxa"/>
              <w:right w:w="85" w:type="dxa"/>
            </w:tcMar>
            <w:shd w:fill="FFFFFF"/>
          </w:tcPr>
          <w:p>
            <w:pPr>
              <w:spacing w:after="40" w:line="247" w:lineRule="auto"/>
            </w:pPr>
            <w:r>
              <w:rPr>
                <w:sz w:val="18"/>
              </w:rPr>
              <w:t>Mantenimiento e instalación eléctrica, según alcance</w:t>
            </w:r>
          </w:p>
        </w:tc>
        <w:tc>
          <w:tcPr>
            <w:tcW w:type="dxa" w:w="3457"/>
            <w:vAlign w:val="center"/>
            <w:tcMar>
              <w:top w:w="85" w:type="dxa"/>
              <w:bottom w:w="85" w:type="dxa"/>
              <w:left w:w="85" w:type="dxa"/>
              <w:right w:w="85" w:type="dxa"/>
            </w:tcMar>
            <w:shd w:fill="FFFFFF"/>
          </w:tcPr>
          <w:p>
            <w:pPr>
              <w:spacing w:after="40" w:line="247" w:lineRule="auto"/>
            </w:pPr>
            <w:r>
              <w:rPr>
                <w:sz w:val="18"/>
              </w:rPr>
              <w:t>Planos, revisiones, personal autorizado y dictámenes exigibles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NOM-036-1-STPS-2018 y NOM-037-STPS-2023</w:t>
            </w:r>
          </w:p>
        </w:tc>
        <w:tc>
          <w:tcPr>
            <w:tcW w:type="dxa" w:w="4067"/>
            <w:vAlign w:val="center"/>
            <w:tcMar>
              <w:top w:w="85" w:type="dxa"/>
              <w:bottom w:w="85" w:type="dxa"/>
              <w:left w:w="85" w:type="dxa"/>
              <w:right w:w="85" w:type="dxa"/>
            </w:tcMar>
            <w:shd w:fill="F2F5F8"/>
          </w:tcPr>
          <w:p>
            <w:pPr>
              <w:spacing w:after="40" w:line="247" w:lineRule="auto"/>
            </w:pPr>
            <w:r>
              <w:rPr>
                <w:sz w:val="18"/>
              </w:rPr>
              <w:t>Manejo manual de cargas y teletrabajo, si se activan sus supuestos</w:t>
            </w:r>
          </w:p>
        </w:tc>
        <w:tc>
          <w:tcPr>
            <w:tcW w:type="dxa" w:w="3457"/>
            <w:vAlign w:val="center"/>
            <w:tcMar>
              <w:top w:w="85" w:type="dxa"/>
              <w:bottom w:w="85" w:type="dxa"/>
              <w:left w:w="85" w:type="dxa"/>
              <w:right w:w="85" w:type="dxa"/>
            </w:tcMar>
            <w:shd w:fill="F2F5F8"/>
          </w:tcPr>
          <w:p>
            <w:pPr>
              <w:spacing w:after="40" w:line="247" w:lineRule="auto"/>
            </w:pPr>
            <w:r>
              <w:rPr>
                <w:sz w:val="18"/>
              </w:rPr>
              <w:t>Evaluación por actividad y modalidad; medidas preventivas</w:t>
            </w:r>
          </w:p>
        </w:tc>
      </w:tr>
    </w:tbl>
    <w:p>
      <w:pPr>
        <w:spacing w:after="20"/>
      </w:pPr>
    </w:p>
    <w:p>
      <w:r>
        <w:t>Fuentes individuales en C19, N37 a N51 y N56 a N60. El análisis puede activar otras NOM por ruido, maquinaria, altura u otros peligros: registrar esa extensión, no declarar automáticamente exhaustivo este listado.</w:t>
      </w:r>
    </w:p>
    <w:p>
      <w:pPr>
        <w:pStyle w:val="Heading3"/>
      </w:pPr>
      <w:r>
        <w:t>Protección civil y autorizaciones locales</w:t>
      </w:r>
    </w:p>
    <w:p>
      <w:r>
        <w:t>Revisar NOM-003-SSPC-2011 y NOM-008-SSPC-2015, así como la Ley y Reglamento de Protección Civil de Yucatán y requisitos de la autoridad competente. Verificar que el programa interno incluya clínicas, usuarios con movilidad reducida, sustancias, equipos y sedes externas. Confirmar jurisdicción municipal por domicilio; no presumirla por el nombre comercial del campus. [N50, N51; F10, F12]</w:t>
      </w:r>
    </w:p>
    <w:p>
      <w:r>
        <w:t>El plan de evacuación deberá poder ejecutarse con pacientes en tratamiento. Responsable propuesto: seguridad y mantenimiento. Preguntas clave: ¿quién ayuda a cada persona?, ¿cómo se interrumpe de forma segura un procedimiento?, ¿qué evidencia acredita capacitación y correcciones? La app conservará tareas y vencimientos; la eficacia se comprobará físicamente.</w:t>
      </w:r>
    </w:p>
    <w:p>
      <w:r>
        <w:br w:type="page"/>
      </w:r>
    </w:p>
    <w:p>
      <w:pPr>
        <w:pStyle w:val="Heading1"/>
      </w:pPr>
      <w:r>
        <w:t>C13 Bioseguridad ambiente y vigilancia</w:t>
      </w:r>
    </w:p>
    <w:p>
      <w:r>
        <w:t>Responsables propuestos: sanitario, encargado de residuos, mantenimiento y enlace con proveedores autorizados.</w:t>
      </w:r>
    </w:p>
    <w:p>
      <w:pPr>
        <w:pStyle w:val="Heading3"/>
      </w:pPr>
      <w:r>
        <w:t>Residuos y esterilización</w:t>
      </w:r>
    </w:p>
    <w:p>
      <w:r>
        <w:t>NOM-087-SEMARNAT-SSA1-2002 exige clasificar RPBI y manejarlo conforme al tipo de generador y residuo. Verificar segregación en origen, envase, almacenamiento, recolección y destino. No todo residuo de consultorio es RPBI. Determinar el nivel del generador antes de configurar tiempos máximos de almacenamiento. [N07]</w:t>
      </w:r>
    </w:p>
    <w:p>
      <w:r>
        <w:t>NOM-052-SEMARNAT-2005 y LGPGIR amplían la revisión a residuos peligrosos químicos y a las obligaciones del generador. Solicitar registro que corresponda, contratos, autorizaciones de gestores y comprobantes de entrega. No mezclar amalgamas, solventes, medicamentos caducos u otros residuos con la bolsa de RPBI sin clasificación. [N32; F11]</w:t>
      </w:r>
    </w:p>
    <w:p>
      <w:r>
        <w:t>Propuesta de control: cada entrega tendrá tipo, cantidad, fecha, sede, recolector y evidencia; una alerta de vencimiento no sustituirá el retiro. Para esterilización, vincular equipo, ciclo y liberación, con protocolo de carga fallida, inmovilización y evaluación de pacientes potencialmente afectados por el responsable clínico.</w:t>
      </w:r>
    </w:p>
    <w:p>
      <w:pPr>
        <w:pStyle w:val="Heading3"/>
      </w:pPr>
      <w:r>
        <w:t>Agua e instalaciones</w:t>
      </w:r>
    </w:p>
    <w:p>
      <w:r>
        <w:t>NOM-127-SSA1-2021 establece calidad del agua para uso y consumo humano; identificar si la institución opera un sistema de abastecimiento y qué controles le corresponden, además del agua usada en procedimientos. NOM-245-SSA1-2010 se revisa en albercas de su ámbito. Muestrear y mantener según programa sanitario aprobado; no fijar frecuencias sólo por comodidad del software. [N53, N28]</w:t>
      </w:r>
    </w:p>
    <w:p>
      <w:r>
        <w:t>Para aguas residuales, identificar destino antes de seleccionar norma: NOM-002-SEMARNAT-1996 para alcantarillado urbano o municipal; NOM-001-SEMARNAT-2021 para cuerpos receptores nacionales. Revisar permisos de extracción y descarga bajo la Ley de Aguas Nacionales cuando se activen esos supuestos; un pozo o una infiltración requieren análisis propio. [N54, N55; F13]</w:t>
      </w:r>
    </w:p>
    <w:p>
      <w:pPr>
        <w:pStyle w:val="Heading3"/>
      </w:pPr>
      <w:r>
        <w:t>Incidentes y vigilancia</w:t>
      </w:r>
    </w:p>
    <w:p>
      <w:r>
        <w:t>NOM-220-SSA1-2016 y NOM-240-SSA1-2012: definir la ruta aplicable para sospechas de reacciones a medicamentos e incidentes con dispositivos. No imponer funciones de fabricante a una clínica usuaria; sí identificar sus responsabilidades de registro y comunicación. NOM-017-SSA2-2012 se articula con epidemiología. [N21, N27, N22]</w:t>
      </w:r>
    </w:p>
    <w:p>
      <w:r>
        <w:t>Preguntas de cierre: ¿qué incidentes requieren atención inmediata?, ¿quién decide el reporte y conserva el acuse?, ¿qué proveedor recibe avisos?, ¿quién verifica corrección y eficacia? El sistema registrará atención clínica por separado del análisis institucional del incidente y limitará acceso a ambas finalidades.</w:t>
      </w:r>
    </w:p>
    <w:p>
      <w:r>
        <w:br w:type="page"/>
      </w:r>
    </w:p>
    <w:p>
      <w:pPr>
        <w:pStyle w:val="Heading1"/>
      </w:pPr>
      <w:r>
        <w:t>C14 Permisos ética publicidad y finanzas</w:t>
      </w:r>
    </w:p>
    <w:p>
      <w:r>
        <w:t>El cumplimiento integral incluye obligaciones que no son NOM. Jurídico elaborará el registro de instrumentos aplicables y Dirección designará titulares por establecimiento. Las siguientes acciones son propuestas de verificación; no acreditan que falte un permiso.</w:t>
      </w:r>
    </w:p>
    <w:p>
      <w:pPr>
        <w:pStyle w:val="Heading3"/>
      </w:pPr>
      <w:r>
        <w:t>Apertura y operación sanitaria</w:t>
      </w:r>
    </w:p>
    <w:p>
      <w:r>
        <w:t>Con la Ley General de Salud y su Reglamento en materia de prestación de servicios de atención médica, revisar tipo de establecimiento, aviso de funcionamiento, responsable sanitario y licencias cuando correspondan. Confirmar titular, domicilio, actividades, cambios y autoridad receptora. No presentar un aviso como equivalente de una licencia para actividades que la requieren. [F07, F08, F14]</w:t>
      </w:r>
    </w:p>
    <w:p>
      <w:r>
        <w:t>Verificar títulos y competencias, información a usuarios, referencia ante urgencias, quejas y responsabilidad profesional. Revisar seguro y cobertura de estudiantes y prácticas; documentar si es obligación, requisito contractual o medida institucional. Ninguna carta de consentimiento debe presentarse como exoneración general de responsabilidad.</w:t>
      </w:r>
    </w:p>
    <w:p>
      <w:pPr>
        <w:pStyle w:val="Heading3"/>
      </w:pPr>
      <w:r>
        <w:t>Seguridad del paciente y conducta institucional</w:t>
      </w:r>
    </w:p>
    <w:p>
      <w:r>
        <w:t>Integrar las Acciones Esenciales para la Seguridad del Paciente, cuyo anexo fue actualizado en 2023. Adaptar identificación, comunicación, seguridad de medicamentos y procedimientos, prevención de infecciones y caídas, registro de eventos y cultura de seguridad a cada servicio. No confundir su implementación con obtener voluntariamente una certificación institucional. [F15]</w:t>
      </w:r>
    </w:p>
    <w:p>
      <w:r>
        <w:t>Propuesta de gobierno: canal de quejas, trato digno, prevención de discriminación y acoso, conflictos de interés y criterios transparentes de becas y descuentos. Registrar resolución y acciones, con revisión independiente cuando exista conflicto.</w:t>
      </w:r>
    </w:p>
    <w:p>
      <w:pPr>
        <w:pStyle w:val="Heading3"/>
      </w:pPr>
      <w:r>
        <w:t>Landing page y comunicación comercial</w:t>
      </w:r>
    </w:p>
    <w:p>
      <w:r>
        <w:t>Revisar el Reglamento de la Ley General de Salud en materia de Publicidad y el trámite COFEPRIS aplicable: permiso o aviso según anunciante y contenido. Aprobar cada servicio, nombre profesional, tarifa, promoción, imagen y afirmación clínica antes de publicar. Una web universitaria que anuncia atención clínica debe evaluarse por ese contenido. [F16]</w:t>
      </w:r>
    </w:p>
    <w:p>
      <w:r>
        <w:t>Propuesta del sistema: ninguna tarjeta pública se activará sin aprobación del dueño del servicio y revisión documental. Conservar versión publicada, responsable y fecha. No usar fotografías identificables de pacientes ni testimonios sin base y autorizaciones pertinentes.</w:t>
      </w:r>
    </w:p>
    <w:p>
      <w:pPr>
        <w:pStyle w:val="Heading3"/>
      </w:pPr>
      <w:r>
        <w:t>Facturación contratos y personal</w:t>
      </w:r>
    </w:p>
    <w:p>
      <w:r>
        <w:t>Finanzas determinará por concepto y prestador el tratamiento de IVA, CFDI, descuentos y devoluciones. La exención de servicios médicos tiene condiciones; no extenderla automáticamente a todo lo que se anuncia como salud o deporte. [F17]</w:t>
      </w:r>
    </w:p>
    <w:p>
      <w:r>
        <w:t>RH y Jurídico revisarán contratación, seguridad social, riesgos de trabajo, prestadores independientes y convenios de alumnos. La aplicación deberá separar expedientes laborales y clínicos; sus detalles fiscales y laborales se validarán con el régimen real de la entidad y la normativa vigente al implementar.</w:t>
      </w:r>
    </w:p>
    <w:p>
      <w:r>
        <w:br w:type="page"/>
      </w:r>
    </w:p>
    <w:p>
      <w:pPr>
        <w:pStyle w:val="Heading1"/>
      </w:pPr>
      <w:r>
        <w:t>C15 Expediente digital privacidad y datos</w:t>
      </w:r>
    </w:p>
    <w:p>
      <w:r>
        <w:t>Responsables propuestos: sanitario para contenido clínico, Jurídico para bases y derechos, TI para seguridad y Gonzalo para implementación.</w:t>
      </w:r>
    </w:p>
    <w:p>
      <w:pPr>
        <w:pStyle w:val="Heading3"/>
      </w:pPr>
      <w:r>
        <w:t>Obligaciones que condicionan el diseño</w:t>
      </w:r>
    </w:p>
    <w:p>
      <w:r>
        <w:t>NOM-004-SSA3-2012: verificar integración, autoría, fecha, hora y firma de notas; conservación mínima de cinco años desde el último acto médico, sin perjuicio de plazos mayores aplicables. La propiedad del soporte institucional no elimina los derechos del paciente sobre su información. Eliminar un usuario no debe destruir sus notas. [N01; F02]</w:t>
      </w:r>
    </w:p>
    <w:p>
      <w:r>
        <w:t>NOM-024-SSA3-2012: los prestadores que utilizan SIRES deben usar sistemas conformes. Su alcance incluye integridad, confidencialidad, conservación e intercambio. Elaborar matriz de numerales 5 y 6 y revisar el procedimiento de evaluación de conformidad del capítulo 7 y las guías DGIS aplicables. Definir la ruta regulatoria antes de convertir la aplicación en registro clínico oficial; desarrollar con Django no acredita conformidad por sí mismo. [N05; F03]</w:t>
      </w:r>
    </w:p>
    <w:p>
      <w:r>
        <w:t>LFPDPPP vigente: documentar finalidades, aviso, base de tratamiento y, cuando corresponda, consentimiento expreso y escrito para datos sensibles, considerando excepciones legales. Configurar derechos ARCO, confidencialidad, seguridad, encargados y transferencias. La ley de 2025 exige actualizar referencias heredadas del régimen anterior; Jurídico verificará autoridad y disposiciones transitorias. [F06]</w:t>
      </w:r>
    </w:p>
    <w:p>
      <w:pPr>
        <w:pStyle w:val="Heading3"/>
      </w:pPr>
      <w:r>
        <w:t>Controles propuestos para implementar</w:t>
      </w:r>
    </w:p>
    <w:p>
      <w:pPr>
        <w:ind w:left="173" w:hanging="173"/>
      </w:pPr>
      <w:r>
        <w:t>• Identidad común, episodios separados y permisos por función, sede, asignación y finalidad; el servidor debe rechazar accesos indebidos.</w:t>
      </w:r>
    </w:p>
    <w:p>
      <w:pPr>
        <w:ind w:left="173" w:hanging="173"/>
      </w:pPr>
      <w:r>
        <w:t>• Firma y autoría trazables; notas liberadas inalterables, con adendas vinculadas y motivo. Resolver jurídicamente el mecanismo de firma y su verificación.</w:t>
      </w:r>
    </w:p>
    <w:p>
      <w:pPr>
        <w:ind w:left="173" w:hanging="173"/>
      </w:pPr>
      <w:r>
        <w:t>• Registro de accesos, exportaciones y modificaciones, con custodia e integridad; no colocar texto clínico en logs ni mensajes de error.</w:t>
      </w:r>
    </w:p>
    <w:p>
      <w:pPr>
        <w:ind w:left="173" w:hanging="173"/>
      </w:pPr>
      <w:r>
        <w:t>• Retención por tipo documental, suspensión de eliminación por litigio y autorización de disposición final. Cinco años no constituye una orden automática de borrar.</w:t>
      </w:r>
    </w:p>
    <w:p>
      <w:pPr>
        <w:ind w:left="173" w:hanging="173"/>
      </w:pPr>
      <w:r>
        <w:t>• Cifrado, autenticación reforzada, archivos privados, respaldos probados, segregación de ambientes y revocación de accesos.</w:t>
      </w:r>
    </w:p>
    <w:p>
      <w:pPr>
        <w:ind w:left="173" w:hanging="173"/>
      </w:pPr>
      <w:r>
        <w:t>• Consentimientos diferenciados para atención, datos, docencia, investigación, imagen y mercadotecnia, según necesidad y fundamento.</w:t>
      </w:r>
    </w:p>
    <w:p>
      <w:pPr>
        <w:pStyle w:val="Heading3"/>
      </w:pPr>
      <w:r>
        <w:t>Decisiones para el desarrollador</w:t>
      </w:r>
    </w:p>
    <w:p>
      <w:r>
        <w:t>¿Quién es responsable de datos y quién es encargado? ¿Qué prestadores externos reciben información y dónde la alojan? ¿Qué escenarios de intercambio existen? ¿Cómo se identifica al firmante? ¿Quién verifica la ruta DGIS y cuánto cuesta? ¿Cómo se atiende un incidente o solicitud de derechos?</w:t>
      </w:r>
    </w:p>
    <w:p>
      <w:r>
        <w:t>La página pública y agenda pueden ponerse en marcha antes del expediente clínico si su propio tratamiento de datos está validado. El registro clínico oficial requiere pasar su criterio de autorización normativa y técnica. La IA y n8n se limitarán inicialmente a tareas administrativas aprobadas; cualquier envío de información sensible a un tercero exige análisis específico.</w:t>
      </w:r>
    </w:p>
    <w:p>
      <w:r>
        <w:br w:type="page"/>
      </w:r>
    </w:p>
    <w:p>
      <w:pPr>
        <w:pStyle w:val="Heading1"/>
      </w:pPr>
      <w:r>
        <w:t>C16 Módulo de cumplimiento y automatizaciones</w:t>
      </w:r>
    </w:p>
    <w:p>
      <w:r>
        <w:t>Se incorpora un módulo transversal que vincula obligación, proceso, evidencia y prueba. Su finalidad es facilitar el trabajo del responsable y conservar trazabilidad; ningún semáforo sustituye una inspección, dictamen o autorización.</w:t>
      </w:r>
    </w:p>
    <w:p>
      <w:pPr>
        <w:pStyle w:val="Heading3"/>
      </w:pPr>
      <w:r>
        <w:t>Datos que debe conservar</w:t>
      </w:r>
    </w:p>
    <w:p>
      <w:r>
        <w:t>Norma: clave, título, fuente oficial, publicación, vigencia, modificaciones, fecha de última revisión y estado. Obligación: numeral, texto resumido, supuesto, sede, servicio, responsable, suplente y periodicidad con fundamento. Evaluación: evidencia, verificador, fecha, resultado y justificación. Acción: prioridad, causa, medida, plazo y comprobación de eficacia.</w:t>
      </w:r>
    </w:p>
    <w:p>
      <w:r>
        <w:t>Permiso: titular, autoridad, domicilio, alcance, folio, emisión y vencimiento cuando exista. Evidencia: versión, archivo, fecha, origen, responsable, confidencialidad y conservación. Prueba del sistema: requisito vinculado, caso, resultado y versión liberada. No inventar caducidades para documentos que no las tienen.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Automatización propuesta</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Disparador</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Control humano</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Avisos de vigencia</w:t>
            </w:r>
          </w:p>
        </w:tc>
        <w:tc>
          <w:tcPr>
            <w:tcW w:type="dxa" w:w="4067"/>
            <w:vAlign w:val="center"/>
            <w:tcMar>
              <w:top w:w="85" w:type="dxa"/>
              <w:bottom w:w="85" w:type="dxa"/>
              <w:left w:w="85" w:type="dxa"/>
              <w:right w:w="85" w:type="dxa"/>
            </w:tcMar>
            <w:shd w:fill="FFFFFF"/>
          </w:tcPr>
          <w:p>
            <w:pPr>
              <w:spacing w:after="40" w:line="247" w:lineRule="auto"/>
            </w:pPr>
            <w:r>
              <w:rPr>
                <w:sz w:val="18"/>
              </w:rPr>
              <w:t>Fechas verificadas de permiso, convenio o mantenimiento</w:t>
            </w:r>
          </w:p>
        </w:tc>
        <w:tc>
          <w:tcPr>
            <w:tcW w:type="dxa" w:w="3457"/>
            <w:vAlign w:val="center"/>
            <w:tcMar>
              <w:top w:w="85" w:type="dxa"/>
              <w:bottom w:w="85" w:type="dxa"/>
              <w:left w:w="85" w:type="dxa"/>
              <w:right w:w="85" w:type="dxa"/>
            </w:tcMar>
            <w:shd w:fill="FFFFFF"/>
          </w:tcPr>
          <w:p>
            <w:pPr>
              <w:spacing w:after="40" w:line="247" w:lineRule="auto"/>
            </w:pPr>
            <w:r>
              <w:rPr>
                <w:sz w:val="18"/>
              </w:rPr>
              <w:t>Dueño confirma renovación y alcance</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Seguimiento de obligaciones</w:t>
            </w:r>
          </w:p>
        </w:tc>
        <w:tc>
          <w:tcPr>
            <w:tcW w:type="dxa" w:w="4067"/>
            <w:vAlign w:val="center"/>
            <w:tcMar>
              <w:top w:w="85" w:type="dxa"/>
              <w:bottom w:w="85" w:type="dxa"/>
              <w:left w:w="85" w:type="dxa"/>
              <w:right w:w="85" w:type="dxa"/>
            </w:tcMar>
            <w:shd w:fill="F2F5F8"/>
          </w:tcPr>
          <w:p>
            <w:pPr>
              <w:spacing w:after="40" w:line="247" w:lineRule="auto"/>
            </w:pPr>
            <w:r>
              <w:rPr>
                <w:sz w:val="18"/>
              </w:rPr>
              <w:t>Periodicidad legal o institucional identificada</w:t>
            </w:r>
          </w:p>
        </w:tc>
        <w:tc>
          <w:tcPr>
            <w:tcW w:type="dxa" w:w="3457"/>
            <w:vAlign w:val="center"/>
            <w:tcMar>
              <w:top w:w="85" w:type="dxa"/>
              <w:bottom w:w="85" w:type="dxa"/>
              <w:left w:w="85" w:type="dxa"/>
              <w:right w:w="85" w:type="dxa"/>
            </w:tcMar>
            <w:shd w:fill="F2F5F8"/>
          </w:tcPr>
          <w:p>
            <w:pPr>
              <w:spacing w:after="40" w:line="247" w:lineRule="auto"/>
            </w:pPr>
            <w:r>
              <w:rPr>
                <w:sz w:val="18"/>
              </w:rPr>
              <w:t>Verificador acepta evidencia y cierre</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Esterilización y recursos</w:t>
            </w:r>
          </w:p>
        </w:tc>
        <w:tc>
          <w:tcPr>
            <w:tcW w:type="dxa" w:w="4067"/>
            <w:vAlign w:val="center"/>
            <w:tcMar>
              <w:top w:w="85" w:type="dxa"/>
              <w:bottom w:w="85" w:type="dxa"/>
              <w:left w:w="85" w:type="dxa"/>
              <w:right w:w="85" w:type="dxa"/>
            </w:tcMar>
            <w:shd w:fill="FFFFFF"/>
          </w:tcPr>
          <w:p>
            <w:pPr>
              <w:spacing w:after="40" w:line="247" w:lineRule="auto"/>
            </w:pPr>
            <w:r>
              <w:rPr>
                <w:sz w:val="18"/>
              </w:rPr>
              <w:t>Carga fallida o equipo fuera de servicio</w:t>
            </w:r>
          </w:p>
        </w:tc>
        <w:tc>
          <w:tcPr>
            <w:tcW w:type="dxa" w:w="3457"/>
            <w:vAlign w:val="center"/>
            <w:tcMar>
              <w:top w:w="85" w:type="dxa"/>
              <w:bottom w:w="85" w:type="dxa"/>
              <w:left w:w="85" w:type="dxa"/>
              <w:right w:w="85" w:type="dxa"/>
            </w:tcMar>
            <w:shd w:fill="FFFFFF"/>
          </w:tcPr>
          <w:p>
            <w:pPr>
              <w:spacing w:after="40" w:line="247" w:lineRule="auto"/>
            </w:pPr>
            <w:r>
              <w:rPr>
                <w:sz w:val="18"/>
              </w:rPr>
              <w:t>Profesional libera tras corrección documentada</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Accesos docentes</w:t>
            </w:r>
          </w:p>
        </w:tc>
        <w:tc>
          <w:tcPr>
            <w:tcW w:type="dxa" w:w="4067"/>
            <w:vAlign w:val="center"/>
            <w:tcMar>
              <w:top w:w="85" w:type="dxa"/>
              <w:bottom w:w="85" w:type="dxa"/>
              <w:left w:w="85" w:type="dxa"/>
              <w:right w:w="85" w:type="dxa"/>
            </w:tcMar>
            <w:shd w:fill="F2F5F8"/>
          </w:tcPr>
          <w:p>
            <w:pPr>
              <w:spacing w:after="40" w:line="247" w:lineRule="auto"/>
            </w:pPr>
            <w:r>
              <w:rPr>
                <w:sz w:val="18"/>
              </w:rPr>
              <w:t>Inicio, cambio o fin de rotación</w:t>
            </w:r>
          </w:p>
        </w:tc>
        <w:tc>
          <w:tcPr>
            <w:tcW w:type="dxa" w:w="3457"/>
            <w:vAlign w:val="center"/>
            <w:tcMar>
              <w:top w:w="85" w:type="dxa"/>
              <w:bottom w:w="85" w:type="dxa"/>
              <w:left w:w="85" w:type="dxa"/>
              <w:right w:w="85" w:type="dxa"/>
            </w:tcMar>
            <w:shd w:fill="F2F5F8"/>
          </w:tcPr>
          <w:p>
            <w:pPr>
              <w:spacing w:after="40" w:line="247" w:lineRule="auto"/>
            </w:pPr>
            <w:r>
              <w:rPr>
                <w:sz w:val="18"/>
              </w:rPr>
              <w:t>Supervisor aprueba actividades autorizadas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Vigilancia normativa</w:t>
            </w:r>
          </w:p>
        </w:tc>
        <w:tc>
          <w:tcPr>
            <w:tcW w:type="dxa" w:w="4067"/>
            <w:vAlign w:val="center"/>
            <w:tcMar>
              <w:top w:w="85" w:type="dxa"/>
              <w:bottom w:w="85" w:type="dxa"/>
              <w:left w:w="85" w:type="dxa"/>
              <w:right w:w="85" w:type="dxa"/>
            </w:tcMar>
            <w:shd w:fill="FFFFFF"/>
          </w:tcPr>
          <w:p>
            <w:pPr>
              <w:spacing w:after="40" w:line="247" w:lineRule="auto"/>
            </w:pPr>
            <w:r>
              <w:rPr>
                <w:sz w:val="18"/>
              </w:rPr>
              <w:t>Cambio detectado en fuentes oficiales</w:t>
            </w:r>
          </w:p>
        </w:tc>
        <w:tc>
          <w:tcPr>
            <w:tcW w:type="dxa" w:w="3457"/>
            <w:vAlign w:val="center"/>
            <w:tcMar>
              <w:top w:w="85" w:type="dxa"/>
              <w:bottom w:w="85" w:type="dxa"/>
              <w:left w:w="85" w:type="dxa"/>
              <w:right w:w="85" w:type="dxa"/>
            </w:tcMar>
            <w:shd w:fill="FFFFFF"/>
          </w:tcPr>
          <w:p>
            <w:pPr>
              <w:spacing w:after="40" w:line="247" w:lineRule="auto"/>
            </w:pPr>
            <w:r>
              <w:rPr>
                <w:sz w:val="18"/>
              </w:rPr>
              <w:t>Jurídico valida vigencia, impacto y nueva regla</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Preparación de auditoría</w:t>
            </w:r>
          </w:p>
        </w:tc>
        <w:tc>
          <w:tcPr>
            <w:tcW w:type="dxa" w:w="4067"/>
            <w:vAlign w:val="center"/>
            <w:tcMar>
              <w:top w:w="85" w:type="dxa"/>
              <w:bottom w:w="85" w:type="dxa"/>
              <w:left w:w="85" w:type="dxa"/>
              <w:right w:w="85" w:type="dxa"/>
            </w:tcMar>
            <w:shd w:fill="F2F5F8"/>
          </w:tcPr>
          <w:p>
            <w:pPr>
              <w:spacing w:after="40" w:line="247" w:lineRule="auto"/>
            </w:pPr>
            <w:r>
              <w:rPr>
                <w:sz w:val="18"/>
              </w:rPr>
              <w:t>Selección de sede, servicio y periodo</w:t>
            </w:r>
          </w:p>
        </w:tc>
        <w:tc>
          <w:tcPr>
            <w:tcW w:type="dxa" w:w="3457"/>
            <w:vAlign w:val="center"/>
            <w:tcMar>
              <w:top w:w="85" w:type="dxa"/>
              <w:bottom w:w="85" w:type="dxa"/>
              <w:left w:w="85" w:type="dxa"/>
              <w:right w:w="85" w:type="dxa"/>
            </w:tcMar>
            <w:shd w:fill="F2F5F8"/>
          </w:tcPr>
          <w:p>
            <w:pPr>
              <w:spacing w:after="40" w:line="247" w:lineRule="auto"/>
            </w:pPr>
            <w:r>
              <w:rPr>
                <w:sz w:val="18"/>
              </w:rPr>
              <w:t>Responsable revisa integridad y datos a entregar</w:t>
            </w:r>
          </w:p>
        </w:tc>
      </w:tr>
    </w:tbl>
    <w:p>
      <w:pPr>
        <w:spacing w:after="20"/>
      </w:pPr>
    </w:p>
    <w:p>
      <w:pPr>
        <w:pStyle w:val="Heading3"/>
      </w:pPr>
      <w:r>
        <w:t>Reglas del módulo</w:t>
      </w:r>
    </w:p>
    <w:p>
      <w:r>
        <w:t>Estados: pendiente de evaluar, aplica, no aplica justificado; evaluación separada de cumple, parcial o incumple. Una tarea «realizada» no es evidencia de cumplimiento hasta su verificación. Una evidencia vencida o fuera de alcance no pondrá el indicador en verde.</w:t>
      </w:r>
    </w:p>
    <w:p>
      <w:r>
        <w:t>Las alertas irán por correo o canal institucional con enlace autenticado. n8n recibirá preferentemente identificadores y vencimientos, no expedientes. Conservar idempotencia, reintentos y acuse interno; no transmitir automáticamente a autoridades ni renovar trámites mediante respuestas generadas por IA.</w:t>
      </w:r>
    </w:p>
    <w:p>
      <w:pPr>
        <w:pStyle w:val="Heading3"/>
      </w:pPr>
      <w:r>
        <w:t>Indicadores propuestos</w:t>
      </w:r>
    </w:p>
    <w:p>
      <w:r>
        <w:t>Cobertura: obligaciones con aplicabilidad resuelta entre obligaciones revisadas. Evidencia válida: obligaciones aplicables verificadas conformes entre aplicables evaluadas. Mostrar por separado las pendientes, no aplicables, brechas críticas y correcciones vencidas. No inflar el porcentaje incluyendo «no aplica» en el numerador.</w:t>
      </w:r>
    </w:p>
    <w:p>
      <w:r>
        <w:t>Propuesta de prueba: una norma sustituida genera análisis de impacto; no altera retroactivamente consentimientos firmados ni cierra tareas. Un documento con vencimiento desconocido permanece pendiente. La app debe mostrar quién decidió la aplicabilidad y sobre qué fundamento.</w:t>
      </w:r>
    </w:p>
    <w:p>
      <w:r>
        <w:br w:type="page"/>
      </w:r>
    </w:p>
    <w:p>
      <w:pPr>
        <w:pStyle w:val="Heading1"/>
      </w:pPr>
      <w:r>
        <w:t>C17 Plan de ejecución de cumplimiento</w:t>
      </w:r>
    </w:p>
    <w:p>
      <w:r>
        <w:t>El cumplimiento inicia en paralelo en todas las unidades el 1 de octubre de 2026. Al 9 se resuelven clasificación y ruta regulatoria; al 16 se aprueba la matriz inicial. Las correcciones físicas y gestiones avanzan desde que se detectan. Su conclusión se comprueba antes de habilitar el servicio correspondiente.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Momento</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Trabajo y entregable</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Dueño y criterio de salida</w:t>
            </w:r>
          </w:p>
        </w:tc>
      </w:tr>
      <w:tr>
        <w:trPr>
          <w:cantSplit/>
        </w:trPr>
        <w:tc>
          <w:tcPr>
            <w:tcW w:type="dxa" w:w="2643"/>
            <w:vAlign w:val="center"/>
            <w:tcMar>
              <w:top w:w="85" w:type="dxa"/>
              <w:bottom w:w="85" w:type="dxa"/>
              <w:left w:w="85" w:type="dxa"/>
              <w:right w:w="85" w:type="dxa"/>
            </w:tcMar>
            <w:shd w:fill="FFFFFF"/>
          </w:tcPr>
          <w:p>
            <w:r>
              <w:rPr>
                <w:sz w:val="18"/>
              </w:rPr>
              <w:t>1 a 7 oct</w:t>
            </w:r>
          </w:p>
        </w:tc>
        <w:tc>
          <w:tcPr>
            <w:tcW w:type="dxa" w:w="4067"/>
            <w:vAlign w:val="center"/>
            <w:tcMar>
              <w:top w:w="85" w:type="dxa"/>
              <w:bottom w:w="85" w:type="dxa"/>
              <w:left w:w="85" w:type="dxa"/>
              <w:right w:w="85" w:type="dxa"/>
            </w:tcMar>
            <w:shd w:fill="FFFFFF"/>
          </w:tcPr>
          <w:p>
            <w:pPr>
              <w:spacing w:after="40" w:line="247" w:lineRule="auto"/>
            </w:pPr>
            <w:r>
              <w:rPr>
                <w:sz w:val="18"/>
              </w:rPr>
              <w:t>Inventario por sede de actividades, profesionales, equipos, permisos y datos</w:t>
            </w:r>
          </w:p>
        </w:tc>
        <w:tc>
          <w:tcPr>
            <w:tcW w:type="dxa" w:w="3457"/>
            <w:vAlign w:val="center"/>
            <w:tcMar>
              <w:top w:w="85" w:type="dxa"/>
              <w:bottom w:w="85" w:type="dxa"/>
              <w:left w:w="85" w:type="dxa"/>
              <w:right w:w="85" w:type="dxa"/>
            </w:tcMar>
            <w:shd w:fill="FFFFFF"/>
          </w:tcPr>
          <w:p>
            <w:pPr>
              <w:spacing w:after="40" w:line="247" w:lineRule="auto"/>
            </w:pPr>
            <w:r>
              <w:rPr>
                <w:sz w:val="18"/>
              </w:rPr>
              <w:t>Dirección y unidades confirman alcance real</w:t>
            </w:r>
          </w:p>
        </w:tc>
      </w:tr>
      <w:tr>
        <w:trPr>
          <w:cantSplit/>
        </w:trPr>
        <w:tc>
          <w:tcPr>
            <w:tcW w:type="dxa" w:w="2643"/>
            <w:vAlign w:val="center"/>
            <w:tcMar>
              <w:top w:w="85" w:type="dxa"/>
              <w:bottom w:w="85" w:type="dxa"/>
              <w:left w:w="85" w:type="dxa"/>
              <w:right w:w="85" w:type="dxa"/>
            </w:tcMar>
            <w:shd w:fill="F2F5F8"/>
          </w:tcPr>
          <w:p>
            <w:r>
              <w:rPr>
                <w:sz w:val="18"/>
              </w:rPr>
              <w:t>5 a 9 oct</w:t>
            </w:r>
          </w:p>
        </w:tc>
        <w:tc>
          <w:tcPr>
            <w:tcW w:type="dxa" w:w="4067"/>
            <w:vAlign w:val="center"/>
            <w:tcMar>
              <w:top w:w="85" w:type="dxa"/>
              <w:bottom w:w="85" w:type="dxa"/>
              <w:left w:w="85" w:type="dxa"/>
              <w:right w:w="85" w:type="dxa"/>
            </w:tcMar>
            <w:shd w:fill="F2F5F8"/>
          </w:tcPr>
          <w:p>
            <w:pPr>
              <w:spacing w:after="40" w:line="247" w:lineRule="auto"/>
            </w:pPr>
            <w:r>
              <w:rPr>
                <w:sz w:val="18"/>
              </w:rPr>
              <w:t>Aplicabilidad por norma y numeral; visitas y muestreo de evidencias</w:t>
            </w:r>
          </w:p>
        </w:tc>
        <w:tc>
          <w:tcPr>
            <w:tcW w:type="dxa" w:w="3457"/>
            <w:vAlign w:val="center"/>
            <w:tcMar>
              <w:top w:w="85" w:type="dxa"/>
              <w:bottom w:w="85" w:type="dxa"/>
              <w:left w:w="85" w:type="dxa"/>
              <w:right w:w="85" w:type="dxa"/>
            </w:tcMar>
            <w:shd w:fill="F2F5F8"/>
          </w:tcPr>
          <w:p>
            <w:pPr>
              <w:spacing w:after="40" w:line="247" w:lineRule="auto"/>
            </w:pPr>
            <w:r>
              <w:rPr>
                <w:sz w:val="18"/>
              </w:rPr>
              <w:t>Sanitario y Jurídico validan supuestos y pendientes</w:t>
            </w:r>
          </w:p>
        </w:tc>
      </w:tr>
      <w:tr>
        <w:trPr>
          <w:cantSplit/>
        </w:trPr>
        <w:tc>
          <w:tcPr>
            <w:tcW w:type="dxa" w:w="2643"/>
            <w:vAlign w:val="center"/>
            <w:tcMar>
              <w:top w:w="85" w:type="dxa"/>
              <w:bottom w:w="85" w:type="dxa"/>
              <w:left w:w="85" w:type="dxa"/>
              <w:right w:w="85" w:type="dxa"/>
            </w:tcMar>
            <w:shd w:fill="FFFFFF"/>
          </w:tcPr>
          <w:p>
            <w:r>
              <w:rPr>
                <w:sz w:val="18"/>
              </w:rPr>
              <w:t>12 a 16 oct</w:t>
            </w:r>
          </w:p>
        </w:tc>
        <w:tc>
          <w:tcPr>
            <w:tcW w:type="dxa" w:w="4067"/>
            <w:vAlign w:val="center"/>
            <w:tcMar>
              <w:top w:w="85" w:type="dxa"/>
              <w:bottom w:w="85" w:type="dxa"/>
              <w:left w:w="85" w:type="dxa"/>
              <w:right w:w="85" w:type="dxa"/>
            </w:tcMar>
            <w:shd w:fill="FFFFFF"/>
          </w:tcPr>
          <w:p>
            <w:pPr>
              <w:spacing w:after="40" w:line="247" w:lineRule="auto"/>
            </w:pPr>
            <w:r>
              <w:rPr>
                <w:sz w:val="18"/>
              </w:rPr>
              <w:t>Brechas comprobadas, prioridad, procedimientos y requisitos de software</w:t>
            </w:r>
          </w:p>
        </w:tc>
        <w:tc>
          <w:tcPr>
            <w:tcW w:type="dxa" w:w="3457"/>
            <w:vAlign w:val="center"/>
            <w:tcMar>
              <w:top w:w="85" w:type="dxa"/>
              <w:bottom w:w="85" w:type="dxa"/>
              <w:left w:w="85" w:type="dxa"/>
              <w:right w:w="85" w:type="dxa"/>
            </w:tcMar>
            <w:shd w:fill="FFFFFF"/>
          </w:tcPr>
          <w:p>
            <w:pPr>
              <w:spacing w:after="40" w:line="247" w:lineRule="auto"/>
            </w:pPr>
            <w:r>
              <w:rPr>
                <w:sz w:val="18"/>
              </w:rPr>
              <w:t>Cada unidad acepta acciones, recursos y responsable</w:t>
            </w:r>
          </w:p>
        </w:tc>
      </w:tr>
      <w:tr>
        <w:trPr>
          <w:cantSplit/>
        </w:trPr>
        <w:tc>
          <w:tcPr>
            <w:tcW w:type="dxa" w:w="2643"/>
            <w:vAlign w:val="center"/>
            <w:tcMar>
              <w:top w:w="85" w:type="dxa"/>
              <w:bottom w:w="85" w:type="dxa"/>
              <w:left w:w="85" w:type="dxa"/>
              <w:right w:w="85" w:type="dxa"/>
            </w:tcMar>
            <w:shd w:fill="F2F5F8"/>
          </w:tcPr>
          <w:p>
            <w:r>
              <w:rPr>
                <w:sz w:val="18"/>
              </w:rPr>
              <w:t>19 a 23 oct</w:t>
            </w:r>
          </w:p>
        </w:tc>
        <w:tc>
          <w:tcPr>
            <w:tcW w:type="dxa" w:w="4067"/>
            <w:vAlign w:val="center"/>
            <w:tcMar>
              <w:top w:w="85" w:type="dxa"/>
              <w:bottom w:w="85" w:type="dxa"/>
              <w:left w:w="85" w:type="dxa"/>
              <w:right w:w="85" w:type="dxa"/>
            </w:tcMar>
            <w:shd w:fill="F2F5F8"/>
          </w:tcPr>
          <w:p>
            <w:pPr>
              <w:spacing w:after="40" w:line="247" w:lineRule="auto"/>
            </w:pPr>
            <w:r>
              <w:rPr>
                <w:sz w:val="18"/>
              </w:rPr>
              <w:t>Matriz aprobada y puertas de autorización por servicio</w:t>
            </w:r>
          </w:p>
        </w:tc>
        <w:tc>
          <w:tcPr>
            <w:tcW w:type="dxa" w:w="3457"/>
            <w:vAlign w:val="center"/>
            <w:tcMar>
              <w:top w:w="85" w:type="dxa"/>
              <w:bottom w:w="85" w:type="dxa"/>
              <w:left w:w="85" w:type="dxa"/>
              <w:right w:w="85" w:type="dxa"/>
            </w:tcMar>
            <w:shd w:fill="F2F5F8"/>
          </w:tcPr>
          <w:p>
            <w:pPr>
              <w:spacing w:after="40" w:line="247" w:lineRule="auto"/>
            </w:pPr>
            <w:r>
              <w:rPr>
                <w:sz w:val="18"/>
              </w:rPr>
              <w:t>Dirección decide alcance del piloto y dependencias</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Diseño y núcleo</w:t>
            </w:r>
          </w:p>
        </w:tc>
        <w:tc>
          <w:tcPr>
            <w:tcW w:type="dxa" w:w="4067"/>
            <w:vAlign w:val="center"/>
            <w:tcMar>
              <w:top w:w="85" w:type="dxa"/>
              <w:bottom w:w="85" w:type="dxa"/>
              <w:left w:w="85" w:type="dxa"/>
              <w:right w:w="85" w:type="dxa"/>
            </w:tcMar>
            <w:shd w:fill="FFFFFF"/>
          </w:tcPr>
          <w:p>
            <w:pPr>
              <w:spacing w:after="40" w:line="247" w:lineRule="auto"/>
            </w:pPr>
            <w:r>
              <w:rPr>
                <w:sz w:val="18"/>
              </w:rPr>
              <w:t>Firmas, privacidad, retención, acceso y modelo de obligaciones</w:t>
            </w:r>
          </w:p>
        </w:tc>
        <w:tc>
          <w:tcPr>
            <w:tcW w:type="dxa" w:w="3457"/>
            <w:vAlign w:val="center"/>
            <w:tcMar>
              <w:top w:w="85" w:type="dxa"/>
              <w:bottom w:w="85" w:type="dxa"/>
              <w:left w:w="85" w:type="dxa"/>
              <w:right w:w="85" w:type="dxa"/>
            </w:tcMar>
            <w:shd w:fill="FFFFFF"/>
          </w:tcPr>
          <w:p>
            <w:pPr>
              <w:spacing w:after="40" w:line="247" w:lineRule="auto"/>
            </w:pPr>
            <w:r>
              <w:rPr>
                <w:sz w:val="18"/>
              </w:rPr>
              <w:t>TI, Jurídico y clínicos aceptan pruebas diseñadas</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Antes de cada piloto</w:t>
            </w:r>
          </w:p>
        </w:tc>
        <w:tc>
          <w:tcPr>
            <w:tcW w:type="dxa" w:w="4067"/>
            <w:vAlign w:val="center"/>
            <w:tcMar>
              <w:top w:w="85" w:type="dxa"/>
              <w:bottom w:w="85" w:type="dxa"/>
              <w:left w:w="85" w:type="dxa"/>
              <w:right w:w="85" w:type="dxa"/>
            </w:tcMar>
            <w:shd w:fill="F2F5F8"/>
          </w:tcPr>
          <w:p>
            <w:pPr>
              <w:spacing w:after="40" w:line="247" w:lineRule="auto"/>
            </w:pPr>
            <w:r>
              <w:rPr>
                <w:sz w:val="18"/>
              </w:rPr>
              <w:t>Evidencia sanitaria, controles físicos y casos de excepción</w:t>
            </w:r>
          </w:p>
        </w:tc>
        <w:tc>
          <w:tcPr>
            <w:tcW w:type="dxa" w:w="3457"/>
            <w:vAlign w:val="center"/>
            <w:tcMar>
              <w:top w:w="85" w:type="dxa"/>
              <w:bottom w:w="85" w:type="dxa"/>
              <w:left w:w="85" w:type="dxa"/>
              <w:right w:w="85" w:type="dxa"/>
            </w:tcMar>
            <w:shd w:fill="F2F5F8"/>
          </w:tcPr>
          <w:p>
            <w:pPr>
              <w:spacing w:after="40" w:line="247" w:lineRule="auto"/>
            </w:pPr>
            <w:r>
              <w:rPr>
                <w:sz w:val="18"/>
              </w:rPr>
              <w:t>Responsable sanitario y dueño del servicio autorizan</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Antes del registro oficial</w:t>
            </w:r>
          </w:p>
        </w:tc>
        <w:tc>
          <w:tcPr>
            <w:tcW w:type="dxa" w:w="4067"/>
            <w:vAlign w:val="center"/>
            <w:tcMar>
              <w:top w:w="85" w:type="dxa"/>
              <w:bottom w:w="85" w:type="dxa"/>
              <w:left w:w="85" w:type="dxa"/>
              <w:right w:w="85" w:type="dxa"/>
            </w:tcMar>
            <w:shd w:fill="FFFFFF"/>
          </w:tcPr>
          <w:p>
            <w:pPr>
              <w:spacing w:after="40" w:line="247" w:lineRule="auto"/>
            </w:pPr>
            <w:r>
              <w:rPr>
                <w:sz w:val="18"/>
              </w:rPr>
              <w:t>Conformidad de SIRES y mecanismo de firma resueltos</w:t>
            </w:r>
          </w:p>
        </w:tc>
        <w:tc>
          <w:tcPr>
            <w:tcW w:type="dxa" w:w="3457"/>
            <w:vAlign w:val="center"/>
            <w:tcMar>
              <w:top w:w="85" w:type="dxa"/>
              <w:bottom w:w="85" w:type="dxa"/>
              <w:left w:w="85" w:type="dxa"/>
              <w:right w:w="85" w:type="dxa"/>
            </w:tcMar>
            <w:shd w:fill="FFFFFF"/>
          </w:tcPr>
          <w:p>
            <w:pPr>
              <w:spacing w:after="40" w:line="247" w:lineRule="auto"/>
            </w:pPr>
            <w:r>
              <w:rPr>
                <w:sz w:val="18"/>
              </w:rPr>
              <w:t>Validación documentada de ruta regulatoria y técnica</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Operación</w:t>
            </w:r>
          </w:p>
        </w:tc>
        <w:tc>
          <w:tcPr>
            <w:tcW w:type="dxa" w:w="4067"/>
            <w:vAlign w:val="center"/>
            <w:tcMar>
              <w:top w:w="85" w:type="dxa"/>
              <w:bottom w:w="85" w:type="dxa"/>
              <w:left w:w="85" w:type="dxa"/>
              <w:right w:w="85" w:type="dxa"/>
            </w:tcMar>
            <w:shd w:fill="F2F5F8"/>
          </w:tcPr>
          <w:p>
            <w:pPr>
              <w:spacing w:after="40" w:line="247" w:lineRule="auto"/>
            </w:pPr>
            <w:r>
              <w:rPr>
                <w:sz w:val="18"/>
              </w:rPr>
              <w:t>Seguimiento de incidentes, auditoría y vigilancia normativa</w:t>
            </w:r>
          </w:p>
        </w:tc>
        <w:tc>
          <w:tcPr>
            <w:tcW w:type="dxa" w:w="3457"/>
            <w:vAlign w:val="center"/>
            <w:tcMar>
              <w:top w:w="85" w:type="dxa"/>
              <w:bottom w:w="85" w:type="dxa"/>
              <w:left w:w="85" w:type="dxa"/>
              <w:right w:w="85" w:type="dxa"/>
            </w:tcMar>
            <w:shd w:fill="F2F5F8"/>
          </w:tcPr>
          <w:p>
            <w:pPr>
              <w:spacing w:after="40" w:line="247" w:lineRule="auto"/>
            </w:pPr>
            <w:r>
              <w:rPr>
                <w:sz w:val="18"/>
              </w:rPr>
              <w:t>Dueños comprueban correcciones y eficacia</w:t>
            </w:r>
          </w:p>
        </w:tc>
      </w:tr>
    </w:tbl>
    <w:p>
      <w:pPr>
        <w:spacing w:after="20"/>
      </w:pPr>
    </w:p>
    <w:p>
      <w:pPr>
        <w:pStyle w:val="Heading3"/>
      </w:pPr>
      <w:r>
        <w:t>Trabajo concreto que aporta cada unidad</w:t>
      </w:r>
    </w:p>
    <w:p>
      <w:r>
        <w:t>Odontología entrega expediente, esterilización, residuos y clasificación radiológica; fisioterapia, técnicas y equipos; nutrición, cartera y formulación; psicología, privacidad y crisis; deporte, clasificación de pruebas; UAPS, actos autorizados y notificación; comunidad, convenios y jornadas; jurídico, bases y permisos; administración, credenciales, contratos y recursos. C03 a C11 contienen 54 preguntas adicionales, seis por unidad, vinculadas al inventario original.</w:t>
      </w:r>
    </w:p>
    <w:p>
      <w:pPr>
        <w:pStyle w:val="Heading3"/>
      </w:pPr>
      <w:r>
        <w:t>Esfuerzo y calendario actualizados</w:t>
      </w:r>
    </w:p>
    <w:p>
      <w:r>
        <w:t>El trabajo de cumplimiento se integra en las 295 horas base propuestas en C24: análisis, controles comunes, módulo, pruebas y revisión de evidencias. No se agregan nuevamente las 180 horas de la versión anterior. Las unidades, Jurídico y responsables sanitarios aportan tiempo propio en paralelo.</w:t>
      </w:r>
    </w:p>
    <w:p>
      <w:r>
        <w:t>La meta es el 15 de diciembre de 2026, con 59 horas de reserva técnica y estabilización del 7 al 11 de diciembre. Las cifras anteriores de 1140 y 1368 horas quedan sustituidas. El 9 de octubre se reestima con los primeros paquetes aceptados, bloqueos y disponibilidad real.</w:t>
      </w:r>
    </w:p>
    <w:p>
      <w:r>
        <w:t>Permisos, adecuaciones y evaluación de conformidad tienen responsables y seguimiento independiente desde el 1 de octubre. Si una dependencia impide operar un servicio, Dirección decide su solución y comunica el impacto. Una entrega parcial no equivale al cumplimiento de la meta integral.</w:t>
      </w:r>
    </w:p>
    <w:p>
      <w:r>
        <w:br w:type="page"/>
      </w:r>
    </w:p>
    <w:p>
      <w:pPr>
        <w:pStyle w:val="Heading1"/>
      </w:pPr>
      <w:r>
        <w:t>C18 Aceptación auditoría y cierre de brechas</w:t>
      </w:r>
    </w:p>
    <w:p>
      <w:pPr>
        <w:pStyle w:val="Heading3"/>
      </w:pPr>
      <w:r>
        <w:t>Puertas de autorización propuestas</w:t>
      </w:r>
    </w:p>
    <w:p>
      <w:pPr>
        <w:spacing w:after="80" w:line="240" w:lineRule="auto"/>
      </w:pPr>
      <w:r>
        <w:rPr>
          <w:sz w:val="20"/>
        </w:rPr>
        <w:t>G1 Catálogo: servicio, domicilio, titular y responsable definidos. G2 Operación: permisos, competencias, equipos y contingencia acreditados. G3 Datos: avisos, roles y transferencias validados. G4 Sistema: firma, conservación, seguridad y conformidad resueltos. G5 Piloto: pruebas aceptadas y brechas críticas cerradas.</w:t>
      </w:r>
    </w:p>
    <w:p>
      <w:pPr>
        <w:spacing w:after="80" w:line="240" w:lineRule="auto"/>
      </w:pPr>
      <w:r>
        <w:rPr>
          <w:sz w:val="20"/>
        </w:rPr>
        <w:t>Si falta un requisito obligatorio, Dirección y el responsable sanitario determinarán restricciones y corrección; aceptar internamente el riesgo no sustituye la obligación. El sistema permitirá desactivar oferta y reserva ordinaria, conservando registros y referencias. La atención de una urgencia seguirá su protocolo, sin depender de un bloqueo comercial.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4067"/>
        <w:gridCol w:w="3457"/>
      </w:tblGrid>
      <w:tr>
        <w:trPr>
          <w:cantSplit/>
          <w:tblHeader/>
        </w:trPr>
        <w:tc>
          <w:tcPr>
            <w:tcW w:type="dxa" w:w="2643"/>
            <w:vAlign w:val="center"/>
            <w:tcMar>
              <w:top w:w="85" w:type="dxa"/>
              <w:bottom w:w="85" w:type="dxa"/>
              <w:left w:w="85" w:type="dxa"/>
              <w:right w:w="85" w:type="dxa"/>
            </w:tcMar>
            <w:shd w:fill="052148"/>
          </w:tcPr>
          <w:p>
            <w:pPr>
              <w:spacing w:after="40" w:line="247" w:lineRule="auto"/>
            </w:pPr>
            <w:r>
              <w:rPr>
                <w:b/>
                <w:color w:val="FFFFFF"/>
                <w:sz w:val="18"/>
              </w:rPr>
              <w:t>Prueba adicional</w:t>
            </w:r>
          </w:p>
        </w:tc>
        <w:tc>
          <w:tcPr>
            <w:tcW w:type="dxa" w:w="4067"/>
            <w:vAlign w:val="center"/>
            <w:tcMar>
              <w:top w:w="85" w:type="dxa"/>
              <w:bottom w:w="85" w:type="dxa"/>
              <w:left w:w="85" w:type="dxa"/>
              <w:right w:w="85" w:type="dxa"/>
            </w:tcMar>
            <w:shd w:fill="052148"/>
          </w:tcPr>
          <w:p>
            <w:pPr>
              <w:spacing w:after="40" w:line="247" w:lineRule="auto"/>
            </w:pPr>
            <w:r>
              <w:rPr>
                <w:b/>
                <w:color w:val="FFFFFF"/>
                <w:sz w:val="18"/>
              </w:rPr>
              <w:t>Resultado esperado</w:t>
            </w:r>
          </w:p>
        </w:tc>
        <w:tc>
          <w:tcPr>
            <w:tcW w:type="dxa" w:w="3457"/>
            <w:vAlign w:val="center"/>
            <w:tcMar>
              <w:top w:w="85" w:type="dxa"/>
              <w:bottom w:w="85" w:type="dxa"/>
              <w:left w:w="85" w:type="dxa"/>
              <w:right w:w="85" w:type="dxa"/>
            </w:tcMar>
            <w:shd w:fill="052148"/>
          </w:tcPr>
          <w:p>
            <w:pPr>
              <w:spacing w:after="40" w:line="247" w:lineRule="auto"/>
            </w:pPr>
            <w:r>
              <w:rPr>
                <w:b/>
                <w:color w:val="FFFFFF"/>
                <w:sz w:val="18"/>
              </w:rPr>
              <w:t>Validador</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Expediente y firma</w:t>
            </w:r>
          </w:p>
        </w:tc>
        <w:tc>
          <w:tcPr>
            <w:tcW w:type="dxa" w:w="4067"/>
            <w:vAlign w:val="center"/>
            <w:tcMar>
              <w:top w:w="85" w:type="dxa"/>
              <w:bottom w:w="85" w:type="dxa"/>
              <w:left w:w="85" w:type="dxa"/>
              <w:right w:w="85" w:type="dxa"/>
            </w:tcMar>
            <w:shd w:fill="FFFFFF"/>
          </w:tcPr>
          <w:p>
            <w:pPr>
              <w:spacing w:after="40" w:line="247" w:lineRule="auto"/>
            </w:pPr>
            <w:r>
              <w:rPr>
                <w:sz w:val="18"/>
              </w:rPr>
              <w:t>Autoría verificable; cambios por adenda; recuperación completa</w:t>
            </w:r>
          </w:p>
        </w:tc>
        <w:tc>
          <w:tcPr>
            <w:tcW w:type="dxa" w:w="3457"/>
            <w:vAlign w:val="center"/>
            <w:tcMar>
              <w:top w:w="85" w:type="dxa"/>
              <w:bottom w:w="85" w:type="dxa"/>
              <w:left w:w="85" w:type="dxa"/>
              <w:right w:w="85" w:type="dxa"/>
            </w:tcMar>
            <w:shd w:fill="FFFFFF"/>
          </w:tcPr>
          <w:p>
            <w:pPr>
              <w:spacing w:after="40" w:line="247" w:lineRule="auto"/>
            </w:pPr>
            <w:r>
              <w:rPr>
                <w:sz w:val="18"/>
              </w:rPr>
              <w:t>Sanitario y TI</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Acceso indebido</w:t>
            </w:r>
          </w:p>
        </w:tc>
        <w:tc>
          <w:tcPr>
            <w:tcW w:type="dxa" w:w="4067"/>
            <w:vAlign w:val="center"/>
            <w:tcMar>
              <w:top w:w="85" w:type="dxa"/>
              <w:bottom w:w="85" w:type="dxa"/>
              <w:left w:w="85" w:type="dxa"/>
              <w:right w:w="85" w:type="dxa"/>
            </w:tcMar>
            <w:shd w:fill="F2F5F8"/>
          </w:tcPr>
          <w:p>
            <w:pPr>
              <w:spacing w:after="40" w:line="247" w:lineRule="auto"/>
            </w:pPr>
            <w:r>
              <w:rPr>
                <w:sz w:val="18"/>
              </w:rPr>
              <w:t>Caja, alumno vencido y usuario ajeno reciben denegación</w:t>
            </w:r>
          </w:p>
        </w:tc>
        <w:tc>
          <w:tcPr>
            <w:tcW w:type="dxa" w:w="3457"/>
            <w:vAlign w:val="center"/>
            <w:tcMar>
              <w:top w:w="85" w:type="dxa"/>
              <w:bottom w:w="85" w:type="dxa"/>
              <w:left w:w="85" w:type="dxa"/>
              <w:right w:w="85" w:type="dxa"/>
            </w:tcMar>
            <w:shd w:fill="F2F5F8"/>
          </w:tcPr>
          <w:p>
            <w:pPr>
              <w:spacing w:after="40" w:line="247" w:lineRule="auto"/>
            </w:pPr>
            <w:r>
              <w:rPr>
                <w:sz w:val="18"/>
              </w:rPr>
              <w:t>TI y privacidad</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Cambio de plan dental</w:t>
            </w:r>
          </w:p>
        </w:tc>
        <w:tc>
          <w:tcPr>
            <w:tcW w:type="dxa" w:w="4067"/>
            <w:vAlign w:val="center"/>
            <w:tcMar>
              <w:top w:w="85" w:type="dxa"/>
              <w:bottom w:w="85" w:type="dxa"/>
              <w:left w:w="85" w:type="dxa"/>
              <w:right w:w="85" w:type="dxa"/>
            </w:tcMar>
            <w:shd w:fill="FFFFFF"/>
          </w:tcPr>
          <w:p>
            <w:pPr>
              <w:spacing w:after="40" w:line="247" w:lineRule="auto"/>
            </w:pPr>
            <w:r>
              <w:rPr>
                <w:sz w:val="18"/>
              </w:rPr>
              <w:t>Se conserva el plan previo y se solicita consentimiento pertinente</w:t>
            </w:r>
          </w:p>
        </w:tc>
        <w:tc>
          <w:tcPr>
            <w:tcW w:type="dxa" w:w="3457"/>
            <w:vAlign w:val="center"/>
            <w:tcMar>
              <w:top w:w="85" w:type="dxa"/>
              <w:bottom w:w="85" w:type="dxa"/>
              <w:left w:w="85" w:type="dxa"/>
              <w:right w:w="85" w:type="dxa"/>
            </w:tcMar>
            <w:shd w:fill="FFFFFF"/>
          </w:tcPr>
          <w:p>
            <w:pPr>
              <w:spacing w:after="40" w:line="247" w:lineRule="auto"/>
            </w:pPr>
            <w:r>
              <w:rPr>
                <w:sz w:val="18"/>
              </w:rPr>
              <w:t>Odontología</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Recurso no apto</w:t>
            </w:r>
          </w:p>
        </w:tc>
        <w:tc>
          <w:tcPr>
            <w:tcW w:type="dxa" w:w="4067"/>
            <w:vAlign w:val="center"/>
            <w:tcMar>
              <w:top w:w="85" w:type="dxa"/>
              <w:bottom w:w="85" w:type="dxa"/>
              <w:left w:w="85" w:type="dxa"/>
              <w:right w:w="85" w:type="dxa"/>
            </w:tcMar>
            <w:shd w:fill="F2F5F8"/>
          </w:tcPr>
          <w:p>
            <w:pPr>
              <w:spacing w:after="40" w:line="247" w:lineRule="auto"/>
            </w:pPr>
            <w:r>
              <w:rPr>
                <w:sz w:val="18"/>
              </w:rPr>
              <w:t>Carga o equipo bloqueado no se asigna a nueva atención</w:t>
            </w:r>
          </w:p>
        </w:tc>
        <w:tc>
          <w:tcPr>
            <w:tcW w:type="dxa" w:w="3457"/>
            <w:vAlign w:val="center"/>
            <w:tcMar>
              <w:top w:w="85" w:type="dxa"/>
              <w:bottom w:w="85" w:type="dxa"/>
              <w:left w:w="85" w:type="dxa"/>
              <w:right w:w="85" w:type="dxa"/>
            </w:tcMar>
            <w:shd w:fill="F2F5F8"/>
          </w:tcPr>
          <w:p>
            <w:pPr>
              <w:spacing w:after="40" w:line="247" w:lineRule="auto"/>
            </w:pPr>
            <w:r>
              <w:rPr>
                <w:sz w:val="18"/>
              </w:rPr>
              <w:t>Unidad y mantenimiento</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Menor o conflicto familiar</w:t>
            </w:r>
          </w:p>
        </w:tc>
        <w:tc>
          <w:tcPr>
            <w:tcW w:type="dxa" w:w="4067"/>
            <w:vAlign w:val="center"/>
            <w:tcMar>
              <w:top w:w="85" w:type="dxa"/>
              <w:bottom w:w="85" w:type="dxa"/>
              <w:left w:w="85" w:type="dxa"/>
              <w:right w:w="85" w:type="dxa"/>
            </w:tcMar>
            <w:shd w:fill="FFFFFF"/>
          </w:tcPr>
          <w:p>
            <w:pPr>
              <w:spacing w:after="40" w:line="247" w:lineRule="auto"/>
            </w:pPr>
            <w:r>
              <w:rPr>
                <w:sz w:val="18"/>
              </w:rPr>
              <w:t>Representación revisada; entrega de datos autorizada y trazable</w:t>
            </w:r>
          </w:p>
        </w:tc>
        <w:tc>
          <w:tcPr>
            <w:tcW w:type="dxa" w:w="3457"/>
            <w:vAlign w:val="center"/>
            <w:tcMar>
              <w:top w:w="85" w:type="dxa"/>
              <w:bottom w:w="85" w:type="dxa"/>
              <w:left w:w="85" w:type="dxa"/>
              <w:right w:w="85" w:type="dxa"/>
            </w:tcMar>
            <w:shd w:fill="FFFFFF"/>
          </w:tcPr>
          <w:p>
            <w:pPr>
              <w:spacing w:after="40" w:line="247" w:lineRule="auto"/>
            </w:pPr>
            <w:r>
              <w:rPr>
                <w:sz w:val="18"/>
              </w:rPr>
              <w:t>Psicología y Jurídico</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Evento notificable</w:t>
            </w:r>
          </w:p>
        </w:tc>
        <w:tc>
          <w:tcPr>
            <w:tcW w:type="dxa" w:w="4067"/>
            <w:vAlign w:val="center"/>
            <w:tcMar>
              <w:top w:w="85" w:type="dxa"/>
              <w:bottom w:w="85" w:type="dxa"/>
              <w:left w:w="85" w:type="dxa"/>
              <w:right w:w="85" w:type="dxa"/>
            </w:tcMar>
            <w:shd w:fill="F2F5F8"/>
          </w:tcPr>
          <w:p>
            <w:pPr>
              <w:spacing w:after="40" w:line="247" w:lineRule="auto"/>
            </w:pPr>
            <w:r>
              <w:rPr>
                <w:sz w:val="18"/>
              </w:rPr>
              <w:t>Responsable y suplente identificados; plazo y acuse registrados</w:t>
            </w:r>
          </w:p>
        </w:tc>
        <w:tc>
          <w:tcPr>
            <w:tcW w:type="dxa" w:w="3457"/>
            <w:vAlign w:val="center"/>
            <w:tcMar>
              <w:top w:w="85" w:type="dxa"/>
              <w:bottom w:w="85" w:type="dxa"/>
              <w:left w:w="85" w:type="dxa"/>
              <w:right w:w="85" w:type="dxa"/>
            </w:tcMar>
            <w:shd w:fill="F2F5F8"/>
          </w:tcPr>
          <w:p>
            <w:pPr>
              <w:spacing w:after="40" w:line="247" w:lineRule="auto"/>
            </w:pPr>
            <w:r>
              <w:rPr>
                <w:sz w:val="18"/>
              </w:rPr>
              <w:t>Enlace sanitario</w:t>
            </w:r>
          </w:p>
        </w:tc>
      </w:tr>
      <w:tr>
        <w:trPr>
          <w:cantSplit/>
        </w:trPr>
        <w:tc>
          <w:tcPr>
            <w:tcW w:type="dxa" w:w="2643"/>
            <w:vAlign w:val="center"/>
            <w:tcMar>
              <w:top w:w="85" w:type="dxa"/>
              <w:bottom w:w="85" w:type="dxa"/>
              <w:left w:w="85" w:type="dxa"/>
              <w:right w:w="85" w:type="dxa"/>
            </w:tcMar>
            <w:shd w:fill="FFFFFF"/>
          </w:tcPr>
          <w:p>
            <w:pPr>
              <w:spacing w:after="40" w:line="247" w:lineRule="auto"/>
            </w:pPr>
            <w:r>
              <w:rPr>
                <w:sz w:val="18"/>
              </w:rPr>
              <w:t>Evidencia vencida</w:t>
            </w:r>
          </w:p>
        </w:tc>
        <w:tc>
          <w:tcPr>
            <w:tcW w:type="dxa" w:w="4067"/>
            <w:vAlign w:val="center"/>
            <w:tcMar>
              <w:top w:w="85" w:type="dxa"/>
              <w:bottom w:w="85" w:type="dxa"/>
              <w:left w:w="85" w:type="dxa"/>
              <w:right w:w="85" w:type="dxa"/>
            </w:tcMar>
            <w:shd w:fill="FFFFFF"/>
          </w:tcPr>
          <w:p>
            <w:pPr>
              <w:spacing w:after="40" w:line="247" w:lineRule="auto"/>
            </w:pPr>
            <w:r>
              <w:rPr>
                <w:sz w:val="18"/>
              </w:rPr>
              <w:t>No genera cumplimiento automático ni cierre sin revisión</w:t>
            </w:r>
          </w:p>
        </w:tc>
        <w:tc>
          <w:tcPr>
            <w:tcW w:type="dxa" w:w="3457"/>
            <w:vAlign w:val="center"/>
            <w:tcMar>
              <w:top w:w="85" w:type="dxa"/>
              <w:bottom w:w="85" w:type="dxa"/>
              <w:left w:w="85" w:type="dxa"/>
              <w:right w:w="85" w:type="dxa"/>
            </w:tcMar>
            <w:shd w:fill="FFFFFF"/>
          </w:tcPr>
          <w:p>
            <w:pPr>
              <w:spacing w:after="40" w:line="247" w:lineRule="auto"/>
            </w:pPr>
            <w:r>
              <w:rPr>
                <w:sz w:val="18"/>
              </w:rPr>
              <w:t>Compliance</w:t>
            </w:r>
          </w:p>
        </w:tc>
      </w:tr>
      <w:tr>
        <w:trPr>
          <w:cantSplit/>
        </w:trPr>
        <w:tc>
          <w:tcPr>
            <w:tcW w:type="dxa" w:w="2643"/>
            <w:vAlign w:val="center"/>
            <w:tcMar>
              <w:top w:w="85" w:type="dxa"/>
              <w:bottom w:w="85" w:type="dxa"/>
              <w:left w:w="85" w:type="dxa"/>
              <w:right w:w="85" w:type="dxa"/>
            </w:tcMar>
            <w:shd w:fill="F2F5F8"/>
          </w:tcPr>
          <w:p>
            <w:pPr>
              <w:spacing w:after="40" w:line="247" w:lineRule="auto"/>
            </w:pPr>
            <w:r>
              <w:rPr>
                <w:sz w:val="18"/>
              </w:rPr>
              <w:t>Continuidad</w:t>
            </w:r>
          </w:p>
        </w:tc>
        <w:tc>
          <w:tcPr>
            <w:tcW w:type="dxa" w:w="4067"/>
            <w:vAlign w:val="center"/>
            <w:tcMar>
              <w:top w:w="85" w:type="dxa"/>
              <w:bottom w:w="85" w:type="dxa"/>
              <w:left w:w="85" w:type="dxa"/>
              <w:right w:w="85" w:type="dxa"/>
            </w:tcMar>
            <w:shd w:fill="F2F5F8"/>
          </w:tcPr>
          <w:p>
            <w:pPr>
              <w:spacing w:after="40" w:line="247" w:lineRule="auto"/>
            </w:pPr>
            <w:r>
              <w:rPr>
                <w:sz w:val="18"/>
              </w:rPr>
              <w:t>Restauración conserva archivos, versiones y permisos; contingencia operable</w:t>
            </w:r>
          </w:p>
        </w:tc>
        <w:tc>
          <w:tcPr>
            <w:tcW w:type="dxa" w:w="3457"/>
            <w:vAlign w:val="center"/>
            <w:tcMar>
              <w:top w:w="85" w:type="dxa"/>
              <w:bottom w:w="85" w:type="dxa"/>
              <w:left w:w="85" w:type="dxa"/>
              <w:right w:w="85" w:type="dxa"/>
            </w:tcMar>
            <w:shd w:fill="F2F5F8"/>
          </w:tcPr>
          <w:p>
            <w:pPr>
              <w:spacing w:after="40" w:line="247" w:lineRule="auto"/>
            </w:pPr>
            <w:r>
              <w:rPr>
                <w:sz w:val="18"/>
              </w:rPr>
              <w:t>TI y unidades</w:t>
            </w:r>
          </w:p>
        </w:tc>
      </w:tr>
    </w:tbl>
    <w:p>
      <w:pPr>
        <w:spacing w:after="80" w:line="240" w:lineRule="auto"/>
      </w:pPr>
    </w:p>
    <w:p>
      <w:pPr>
        <w:pStyle w:val="Heading3"/>
      </w:pPr>
      <w:r>
        <w:t>Registro de hallazgos</w:t>
      </w:r>
    </w:p>
    <w:p>
      <w:pPr>
        <w:spacing w:after="80" w:line="240" w:lineRule="auto"/>
      </w:pPr>
      <w:r>
        <w:rPr>
          <w:sz w:val="20"/>
        </w:rPr>
        <w:t>Cada hallazgo tendrá código, servicio, norma y numeral, evidencia, riesgo, causa, acción, responsable, fecha y prueba de eficacia. Distinguir «no exhibido» de «inexistente», conservando solicitud y respuesta. La ausencia de un documento en internet no demuestra incumplimiento.</w:t>
      </w:r>
    </w:p>
    <w:p>
      <w:pPr>
        <w:spacing w:after="80" w:line="240" w:lineRule="auto"/>
      </w:pPr>
      <w:r>
        <w:rPr>
          <w:sz w:val="20"/>
        </w:rPr>
        <w:t>Prioridad propuesta: crítica ante riesgo inmediato grave o requisito indispensable ausente; alta ante falla relevante; media ante debilidad documental sin riesgo inmediato identificado. Fijar corrección según riesgo y norma, sin un plazo universal de 30 días.</w:t>
      </w:r>
    </w:p>
    <w:p>
      <w:pPr>
        <w:pStyle w:val="Heading3"/>
      </w:pPr>
      <w:r>
        <w:t>Gobierno posterior</w:t>
      </w:r>
    </w:p>
    <w:p>
      <w:pPr>
        <w:spacing w:after="80" w:line="240" w:lineRule="auto"/>
      </w:pPr>
      <w:r>
        <w:rPr>
          <w:sz w:val="20"/>
        </w:rPr>
        <w:t>Proponer seguimiento mensual, revisión trimestral de accesos y evaluación anual, además de revisión ante cambios de servicio, sede, equipo, incidente o norma. Son frecuencias institucionales propuestas; cada obligación mantiene su periodicidad legal.</w:t>
      </w:r>
    </w:p>
    <w:p>
      <w:pPr>
        <w:spacing w:after="80" w:line="240" w:lineRule="auto"/>
      </w:pPr>
      <w:r>
        <w:rPr>
          <w:sz w:val="20"/>
        </w:rPr>
        <w:t>Dirección recibirá indicadores agregados, sin acceso indiscriminado a notas clínicas. El dueño y un verificador competente cerrarán cada acción con evidencia de eficacia. La matriz permanecerá vinculada a los procesos y sus responsables.</w:t>
      </w:r>
    </w:p>
    <w:p>
      <w:pPr>
        <w:spacing w:after="80" w:line="240" w:lineRule="auto"/>
      </w:pPr>
      <w:r>
        <w:rPr>
          <w:sz w:val="20"/>
        </w:rPr>
        <w:br w:type="page"/>
      </w:r>
    </w:p>
    <w:p>
      <w:pPr>
        <w:pStyle w:val="Heading1"/>
      </w:pPr>
      <w:r>
        <w:t>C19 Registro de NOM 1 a 10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N01</w:t>
            </w:r>
          </w:p>
        </w:tc>
        <w:tc>
          <w:tcPr>
            <w:tcW w:type="dxa" w:w="2847"/>
            <w:vAlign w:val="center"/>
            <w:tcMar>
              <w:top w:w="85" w:type="dxa"/>
              <w:bottom w:w="85" w:type="dxa"/>
              <w:left w:w="85" w:type="dxa"/>
              <w:right w:w="85" w:type="dxa"/>
            </w:tcMar>
            <w:shd w:fill="FFFFFF"/>
          </w:tcPr>
          <w:p>
            <w:pPr>
              <w:spacing w:after="40" w:line="247" w:lineRule="auto"/>
            </w:pPr>
            <w:r>
              <w:rPr>
                <w:sz w:val="18"/>
              </w:rPr>
              <w:t>NOM-004-SSA3-2012</w:t>
              <w:br/>
            </w:r>
            <w:hyperlink r:id="rId1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Expediente clínico</w:t>
            </w:r>
          </w:p>
        </w:tc>
        <w:tc>
          <w:tcPr>
            <w:tcW w:type="dxa" w:w="3355"/>
            <w:vAlign w:val="center"/>
            <w:tcMar>
              <w:top w:w="85" w:type="dxa"/>
              <w:bottom w:w="85" w:type="dxa"/>
              <w:left w:w="85" w:type="dxa"/>
              <w:right w:w="85" w:type="dxa"/>
            </w:tcMar>
            <w:shd w:fill="FFFFFF"/>
          </w:tcPr>
          <w:p>
            <w:pPr>
              <w:spacing w:after="40" w:line="247" w:lineRule="auto"/>
            </w:pPr>
            <w:r>
              <w:rPr>
                <w:sz w:val="18"/>
              </w:rPr>
              <w:t>Atención clínica en las unidades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N02</w:t>
            </w:r>
          </w:p>
        </w:tc>
        <w:tc>
          <w:tcPr>
            <w:tcW w:type="dxa" w:w="2847"/>
            <w:vAlign w:val="center"/>
            <w:tcMar>
              <w:top w:w="85" w:type="dxa"/>
              <w:bottom w:w="85" w:type="dxa"/>
              <w:left w:w="85" w:type="dxa"/>
              <w:right w:w="85" w:type="dxa"/>
            </w:tcMar>
            <w:shd w:fill="F2F5F8"/>
          </w:tcPr>
          <w:p>
            <w:pPr>
              <w:spacing w:after="40" w:line="247" w:lineRule="auto"/>
            </w:pPr>
            <w:r>
              <w:rPr>
                <w:sz w:val="18"/>
              </w:rPr>
              <w:t>NOM-013-SSA2-2015</w:t>
              <w:br/>
            </w:r>
            <w:hyperlink r:id="rId1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Prevención y control de enfermedades bucales</w:t>
            </w:r>
          </w:p>
        </w:tc>
        <w:tc>
          <w:tcPr>
            <w:tcW w:type="dxa" w:w="3355"/>
            <w:vAlign w:val="center"/>
            <w:tcMar>
              <w:top w:w="85" w:type="dxa"/>
              <w:bottom w:w="85" w:type="dxa"/>
              <w:left w:w="85" w:type="dxa"/>
              <w:right w:w="85" w:type="dxa"/>
            </w:tcMar>
            <w:shd w:fill="F2F5F8"/>
          </w:tcPr>
          <w:p>
            <w:pPr>
              <w:spacing w:after="40" w:line="247" w:lineRule="auto"/>
            </w:pPr>
            <w:r>
              <w:rPr>
                <w:sz w:val="18"/>
              </w:rPr>
              <w:t>Odontología</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N03</w:t>
            </w:r>
          </w:p>
        </w:tc>
        <w:tc>
          <w:tcPr>
            <w:tcW w:type="dxa" w:w="2847"/>
            <w:vAlign w:val="center"/>
            <w:tcMar>
              <w:top w:w="85" w:type="dxa"/>
              <w:bottom w:w="85" w:type="dxa"/>
              <w:left w:w="85" w:type="dxa"/>
              <w:right w:w="85" w:type="dxa"/>
            </w:tcMar>
            <w:shd w:fill="FFFFFF"/>
          </w:tcPr>
          <w:p>
            <w:pPr>
              <w:spacing w:after="40" w:line="247" w:lineRule="auto"/>
            </w:pPr>
            <w:r>
              <w:rPr>
                <w:sz w:val="18"/>
              </w:rPr>
              <w:t>NOM-005-SSA3-2018</w:t>
              <w:br/>
            </w:r>
            <w:hyperlink r:id="rId1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Infraestructura y equipo para atención ambulatoria</w:t>
            </w:r>
          </w:p>
        </w:tc>
        <w:tc>
          <w:tcPr>
            <w:tcW w:type="dxa" w:w="3355"/>
            <w:vAlign w:val="center"/>
            <w:tcMar>
              <w:top w:w="85" w:type="dxa"/>
              <w:bottom w:w="85" w:type="dxa"/>
              <w:left w:w="85" w:type="dxa"/>
              <w:right w:w="85" w:type="dxa"/>
            </w:tcMar>
            <w:shd w:fill="FFFFFF"/>
          </w:tcPr>
          <w:p>
            <w:pPr>
              <w:spacing w:after="40" w:line="247" w:lineRule="auto"/>
            </w:pPr>
            <w:r>
              <w:rPr>
                <w:sz w:val="18"/>
              </w:rPr>
              <w:t>Consultorios no especializados según tipo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N04</w:t>
            </w:r>
          </w:p>
        </w:tc>
        <w:tc>
          <w:tcPr>
            <w:tcW w:type="dxa" w:w="2847"/>
            <w:vAlign w:val="center"/>
            <w:tcMar>
              <w:top w:w="85" w:type="dxa"/>
              <w:bottom w:w="85" w:type="dxa"/>
              <w:left w:w="85" w:type="dxa"/>
              <w:right w:w="85" w:type="dxa"/>
            </w:tcMar>
            <w:shd w:fill="F2F5F8"/>
          </w:tcPr>
          <w:p>
            <w:pPr>
              <w:spacing w:after="40" w:line="247" w:lineRule="auto"/>
            </w:pPr>
            <w:r>
              <w:rPr>
                <w:sz w:val="18"/>
              </w:rPr>
              <w:t>NOM-016-SSA3-2012</w:t>
              <w:br/>
            </w:r>
            <w:hyperlink r:id="rId1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Infraestructura de hospitales y consultorios especializados</w:t>
            </w:r>
          </w:p>
        </w:tc>
        <w:tc>
          <w:tcPr>
            <w:tcW w:type="dxa" w:w="3355"/>
            <w:vAlign w:val="center"/>
            <w:tcMar>
              <w:top w:w="85" w:type="dxa"/>
              <w:bottom w:w="85" w:type="dxa"/>
              <w:left w:w="85" w:type="dxa"/>
              <w:right w:w="85" w:type="dxa"/>
            </w:tcMar>
            <w:shd w:fill="F2F5F8"/>
          </w:tcPr>
          <w:p>
            <w:pPr>
              <w:spacing w:after="40" w:line="247" w:lineRule="auto"/>
            </w:pPr>
            <w:r>
              <w:rPr>
                <w:sz w:val="18"/>
              </w:rPr>
              <w:t>Clasificación del establecimiento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N05</w:t>
            </w:r>
          </w:p>
        </w:tc>
        <w:tc>
          <w:tcPr>
            <w:tcW w:type="dxa" w:w="2847"/>
            <w:vAlign w:val="center"/>
            <w:tcMar>
              <w:top w:w="85" w:type="dxa"/>
              <w:bottom w:w="85" w:type="dxa"/>
              <w:left w:w="85" w:type="dxa"/>
              <w:right w:w="85" w:type="dxa"/>
            </w:tcMar>
            <w:shd w:fill="FFFFFF"/>
          </w:tcPr>
          <w:p>
            <w:pPr>
              <w:spacing w:after="40" w:line="247" w:lineRule="auto"/>
            </w:pPr>
            <w:r>
              <w:rPr>
                <w:sz w:val="18"/>
              </w:rPr>
              <w:t>NOM-024-SSA3-2012</w:t>
              <w:br/>
            </w:r>
            <w:hyperlink r:id="rId1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Sistemas de registro electrónico e intercambio en salud</w:t>
            </w:r>
          </w:p>
        </w:tc>
        <w:tc>
          <w:tcPr>
            <w:tcW w:type="dxa" w:w="3355"/>
            <w:vAlign w:val="center"/>
            <w:tcMar>
              <w:top w:w="85" w:type="dxa"/>
              <w:bottom w:w="85" w:type="dxa"/>
              <w:left w:w="85" w:type="dxa"/>
              <w:right w:w="85" w:type="dxa"/>
            </w:tcMar>
            <w:shd w:fill="FFFFFF"/>
          </w:tcPr>
          <w:p>
            <w:pPr>
              <w:spacing w:after="40" w:line="247" w:lineRule="auto"/>
            </w:pPr>
            <w:r>
              <w:rPr>
                <w:sz w:val="18"/>
              </w:rPr>
              <w:t>Aplicación con SIRES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N06</w:t>
            </w:r>
          </w:p>
        </w:tc>
        <w:tc>
          <w:tcPr>
            <w:tcW w:type="dxa" w:w="2847"/>
            <w:vAlign w:val="center"/>
            <w:tcMar>
              <w:top w:w="85" w:type="dxa"/>
              <w:bottom w:w="85" w:type="dxa"/>
              <w:left w:w="85" w:type="dxa"/>
              <w:right w:w="85" w:type="dxa"/>
            </w:tcMar>
            <w:shd w:fill="F2F5F8"/>
          </w:tcPr>
          <w:p>
            <w:pPr>
              <w:spacing w:after="40" w:line="247" w:lineRule="auto"/>
            </w:pPr>
            <w:r>
              <w:rPr>
                <w:sz w:val="18"/>
              </w:rPr>
              <w:t>NOM-030-SSA3-2013</w:t>
              <w:br/>
            </w:r>
            <w:hyperlink r:id="rId1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Accesibilidad arquitectónica de establecimientos de salud</w:t>
            </w:r>
          </w:p>
        </w:tc>
        <w:tc>
          <w:tcPr>
            <w:tcW w:type="dxa" w:w="3355"/>
            <w:vAlign w:val="center"/>
            <w:tcMar>
              <w:top w:w="85" w:type="dxa"/>
              <w:bottom w:w="85" w:type="dxa"/>
              <w:left w:w="85" w:type="dxa"/>
              <w:right w:w="85" w:type="dxa"/>
            </w:tcMar>
            <w:shd w:fill="F2F5F8"/>
          </w:tcPr>
          <w:p>
            <w:pPr>
              <w:spacing w:after="40" w:line="247" w:lineRule="auto"/>
            </w:pPr>
            <w:r>
              <w:rPr>
                <w:sz w:val="18"/>
              </w:rPr>
              <w:t>Instalaciones de atención médica</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N07</w:t>
            </w:r>
          </w:p>
        </w:tc>
        <w:tc>
          <w:tcPr>
            <w:tcW w:type="dxa" w:w="2847"/>
            <w:vAlign w:val="center"/>
            <w:tcMar>
              <w:top w:w="85" w:type="dxa"/>
              <w:bottom w:w="85" w:type="dxa"/>
              <w:left w:w="85" w:type="dxa"/>
              <w:right w:w="85" w:type="dxa"/>
            </w:tcMar>
            <w:shd w:fill="FFFFFF"/>
          </w:tcPr>
          <w:p>
            <w:pPr>
              <w:spacing w:after="40" w:line="247" w:lineRule="auto"/>
            </w:pPr>
            <w:r>
              <w:rPr>
                <w:sz w:val="18"/>
              </w:rPr>
              <w:t>NOM-087-SEMARNAT-SSA1-2002</w:t>
              <w:br/>
            </w:r>
            <w:hyperlink r:id="rId1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Clasificación y manejo de RPBI</w:t>
            </w:r>
          </w:p>
        </w:tc>
        <w:tc>
          <w:tcPr>
            <w:tcW w:type="dxa" w:w="3355"/>
            <w:vAlign w:val="center"/>
            <w:tcMar>
              <w:top w:w="85" w:type="dxa"/>
              <w:bottom w:w="85" w:type="dxa"/>
              <w:left w:w="85" w:type="dxa"/>
              <w:right w:w="85" w:type="dxa"/>
            </w:tcMar>
            <w:shd w:fill="FFFFFF"/>
          </w:tcPr>
          <w:p>
            <w:pPr>
              <w:spacing w:after="40" w:line="247" w:lineRule="auto"/>
            </w:pPr>
            <w:r>
              <w:rPr>
                <w:sz w:val="18"/>
              </w:rPr>
              <w:t>Actividades que generan RPBI</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N08</w:t>
            </w:r>
          </w:p>
        </w:tc>
        <w:tc>
          <w:tcPr>
            <w:tcW w:type="dxa" w:w="2847"/>
            <w:vAlign w:val="center"/>
            <w:tcMar>
              <w:top w:w="85" w:type="dxa"/>
              <w:bottom w:w="85" w:type="dxa"/>
              <w:left w:w="85" w:type="dxa"/>
              <w:right w:w="85" w:type="dxa"/>
            </w:tcMar>
            <w:shd w:fill="F2F5F8"/>
          </w:tcPr>
          <w:p>
            <w:pPr>
              <w:spacing w:after="40" w:line="247" w:lineRule="auto"/>
            </w:pPr>
            <w:r>
              <w:rPr>
                <w:sz w:val="18"/>
              </w:rPr>
              <w:t>NOM-229-SSA1-2002</w:t>
              <w:br/>
            </w:r>
            <w:hyperlink r:id="rId1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Instalaciones y protección para diagnóstico con rayos X</w:t>
            </w:r>
          </w:p>
        </w:tc>
        <w:tc>
          <w:tcPr>
            <w:tcW w:type="dxa" w:w="3355"/>
            <w:vAlign w:val="center"/>
            <w:tcMar>
              <w:top w:w="85" w:type="dxa"/>
              <w:bottom w:w="85" w:type="dxa"/>
              <w:left w:w="85" w:type="dxa"/>
              <w:right w:w="85" w:type="dxa"/>
            </w:tcMar>
            <w:shd w:fill="F2F5F8"/>
          </w:tcPr>
          <w:p>
            <w:pPr>
              <w:spacing w:after="40" w:line="247" w:lineRule="auto"/>
            </w:pPr>
            <w:r>
              <w:rPr>
                <w:sz w:val="18"/>
              </w:rPr>
              <w:t>Según equipo; revisar modificaciones y exclusiones</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N09</w:t>
            </w:r>
          </w:p>
        </w:tc>
        <w:tc>
          <w:tcPr>
            <w:tcW w:type="dxa" w:w="2847"/>
            <w:vAlign w:val="center"/>
            <w:tcMar>
              <w:top w:w="85" w:type="dxa"/>
              <w:bottom w:w="85" w:type="dxa"/>
              <w:left w:w="85" w:type="dxa"/>
              <w:right w:w="85" w:type="dxa"/>
            </w:tcMar>
            <w:shd w:fill="FFFFFF"/>
          </w:tcPr>
          <w:p>
            <w:pPr>
              <w:spacing w:after="40" w:line="247" w:lineRule="auto"/>
            </w:pPr>
            <w:r>
              <w:rPr>
                <w:sz w:val="18"/>
              </w:rPr>
              <w:t>NOM-015-SSA-2023</w:t>
              <w:br/>
            </w:r>
            <w:hyperlink r:id="rId1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Atención médica integral a personas con discapacidad</w:t>
            </w:r>
          </w:p>
        </w:tc>
        <w:tc>
          <w:tcPr>
            <w:tcW w:type="dxa" w:w="3355"/>
            <w:vAlign w:val="center"/>
            <w:tcMar>
              <w:top w:w="85" w:type="dxa"/>
              <w:bottom w:w="85" w:type="dxa"/>
              <w:left w:w="85" w:type="dxa"/>
              <w:right w:w="85" w:type="dxa"/>
            </w:tcMar>
            <w:shd w:fill="FFFFFF"/>
          </w:tcPr>
          <w:p>
            <w:pPr>
              <w:spacing w:after="40" w:line="247" w:lineRule="auto"/>
            </w:pPr>
            <w:r>
              <w:rPr>
                <w:sz w:val="18"/>
              </w:rPr>
              <w:t>Fisioterapia y demás atención comprendida</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N10</w:t>
            </w:r>
          </w:p>
        </w:tc>
        <w:tc>
          <w:tcPr>
            <w:tcW w:type="dxa" w:w="2847"/>
            <w:vAlign w:val="center"/>
            <w:tcMar>
              <w:top w:w="85" w:type="dxa"/>
              <w:bottom w:w="85" w:type="dxa"/>
              <w:left w:w="85" w:type="dxa"/>
              <w:right w:w="85" w:type="dxa"/>
            </w:tcMar>
            <w:shd w:fill="F2F5F8"/>
          </w:tcPr>
          <w:p>
            <w:pPr>
              <w:spacing w:after="40" w:line="247" w:lineRule="auto"/>
            </w:pPr>
            <w:r>
              <w:rPr>
                <w:sz w:val="18"/>
              </w:rPr>
              <w:t>NOM-039-SSA-2023</w:t>
              <w:br/>
            </w:r>
            <w:hyperlink r:id="rId2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Certificación de discapacidad</w:t>
            </w:r>
          </w:p>
        </w:tc>
        <w:tc>
          <w:tcPr>
            <w:tcW w:type="dxa" w:w="3355"/>
            <w:vAlign w:val="center"/>
            <w:tcMar>
              <w:top w:w="85" w:type="dxa"/>
              <w:bottom w:w="85" w:type="dxa"/>
              <w:left w:w="85" w:type="dxa"/>
              <w:right w:w="85" w:type="dxa"/>
            </w:tcMar>
            <w:shd w:fill="F2F5F8"/>
          </w:tcPr>
          <w:p>
            <w:pPr>
              <w:spacing w:after="40" w:line="247" w:lineRule="auto"/>
            </w:pPr>
            <w:r>
              <w:rPr>
                <w:sz w:val="18"/>
              </w:rPr>
              <w:t>Sólo actividad de certificación comprendida</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C19 Registro de NOM 11 a 20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N11</w:t>
            </w:r>
          </w:p>
        </w:tc>
        <w:tc>
          <w:tcPr>
            <w:tcW w:type="dxa" w:w="2847"/>
            <w:vAlign w:val="center"/>
            <w:tcMar>
              <w:top w:w="85" w:type="dxa"/>
              <w:bottom w:w="85" w:type="dxa"/>
              <w:left w:w="85" w:type="dxa"/>
              <w:right w:w="85" w:type="dxa"/>
            </w:tcMar>
            <w:shd w:fill="FFFFFF"/>
          </w:tcPr>
          <w:p>
            <w:pPr>
              <w:spacing w:after="40" w:line="247" w:lineRule="auto"/>
            </w:pPr>
            <w:r>
              <w:rPr>
                <w:sz w:val="18"/>
              </w:rPr>
              <w:t>NOM-043-SSA2-2012</w:t>
              <w:br/>
            </w:r>
            <w:hyperlink r:id="rId2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Orientación y educación alimentaria</w:t>
            </w:r>
          </w:p>
        </w:tc>
        <w:tc>
          <w:tcPr>
            <w:tcW w:type="dxa" w:w="3355"/>
            <w:vAlign w:val="center"/>
            <w:tcMar>
              <w:top w:w="85" w:type="dxa"/>
              <w:bottom w:w="85" w:type="dxa"/>
              <w:left w:w="85" w:type="dxa"/>
              <w:right w:w="85" w:type="dxa"/>
            </w:tcMar>
            <w:shd w:fill="FFFFFF"/>
          </w:tcPr>
          <w:p>
            <w:pPr>
              <w:spacing w:after="40" w:line="247" w:lineRule="auto"/>
            </w:pPr>
            <w:r>
              <w:rPr>
                <w:sz w:val="18"/>
              </w:rPr>
              <w:t>Nutrición y actividades educativas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N12</w:t>
            </w:r>
          </w:p>
        </w:tc>
        <w:tc>
          <w:tcPr>
            <w:tcW w:type="dxa" w:w="2847"/>
            <w:vAlign w:val="center"/>
            <w:tcMar>
              <w:top w:w="85" w:type="dxa"/>
              <w:bottom w:w="85" w:type="dxa"/>
              <w:left w:w="85" w:type="dxa"/>
              <w:right w:w="85" w:type="dxa"/>
            </w:tcMar>
            <w:shd w:fill="F2F5F8"/>
          </w:tcPr>
          <w:p>
            <w:pPr>
              <w:spacing w:after="40" w:line="247" w:lineRule="auto"/>
            </w:pPr>
            <w:r>
              <w:rPr>
                <w:sz w:val="18"/>
              </w:rPr>
              <w:t>NOM-008-SSA3-2017</w:t>
              <w:br/>
            </w:r>
            <w:hyperlink r:id="rId2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Tratamiento integral de sobrepeso y obesidad</w:t>
            </w:r>
          </w:p>
        </w:tc>
        <w:tc>
          <w:tcPr>
            <w:tcW w:type="dxa" w:w="3355"/>
            <w:vAlign w:val="center"/>
            <w:tcMar>
              <w:top w:w="85" w:type="dxa"/>
              <w:bottom w:w="85" w:type="dxa"/>
              <w:left w:w="85" w:type="dxa"/>
              <w:right w:w="85" w:type="dxa"/>
            </w:tcMar>
            <w:shd w:fill="F2F5F8"/>
          </w:tcPr>
          <w:p>
            <w:pPr>
              <w:spacing w:after="40" w:line="247" w:lineRule="auto"/>
            </w:pPr>
            <w:r>
              <w:rPr>
                <w:sz w:val="18"/>
              </w:rPr>
              <w:t>Cuando se ofrece ese tratamiento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N13</w:t>
            </w:r>
          </w:p>
        </w:tc>
        <w:tc>
          <w:tcPr>
            <w:tcW w:type="dxa" w:w="2847"/>
            <w:vAlign w:val="center"/>
            <w:tcMar>
              <w:top w:w="85" w:type="dxa"/>
              <w:bottom w:w="85" w:type="dxa"/>
              <w:left w:w="85" w:type="dxa"/>
              <w:right w:w="85" w:type="dxa"/>
            </w:tcMar>
            <w:shd w:fill="FFFFFF"/>
          </w:tcPr>
          <w:p>
            <w:pPr>
              <w:spacing w:after="40" w:line="247" w:lineRule="auto"/>
            </w:pPr>
            <w:r>
              <w:rPr>
                <w:sz w:val="18"/>
              </w:rPr>
              <w:t>NOM-015-SSA2-2010</w:t>
              <w:br/>
            </w:r>
            <w:hyperlink r:id="rId2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Prevención y control de diabetes mellitus</w:t>
            </w:r>
          </w:p>
        </w:tc>
        <w:tc>
          <w:tcPr>
            <w:tcW w:type="dxa" w:w="3355"/>
            <w:vAlign w:val="center"/>
            <w:tcMar>
              <w:top w:w="85" w:type="dxa"/>
              <w:bottom w:w="85" w:type="dxa"/>
              <w:left w:w="85" w:type="dxa"/>
              <w:right w:w="85" w:type="dxa"/>
            </w:tcMar>
            <w:shd w:fill="FFFFFF"/>
          </w:tcPr>
          <w:p>
            <w:pPr>
              <w:spacing w:after="40" w:line="247" w:lineRule="auto"/>
            </w:pPr>
            <w:r>
              <w:rPr>
                <w:sz w:val="18"/>
              </w:rPr>
              <w:t>Según intervención en el paciente</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N14</w:t>
            </w:r>
          </w:p>
        </w:tc>
        <w:tc>
          <w:tcPr>
            <w:tcW w:type="dxa" w:w="2847"/>
            <w:vAlign w:val="center"/>
            <w:tcMar>
              <w:top w:w="85" w:type="dxa"/>
              <w:bottom w:w="85" w:type="dxa"/>
              <w:left w:w="85" w:type="dxa"/>
              <w:right w:w="85" w:type="dxa"/>
            </w:tcMar>
            <w:shd w:fill="F2F5F8"/>
          </w:tcPr>
          <w:p>
            <w:pPr>
              <w:spacing w:after="40" w:line="247" w:lineRule="auto"/>
            </w:pPr>
            <w:r>
              <w:rPr>
                <w:sz w:val="18"/>
              </w:rPr>
              <w:t>NOM-030-SSA2-2009</w:t>
              <w:br/>
            </w:r>
            <w:hyperlink r:id="rId2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Prevención y control de hipertensión arterial</w:t>
            </w:r>
          </w:p>
        </w:tc>
        <w:tc>
          <w:tcPr>
            <w:tcW w:type="dxa" w:w="3355"/>
            <w:vAlign w:val="center"/>
            <w:tcMar>
              <w:top w:w="85" w:type="dxa"/>
              <w:bottom w:w="85" w:type="dxa"/>
              <w:left w:w="85" w:type="dxa"/>
              <w:right w:w="85" w:type="dxa"/>
            </w:tcMar>
            <w:shd w:fill="F2F5F8"/>
          </w:tcPr>
          <w:p>
            <w:pPr>
              <w:spacing w:after="40" w:line="247" w:lineRule="auto"/>
            </w:pPr>
            <w:r>
              <w:rPr>
                <w:sz w:val="18"/>
              </w:rPr>
              <w:t>Según intervención en el paciente</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N15</w:t>
            </w:r>
          </w:p>
        </w:tc>
        <w:tc>
          <w:tcPr>
            <w:tcW w:type="dxa" w:w="2847"/>
            <w:vAlign w:val="center"/>
            <w:tcMar>
              <w:top w:w="85" w:type="dxa"/>
              <w:bottom w:w="85" w:type="dxa"/>
              <w:left w:w="85" w:type="dxa"/>
              <w:right w:w="85" w:type="dxa"/>
            </w:tcMar>
            <w:shd w:fill="FFFFFF"/>
          </w:tcPr>
          <w:p>
            <w:pPr>
              <w:spacing w:after="40" w:line="247" w:lineRule="auto"/>
            </w:pPr>
            <w:r>
              <w:rPr>
                <w:sz w:val="18"/>
              </w:rPr>
              <w:t>NOM-037-SSA2-2012</w:t>
              <w:br/>
            </w:r>
            <w:hyperlink r:id="rId2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Prevención y control de dislipidemias</w:t>
            </w:r>
          </w:p>
        </w:tc>
        <w:tc>
          <w:tcPr>
            <w:tcW w:type="dxa" w:w="3355"/>
            <w:vAlign w:val="center"/>
            <w:tcMar>
              <w:top w:w="85" w:type="dxa"/>
              <w:bottom w:w="85" w:type="dxa"/>
              <w:left w:w="85" w:type="dxa"/>
              <w:right w:w="85" w:type="dxa"/>
            </w:tcMar>
            <w:shd w:fill="FFFFFF"/>
          </w:tcPr>
          <w:p>
            <w:pPr>
              <w:spacing w:after="40" w:line="247" w:lineRule="auto"/>
            </w:pPr>
            <w:r>
              <w:rPr>
                <w:sz w:val="18"/>
              </w:rPr>
              <w:t>Según intervención en el paciente</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N16</w:t>
            </w:r>
          </w:p>
        </w:tc>
        <w:tc>
          <w:tcPr>
            <w:tcW w:type="dxa" w:w="2847"/>
            <w:vAlign w:val="center"/>
            <w:tcMar>
              <w:top w:w="85" w:type="dxa"/>
              <w:bottom w:w="85" w:type="dxa"/>
              <w:left w:w="85" w:type="dxa"/>
              <w:right w:w="85" w:type="dxa"/>
            </w:tcMar>
            <w:shd w:fill="F2F5F8"/>
          </w:tcPr>
          <w:p>
            <w:pPr>
              <w:spacing w:after="40" w:line="247" w:lineRule="auto"/>
            </w:pPr>
            <w:r>
              <w:rPr>
                <w:sz w:val="18"/>
              </w:rPr>
              <w:t>NOM-046-SSA2-2005</w:t>
              <w:br/>
            </w:r>
            <w:hyperlink r:id="rId2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Prevención y atención de violencia familiar y sexual</w:t>
            </w:r>
          </w:p>
        </w:tc>
        <w:tc>
          <w:tcPr>
            <w:tcW w:type="dxa" w:w="3355"/>
            <w:vAlign w:val="center"/>
            <w:tcMar>
              <w:top w:w="85" w:type="dxa"/>
              <w:bottom w:w="85" w:type="dxa"/>
              <w:left w:w="85" w:type="dxa"/>
              <w:right w:w="85" w:type="dxa"/>
            </w:tcMar>
            <w:shd w:fill="F2F5F8"/>
          </w:tcPr>
          <w:p>
            <w:pPr>
              <w:spacing w:after="40" w:line="247" w:lineRule="auto"/>
            </w:pPr>
            <w:r>
              <w:rPr>
                <w:sz w:val="18"/>
              </w:rPr>
              <w:t>Atención de salud; modificación de 2016</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N17</w:t>
            </w:r>
          </w:p>
        </w:tc>
        <w:tc>
          <w:tcPr>
            <w:tcW w:type="dxa" w:w="2847"/>
            <w:vAlign w:val="center"/>
            <w:tcMar>
              <w:top w:w="85" w:type="dxa"/>
              <w:bottom w:w="85" w:type="dxa"/>
              <w:left w:w="85" w:type="dxa"/>
              <w:right w:w="85" w:type="dxa"/>
            </w:tcMar>
            <w:shd w:fill="FFFFFF"/>
          </w:tcPr>
          <w:p>
            <w:pPr>
              <w:spacing w:after="40" w:line="247" w:lineRule="auto"/>
            </w:pPr>
            <w:r>
              <w:rPr>
                <w:sz w:val="18"/>
              </w:rPr>
              <w:t>NOM-028-SSA2-2009</w:t>
              <w:br/>
            </w:r>
            <w:hyperlink r:id="rId2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Prevención y tratamiento de adicciones</w:t>
            </w:r>
          </w:p>
        </w:tc>
        <w:tc>
          <w:tcPr>
            <w:tcW w:type="dxa" w:w="3355"/>
            <w:vAlign w:val="center"/>
            <w:tcMar>
              <w:top w:w="85" w:type="dxa"/>
              <w:bottom w:w="85" w:type="dxa"/>
              <w:left w:w="85" w:type="dxa"/>
              <w:right w:w="85" w:type="dxa"/>
            </w:tcMar>
            <w:shd w:fill="FFFFFF"/>
          </w:tcPr>
          <w:p>
            <w:pPr>
              <w:spacing w:after="40" w:line="247" w:lineRule="auto"/>
            </w:pPr>
            <w:r>
              <w:rPr>
                <w:sz w:val="18"/>
              </w:rPr>
              <w:t>Según actividades de prevención o atención</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N18</w:t>
            </w:r>
          </w:p>
        </w:tc>
        <w:tc>
          <w:tcPr>
            <w:tcW w:type="dxa" w:w="2847"/>
            <w:vAlign w:val="center"/>
            <w:tcMar>
              <w:top w:w="85" w:type="dxa"/>
              <w:bottom w:w="85" w:type="dxa"/>
              <w:left w:w="85" w:type="dxa"/>
              <w:right w:w="85" w:type="dxa"/>
            </w:tcMar>
            <w:shd w:fill="F2F5F8"/>
          </w:tcPr>
          <w:p>
            <w:pPr>
              <w:spacing w:after="40" w:line="247" w:lineRule="auto"/>
            </w:pPr>
            <w:r>
              <w:rPr>
                <w:sz w:val="18"/>
              </w:rPr>
              <w:t>NOM-025-SSA2-2014</w:t>
              <w:br/>
            </w:r>
            <w:hyperlink r:id="rId2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Atención integral hospitalaria médico psiquiátrica</w:t>
            </w:r>
          </w:p>
        </w:tc>
        <w:tc>
          <w:tcPr>
            <w:tcW w:type="dxa" w:w="3355"/>
            <w:vAlign w:val="center"/>
            <w:tcMar>
              <w:top w:w="85" w:type="dxa"/>
              <w:bottom w:w="85" w:type="dxa"/>
              <w:left w:w="85" w:type="dxa"/>
              <w:right w:w="85" w:type="dxa"/>
            </w:tcMar>
            <w:shd w:fill="F2F5F8"/>
          </w:tcPr>
          <w:p>
            <w:pPr>
              <w:spacing w:after="40" w:line="247" w:lineRule="auto"/>
            </w:pPr>
            <w:r>
              <w:rPr>
                <w:sz w:val="18"/>
              </w:rPr>
              <w:t>No asignar a consulta ambulatoria sin encuadre</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N19</w:t>
            </w:r>
          </w:p>
        </w:tc>
        <w:tc>
          <w:tcPr>
            <w:tcW w:type="dxa" w:w="2847"/>
            <w:vAlign w:val="center"/>
            <w:tcMar>
              <w:top w:w="85" w:type="dxa"/>
              <w:bottom w:w="85" w:type="dxa"/>
              <w:left w:w="85" w:type="dxa"/>
              <w:right w:w="85" w:type="dxa"/>
            </w:tcMar>
            <w:shd w:fill="FFFFFF"/>
          </w:tcPr>
          <w:p>
            <w:pPr>
              <w:spacing w:after="40" w:line="247" w:lineRule="auto"/>
            </w:pPr>
            <w:r>
              <w:rPr>
                <w:sz w:val="18"/>
              </w:rPr>
              <w:t>NOM-019-SSA3-2013</w:t>
              <w:br/>
            </w:r>
            <w:hyperlink r:id="rId2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Ejercicio de enfermería en el sistema de salud</w:t>
            </w:r>
          </w:p>
        </w:tc>
        <w:tc>
          <w:tcPr>
            <w:tcW w:type="dxa" w:w="3355"/>
            <w:vAlign w:val="center"/>
            <w:tcMar>
              <w:top w:w="85" w:type="dxa"/>
              <w:bottom w:w="85" w:type="dxa"/>
              <w:left w:w="85" w:type="dxa"/>
              <w:right w:w="85" w:type="dxa"/>
            </w:tcMar>
            <w:shd w:fill="FFFFFF"/>
          </w:tcPr>
          <w:p>
            <w:pPr>
              <w:spacing w:after="40" w:line="247" w:lineRule="auto"/>
            </w:pPr>
            <w:r>
              <w:rPr>
                <w:sz w:val="18"/>
              </w:rPr>
              <w:t>Si se ofrecen cuidados de enfermería</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N20</w:t>
            </w:r>
          </w:p>
        </w:tc>
        <w:tc>
          <w:tcPr>
            <w:tcW w:type="dxa" w:w="2847"/>
            <w:vAlign w:val="center"/>
            <w:tcMar>
              <w:top w:w="85" w:type="dxa"/>
              <w:bottom w:w="85" w:type="dxa"/>
              <w:left w:w="85" w:type="dxa"/>
              <w:right w:w="85" w:type="dxa"/>
            </w:tcMar>
            <w:shd w:fill="F2F5F8"/>
          </w:tcPr>
          <w:p>
            <w:pPr>
              <w:spacing w:after="40" w:line="247" w:lineRule="auto"/>
            </w:pPr>
            <w:r>
              <w:rPr>
                <w:sz w:val="18"/>
              </w:rPr>
              <w:t>NOM-036-SSA2-2012</w:t>
              <w:br/>
            </w:r>
            <w:hyperlink r:id="rId3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Aplicación de vacunas y otros biológicos</w:t>
            </w:r>
          </w:p>
        </w:tc>
        <w:tc>
          <w:tcPr>
            <w:tcW w:type="dxa" w:w="3355"/>
            <w:vAlign w:val="center"/>
            <w:tcMar>
              <w:top w:w="85" w:type="dxa"/>
              <w:bottom w:w="85" w:type="dxa"/>
              <w:left w:w="85" w:type="dxa"/>
              <w:right w:w="85" w:type="dxa"/>
            </w:tcMar>
            <w:shd w:fill="F2F5F8"/>
          </w:tcPr>
          <w:p>
            <w:pPr>
              <w:spacing w:after="40" w:line="247" w:lineRule="auto"/>
            </w:pPr>
            <w:r>
              <w:rPr>
                <w:sz w:val="18"/>
              </w:rPr>
              <w:t>Si se administran productos de su ámbito</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C19 Registro de NOM 21 a 30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N21</w:t>
            </w:r>
          </w:p>
        </w:tc>
        <w:tc>
          <w:tcPr>
            <w:tcW w:type="dxa" w:w="2847"/>
            <w:vAlign w:val="center"/>
            <w:tcMar>
              <w:top w:w="85" w:type="dxa"/>
              <w:bottom w:w="85" w:type="dxa"/>
              <w:left w:w="85" w:type="dxa"/>
              <w:right w:w="85" w:type="dxa"/>
            </w:tcMar>
            <w:shd w:fill="FFFFFF"/>
          </w:tcPr>
          <w:p>
            <w:pPr>
              <w:spacing w:after="40" w:line="247" w:lineRule="auto"/>
            </w:pPr>
            <w:r>
              <w:rPr>
                <w:sz w:val="18"/>
              </w:rPr>
              <w:t>NOM-220-SSA1-2016</w:t>
              <w:br/>
            </w:r>
            <w:hyperlink r:id="rId3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Farmacovigilancia</w:t>
            </w:r>
          </w:p>
        </w:tc>
        <w:tc>
          <w:tcPr>
            <w:tcW w:type="dxa" w:w="3355"/>
            <w:vAlign w:val="center"/>
            <w:tcMar>
              <w:top w:w="85" w:type="dxa"/>
              <w:bottom w:w="85" w:type="dxa"/>
              <w:left w:w="85" w:type="dxa"/>
              <w:right w:w="85" w:type="dxa"/>
            </w:tcMar>
            <w:shd w:fill="FFFFFF"/>
          </w:tcPr>
          <w:p>
            <w:pPr>
              <w:spacing w:after="40" w:line="247" w:lineRule="auto"/>
            </w:pPr>
            <w:r>
              <w:rPr>
                <w:sz w:val="18"/>
              </w:rPr>
              <w:t>Según funciones del prestador y modificaciones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N22</w:t>
            </w:r>
          </w:p>
        </w:tc>
        <w:tc>
          <w:tcPr>
            <w:tcW w:type="dxa" w:w="2847"/>
            <w:vAlign w:val="center"/>
            <w:tcMar>
              <w:top w:w="85" w:type="dxa"/>
              <w:bottom w:w="85" w:type="dxa"/>
              <w:left w:w="85" w:type="dxa"/>
              <w:right w:w="85" w:type="dxa"/>
            </w:tcMar>
            <w:shd w:fill="F2F5F8"/>
          </w:tcPr>
          <w:p>
            <w:pPr>
              <w:spacing w:after="40" w:line="247" w:lineRule="auto"/>
            </w:pPr>
            <w:r>
              <w:rPr>
                <w:sz w:val="18"/>
              </w:rPr>
              <w:t>NOM-017-SSA2-2012</w:t>
              <w:br/>
            </w:r>
            <w:hyperlink r:id="rId3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Vigilancia epidemiológica</w:t>
            </w:r>
          </w:p>
        </w:tc>
        <w:tc>
          <w:tcPr>
            <w:tcW w:type="dxa" w:w="3355"/>
            <w:vAlign w:val="center"/>
            <w:tcMar>
              <w:top w:w="85" w:type="dxa"/>
              <w:bottom w:w="85" w:type="dxa"/>
              <w:left w:w="85" w:type="dxa"/>
              <w:right w:w="85" w:type="dxa"/>
            </w:tcMar>
            <w:shd w:fill="F2F5F8"/>
          </w:tcPr>
          <w:p>
            <w:pPr>
              <w:spacing w:after="40" w:line="247" w:lineRule="auto"/>
            </w:pPr>
            <w:r>
              <w:rPr>
                <w:sz w:val="18"/>
              </w:rPr>
              <w:t>Atención y notificación según evento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N23</w:t>
            </w:r>
          </w:p>
        </w:tc>
        <w:tc>
          <w:tcPr>
            <w:tcW w:type="dxa" w:w="2847"/>
            <w:vAlign w:val="center"/>
            <w:tcMar>
              <w:top w:w="85" w:type="dxa"/>
              <w:bottom w:w="85" w:type="dxa"/>
              <w:left w:w="85" w:type="dxa"/>
              <w:right w:w="85" w:type="dxa"/>
            </w:tcMar>
            <w:shd w:fill="FFFFFF"/>
          </w:tcPr>
          <w:p>
            <w:pPr>
              <w:spacing w:after="40" w:line="247" w:lineRule="auto"/>
            </w:pPr>
            <w:r>
              <w:rPr>
                <w:sz w:val="18"/>
              </w:rPr>
              <w:t>NOM-007-SSA3-2011</w:t>
              <w:br/>
            </w:r>
            <w:hyperlink r:id="rId3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Organización y operación de laboratorios clínicos</w:t>
            </w:r>
          </w:p>
        </w:tc>
        <w:tc>
          <w:tcPr>
            <w:tcW w:type="dxa" w:w="3355"/>
            <w:vAlign w:val="center"/>
            <w:tcMar>
              <w:top w:w="85" w:type="dxa"/>
              <w:bottom w:w="85" w:type="dxa"/>
              <w:left w:w="85" w:type="dxa"/>
              <w:right w:w="85" w:type="dxa"/>
            </w:tcMar>
            <w:shd w:fill="FFFFFF"/>
          </w:tcPr>
          <w:p>
            <w:pPr>
              <w:spacing w:after="40" w:line="247" w:lineRule="auto"/>
            </w:pPr>
            <w:r>
              <w:rPr>
                <w:sz w:val="18"/>
              </w:rPr>
              <w:t>Según pruebas y establecimiento real</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N24</w:t>
            </w:r>
          </w:p>
        </w:tc>
        <w:tc>
          <w:tcPr>
            <w:tcW w:type="dxa" w:w="2847"/>
            <w:vAlign w:val="center"/>
            <w:tcMar>
              <w:top w:w="85" w:type="dxa"/>
              <w:bottom w:w="85" w:type="dxa"/>
              <w:left w:w="85" w:type="dxa"/>
              <w:right w:w="85" w:type="dxa"/>
            </w:tcMar>
            <w:shd w:fill="F2F5F8"/>
          </w:tcPr>
          <w:p>
            <w:pPr>
              <w:spacing w:after="40" w:line="247" w:lineRule="auto"/>
            </w:pPr>
            <w:r>
              <w:rPr>
                <w:sz w:val="18"/>
              </w:rPr>
              <w:t>NOM-006-SSA3-2011</w:t>
              <w:br/>
            </w:r>
            <w:hyperlink r:id="rId3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Práctica de anestesiología</w:t>
            </w:r>
          </w:p>
        </w:tc>
        <w:tc>
          <w:tcPr>
            <w:tcW w:type="dxa" w:w="3355"/>
            <w:vAlign w:val="center"/>
            <w:tcMar>
              <w:top w:w="85" w:type="dxa"/>
              <w:bottom w:w="85" w:type="dxa"/>
              <w:left w:w="85" w:type="dxa"/>
              <w:right w:w="85" w:type="dxa"/>
            </w:tcMar>
            <w:shd w:fill="F2F5F8"/>
          </w:tcPr>
          <w:p>
            <w:pPr>
              <w:spacing w:after="40" w:line="247" w:lineRule="auto"/>
            </w:pPr>
            <w:r>
              <w:rPr>
                <w:sz w:val="18"/>
              </w:rPr>
              <w:t>Si se realizan actos de su campo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N25</w:t>
            </w:r>
          </w:p>
        </w:tc>
        <w:tc>
          <w:tcPr>
            <w:tcW w:type="dxa" w:w="2847"/>
            <w:vAlign w:val="center"/>
            <w:tcMar>
              <w:top w:w="85" w:type="dxa"/>
              <w:bottom w:w="85" w:type="dxa"/>
              <w:left w:w="85" w:type="dxa"/>
              <w:right w:w="85" w:type="dxa"/>
            </w:tcMar>
            <w:shd w:fill="FFFFFF"/>
          </w:tcPr>
          <w:p>
            <w:pPr>
              <w:spacing w:after="40" w:line="247" w:lineRule="auto"/>
            </w:pPr>
            <w:r>
              <w:rPr>
                <w:sz w:val="18"/>
              </w:rPr>
              <w:t>NOM-026-SSA3-2012</w:t>
              <w:br/>
            </w:r>
            <w:hyperlink r:id="rId3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Cirugía mayor ambulatoria</w:t>
            </w:r>
          </w:p>
        </w:tc>
        <w:tc>
          <w:tcPr>
            <w:tcW w:type="dxa" w:w="3355"/>
            <w:vAlign w:val="center"/>
            <w:tcMar>
              <w:top w:w="85" w:type="dxa"/>
              <w:bottom w:w="85" w:type="dxa"/>
              <w:left w:w="85" w:type="dxa"/>
              <w:right w:w="85" w:type="dxa"/>
            </w:tcMar>
            <w:shd w:fill="FFFFFF"/>
          </w:tcPr>
          <w:p>
            <w:pPr>
              <w:spacing w:after="40" w:line="247" w:lineRule="auto"/>
            </w:pPr>
            <w:r>
              <w:rPr>
                <w:sz w:val="18"/>
              </w:rPr>
              <w:t>Si se incorpora esa actividad</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N26</w:t>
            </w:r>
          </w:p>
        </w:tc>
        <w:tc>
          <w:tcPr>
            <w:tcW w:type="dxa" w:w="2847"/>
            <w:vAlign w:val="center"/>
            <w:tcMar>
              <w:top w:w="85" w:type="dxa"/>
              <w:bottom w:w="85" w:type="dxa"/>
              <w:left w:w="85" w:type="dxa"/>
              <w:right w:w="85" w:type="dxa"/>
            </w:tcMar>
            <w:shd w:fill="F2F5F8"/>
          </w:tcPr>
          <w:p>
            <w:pPr>
              <w:spacing w:after="40" w:line="247" w:lineRule="auto"/>
            </w:pPr>
            <w:r>
              <w:rPr>
                <w:sz w:val="18"/>
              </w:rPr>
              <w:t>NOM-012-SSA3-2012</w:t>
              <w:br/>
            </w:r>
            <w:hyperlink r:id="rId3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Investigación en salud con seres humanos</w:t>
            </w:r>
          </w:p>
        </w:tc>
        <w:tc>
          <w:tcPr>
            <w:tcW w:type="dxa" w:w="3355"/>
            <w:vAlign w:val="center"/>
            <w:tcMar>
              <w:top w:w="85" w:type="dxa"/>
              <w:bottom w:w="85" w:type="dxa"/>
              <w:left w:w="85" w:type="dxa"/>
              <w:right w:w="85" w:type="dxa"/>
            </w:tcMar>
            <w:shd w:fill="F2F5F8"/>
          </w:tcPr>
          <w:p>
            <w:pPr>
              <w:spacing w:after="40" w:line="247" w:lineRule="auto"/>
            </w:pPr>
            <w:r>
              <w:rPr>
                <w:sz w:val="18"/>
              </w:rPr>
              <w:t>Proyectos de investigación comprendidos</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N27</w:t>
            </w:r>
          </w:p>
        </w:tc>
        <w:tc>
          <w:tcPr>
            <w:tcW w:type="dxa" w:w="2847"/>
            <w:vAlign w:val="center"/>
            <w:tcMar>
              <w:top w:w="85" w:type="dxa"/>
              <w:bottom w:w="85" w:type="dxa"/>
              <w:left w:w="85" w:type="dxa"/>
              <w:right w:w="85" w:type="dxa"/>
            </w:tcMar>
            <w:shd w:fill="FFFFFF"/>
          </w:tcPr>
          <w:p>
            <w:pPr>
              <w:spacing w:after="40" w:line="247" w:lineRule="auto"/>
            </w:pPr>
            <w:r>
              <w:rPr>
                <w:sz w:val="18"/>
              </w:rPr>
              <w:t>NOM-240-SSA1-2012</w:t>
              <w:br/>
            </w:r>
            <w:hyperlink r:id="rId3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Tecnovigilancia</w:t>
            </w:r>
          </w:p>
        </w:tc>
        <w:tc>
          <w:tcPr>
            <w:tcW w:type="dxa" w:w="3355"/>
            <w:vAlign w:val="center"/>
            <w:tcMar>
              <w:top w:w="85" w:type="dxa"/>
              <w:bottom w:w="85" w:type="dxa"/>
              <w:left w:w="85" w:type="dxa"/>
              <w:right w:w="85" w:type="dxa"/>
            </w:tcMar>
            <w:shd w:fill="FFFFFF"/>
          </w:tcPr>
          <w:p>
            <w:pPr>
              <w:spacing w:after="40" w:line="247" w:lineRule="auto"/>
            </w:pPr>
            <w:r>
              <w:rPr>
                <w:sz w:val="18"/>
              </w:rPr>
              <w:t>Según funciones relacionadas con dispositivos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N28</w:t>
            </w:r>
          </w:p>
        </w:tc>
        <w:tc>
          <w:tcPr>
            <w:tcW w:type="dxa" w:w="2847"/>
            <w:vAlign w:val="center"/>
            <w:tcMar>
              <w:top w:w="85" w:type="dxa"/>
              <w:bottom w:w="85" w:type="dxa"/>
              <w:left w:w="85" w:type="dxa"/>
              <w:right w:w="85" w:type="dxa"/>
            </w:tcMar>
            <w:shd w:fill="F2F5F8"/>
          </w:tcPr>
          <w:p>
            <w:pPr>
              <w:spacing w:after="40" w:line="247" w:lineRule="auto"/>
            </w:pPr>
            <w:r>
              <w:rPr>
                <w:sz w:val="18"/>
              </w:rPr>
              <w:t>NOM-245-SSA1-2010</w:t>
              <w:br/>
            </w:r>
            <w:hyperlink r:id="rId3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Condiciones sanitarias y agua de albercas</w:t>
            </w:r>
          </w:p>
        </w:tc>
        <w:tc>
          <w:tcPr>
            <w:tcW w:type="dxa" w:w="3355"/>
            <w:vAlign w:val="center"/>
            <w:tcMar>
              <w:top w:w="85" w:type="dxa"/>
              <w:bottom w:w="85" w:type="dxa"/>
              <w:left w:w="85" w:type="dxa"/>
              <w:right w:w="85" w:type="dxa"/>
            </w:tcMar>
            <w:shd w:fill="F2F5F8"/>
          </w:tcPr>
          <w:p>
            <w:pPr>
              <w:spacing w:after="40" w:line="247" w:lineRule="auto"/>
            </w:pPr>
            <w:r>
              <w:rPr>
                <w:sz w:val="18"/>
              </w:rPr>
              <w:t>Cuando la instalación encuadra en su campo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N29</w:t>
            </w:r>
          </w:p>
        </w:tc>
        <w:tc>
          <w:tcPr>
            <w:tcW w:type="dxa" w:w="2847"/>
            <w:vAlign w:val="center"/>
            <w:tcMar>
              <w:top w:w="85" w:type="dxa"/>
              <w:bottom w:w="85" w:type="dxa"/>
              <w:left w:w="85" w:type="dxa"/>
              <w:right w:w="85" w:type="dxa"/>
            </w:tcMar>
            <w:shd w:fill="FFFFFF"/>
          </w:tcPr>
          <w:p>
            <w:pPr>
              <w:spacing w:after="40" w:line="247" w:lineRule="auto"/>
            </w:pPr>
            <w:r>
              <w:rPr>
                <w:sz w:val="18"/>
              </w:rPr>
              <w:t>NOM-251-SSA1-2009</w:t>
              <w:br/>
            </w:r>
            <w:hyperlink r:id="rId3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Higiene en procesos de alimentos y bebidas</w:t>
            </w:r>
          </w:p>
        </w:tc>
        <w:tc>
          <w:tcPr>
            <w:tcW w:type="dxa" w:w="3355"/>
            <w:vAlign w:val="center"/>
            <w:tcMar>
              <w:top w:w="85" w:type="dxa"/>
              <w:bottom w:w="85" w:type="dxa"/>
              <w:left w:w="85" w:type="dxa"/>
              <w:right w:w="85" w:type="dxa"/>
            </w:tcMar>
            <w:shd w:fill="FFFFFF"/>
          </w:tcPr>
          <w:p>
            <w:pPr>
              <w:spacing w:after="40" w:line="247" w:lineRule="auto"/>
            </w:pPr>
            <w:r>
              <w:rPr>
                <w:sz w:val="18"/>
              </w:rPr>
              <w:t>Preparación o proceso; no sólo consulta</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N30</w:t>
            </w:r>
          </w:p>
        </w:tc>
        <w:tc>
          <w:tcPr>
            <w:tcW w:type="dxa" w:w="2847"/>
            <w:vAlign w:val="center"/>
            <w:tcMar>
              <w:top w:w="85" w:type="dxa"/>
              <w:bottom w:w="85" w:type="dxa"/>
              <w:left w:w="85" w:type="dxa"/>
              <w:right w:w="85" w:type="dxa"/>
            </w:tcMar>
            <w:shd w:fill="F2F5F8"/>
          </w:tcPr>
          <w:p>
            <w:pPr>
              <w:spacing w:after="40" w:line="247" w:lineRule="auto"/>
            </w:pPr>
            <w:r>
              <w:rPr>
                <w:sz w:val="18"/>
              </w:rPr>
              <w:t>NOM-014-SSA3-2013</w:t>
              <w:br/>
            </w:r>
            <w:hyperlink r:id="rId4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Asistencia social alimentaria a grupos de riesgo</w:t>
            </w:r>
          </w:p>
        </w:tc>
        <w:tc>
          <w:tcPr>
            <w:tcW w:type="dxa" w:w="3355"/>
            <w:vAlign w:val="center"/>
            <w:tcMar>
              <w:top w:w="85" w:type="dxa"/>
              <w:bottom w:w="85" w:type="dxa"/>
              <w:left w:w="85" w:type="dxa"/>
              <w:right w:w="85" w:type="dxa"/>
            </w:tcMar>
            <w:shd w:fill="F2F5F8"/>
          </w:tcPr>
          <w:p>
            <w:pPr>
              <w:spacing w:after="40" w:line="247" w:lineRule="auto"/>
            </w:pPr>
            <w:r>
              <w:rPr>
                <w:sz w:val="18"/>
              </w:rPr>
              <w:t>Si existe esa modalidad de asistencia</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C19 Registro de NOM 31 a 40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N31</w:t>
            </w:r>
          </w:p>
        </w:tc>
        <w:tc>
          <w:tcPr>
            <w:tcW w:type="dxa" w:w="2847"/>
            <w:vAlign w:val="center"/>
            <w:tcMar>
              <w:top w:w="85" w:type="dxa"/>
              <w:bottom w:w="85" w:type="dxa"/>
              <w:left w:w="85" w:type="dxa"/>
              <w:right w:w="85" w:type="dxa"/>
            </w:tcMar>
            <w:shd w:fill="FFFFFF"/>
          </w:tcPr>
          <w:p>
            <w:pPr>
              <w:spacing w:after="40" w:line="247" w:lineRule="auto"/>
            </w:pPr>
            <w:r>
              <w:rPr>
                <w:sz w:val="18"/>
              </w:rPr>
              <w:t>NOM-035-SSA3-2012</w:t>
              <w:br/>
            </w:r>
            <w:hyperlink r:id="rId4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Información en salud</w:t>
            </w:r>
          </w:p>
        </w:tc>
        <w:tc>
          <w:tcPr>
            <w:tcW w:type="dxa" w:w="3355"/>
            <w:vAlign w:val="center"/>
            <w:tcMar>
              <w:top w:w="85" w:type="dxa"/>
              <w:bottom w:w="85" w:type="dxa"/>
              <w:left w:w="85" w:type="dxa"/>
              <w:right w:w="85" w:type="dxa"/>
            </w:tcMar>
            <w:shd w:fill="FFFFFF"/>
          </w:tcPr>
          <w:p>
            <w:pPr>
              <w:spacing w:after="40" w:line="247" w:lineRule="auto"/>
            </w:pPr>
            <w:r>
              <w:rPr>
                <w:sz w:val="18"/>
              </w:rPr>
              <w:t>Obligaciones del prestador y reportes aplicables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N32</w:t>
            </w:r>
          </w:p>
        </w:tc>
        <w:tc>
          <w:tcPr>
            <w:tcW w:type="dxa" w:w="2847"/>
            <w:vAlign w:val="center"/>
            <w:tcMar>
              <w:top w:w="85" w:type="dxa"/>
              <w:bottom w:w="85" w:type="dxa"/>
              <w:left w:w="85" w:type="dxa"/>
              <w:right w:w="85" w:type="dxa"/>
            </w:tcMar>
            <w:shd w:fill="F2F5F8"/>
          </w:tcPr>
          <w:p>
            <w:pPr>
              <w:spacing w:after="40" w:line="247" w:lineRule="auto"/>
            </w:pPr>
            <w:r>
              <w:rPr>
                <w:sz w:val="18"/>
              </w:rPr>
              <w:t>NOM-052-SEMARNAT-2005</w:t>
              <w:br/>
            </w:r>
            <w:hyperlink r:id="rId4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Identificación y clasificación de residuos peligrosos</w:t>
            </w:r>
          </w:p>
        </w:tc>
        <w:tc>
          <w:tcPr>
            <w:tcW w:type="dxa" w:w="3355"/>
            <w:vAlign w:val="center"/>
            <w:tcMar>
              <w:top w:w="85" w:type="dxa"/>
              <w:bottom w:w="85" w:type="dxa"/>
              <w:left w:w="85" w:type="dxa"/>
              <w:right w:w="85" w:type="dxa"/>
            </w:tcMar>
            <w:shd w:fill="F2F5F8"/>
          </w:tcPr>
          <w:p>
            <w:pPr>
              <w:spacing w:after="40" w:line="247" w:lineRule="auto"/>
            </w:pPr>
            <w:r>
              <w:rPr>
                <w:sz w:val="18"/>
              </w:rPr>
              <w:t>Residuos químicos y otros peligrosos</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N33</w:t>
            </w:r>
          </w:p>
        </w:tc>
        <w:tc>
          <w:tcPr>
            <w:tcW w:type="dxa" w:w="2847"/>
            <w:vAlign w:val="center"/>
            <w:tcMar>
              <w:top w:w="85" w:type="dxa"/>
              <w:bottom w:w="85" w:type="dxa"/>
              <w:left w:w="85" w:type="dxa"/>
              <w:right w:w="85" w:type="dxa"/>
            </w:tcMar>
            <w:shd w:fill="FFFFFF"/>
          </w:tcPr>
          <w:p>
            <w:pPr>
              <w:spacing w:after="40" w:line="247" w:lineRule="auto"/>
            </w:pPr>
            <w:r>
              <w:rPr>
                <w:sz w:val="18"/>
              </w:rPr>
              <w:t>NOM-009-SSA2-2013</w:t>
              <w:br/>
            </w:r>
            <w:hyperlink r:id="rId4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Promoción de salud escolar</w:t>
            </w:r>
          </w:p>
        </w:tc>
        <w:tc>
          <w:tcPr>
            <w:tcW w:type="dxa" w:w="3355"/>
            <w:vAlign w:val="center"/>
            <w:tcMar>
              <w:top w:w="85" w:type="dxa"/>
              <w:bottom w:w="85" w:type="dxa"/>
              <w:left w:w="85" w:type="dxa"/>
              <w:right w:w="85" w:type="dxa"/>
            </w:tcMar>
            <w:shd w:fill="FFFFFF"/>
          </w:tcPr>
          <w:p>
            <w:pPr>
              <w:spacing w:after="40" w:line="247" w:lineRule="auto"/>
            </w:pPr>
            <w:r>
              <w:rPr>
                <w:sz w:val="18"/>
              </w:rPr>
              <w:t>Intervenciones escolares de su ámbito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N34</w:t>
            </w:r>
          </w:p>
        </w:tc>
        <w:tc>
          <w:tcPr>
            <w:tcW w:type="dxa" w:w="2847"/>
            <w:vAlign w:val="center"/>
            <w:tcMar>
              <w:top w:w="85" w:type="dxa"/>
              <w:bottom w:w="85" w:type="dxa"/>
              <w:left w:w="85" w:type="dxa"/>
              <w:right w:w="85" w:type="dxa"/>
            </w:tcMar>
            <w:shd w:fill="F2F5F8"/>
          </w:tcPr>
          <w:p>
            <w:pPr>
              <w:spacing w:after="40" w:line="247" w:lineRule="auto"/>
            </w:pPr>
            <w:r>
              <w:rPr>
                <w:sz w:val="18"/>
              </w:rPr>
              <w:t>NOM-010-SSA-2023</w:t>
              <w:br/>
            </w:r>
            <w:hyperlink r:id="rId4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Prevención y control de infección por VIH</w:t>
            </w:r>
          </w:p>
        </w:tc>
        <w:tc>
          <w:tcPr>
            <w:tcW w:type="dxa" w:w="3355"/>
            <w:vAlign w:val="center"/>
            <w:tcMar>
              <w:top w:w="85" w:type="dxa"/>
              <w:bottom w:w="85" w:type="dxa"/>
              <w:left w:w="85" w:type="dxa"/>
              <w:right w:w="85" w:type="dxa"/>
            </w:tcMar>
            <w:shd w:fill="F2F5F8"/>
          </w:tcPr>
          <w:p>
            <w:pPr>
              <w:spacing w:after="40" w:line="247" w:lineRule="auto"/>
            </w:pPr>
            <w:r>
              <w:rPr>
                <w:sz w:val="18"/>
              </w:rPr>
              <w:t>Según prevención, pruebas y atención</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N35</w:t>
            </w:r>
          </w:p>
        </w:tc>
        <w:tc>
          <w:tcPr>
            <w:tcW w:type="dxa" w:w="2847"/>
            <w:vAlign w:val="center"/>
            <w:tcMar>
              <w:top w:w="85" w:type="dxa"/>
              <w:bottom w:w="85" w:type="dxa"/>
              <w:left w:w="85" w:type="dxa"/>
              <w:right w:w="85" w:type="dxa"/>
            </w:tcMar>
            <w:shd w:fill="FFFFFF"/>
          </w:tcPr>
          <w:p>
            <w:pPr>
              <w:spacing w:after="40" w:line="247" w:lineRule="auto"/>
            </w:pPr>
            <w:r>
              <w:rPr>
                <w:sz w:val="18"/>
              </w:rPr>
              <w:t>NOM-007-SSA2-2016</w:t>
              <w:br/>
            </w:r>
            <w:hyperlink r:id="rId4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Atención en embarazo parto puerperio y recién nacido</w:t>
            </w:r>
          </w:p>
        </w:tc>
        <w:tc>
          <w:tcPr>
            <w:tcW w:type="dxa" w:w="3355"/>
            <w:vAlign w:val="center"/>
            <w:tcMar>
              <w:top w:w="85" w:type="dxa"/>
              <w:bottom w:w="85" w:type="dxa"/>
              <w:left w:w="85" w:type="dxa"/>
              <w:right w:w="85" w:type="dxa"/>
            </w:tcMar>
            <w:shd w:fill="FFFFFF"/>
          </w:tcPr>
          <w:p>
            <w:pPr>
              <w:spacing w:after="40" w:line="247" w:lineRule="auto"/>
            </w:pPr>
            <w:r>
              <w:rPr>
                <w:sz w:val="18"/>
              </w:rPr>
              <w:t>Sólo actos comprendidos que realmente se ofrecen</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N36</w:t>
            </w:r>
          </w:p>
        </w:tc>
        <w:tc>
          <w:tcPr>
            <w:tcW w:type="dxa" w:w="2847"/>
            <w:vAlign w:val="center"/>
            <w:tcMar>
              <w:top w:w="85" w:type="dxa"/>
              <w:bottom w:w="85" w:type="dxa"/>
              <w:left w:w="85" w:type="dxa"/>
              <w:right w:w="85" w:type="dxa"/>
            </w:tcMar>
            <w:shd w:fill="F2F5F8"/>
          </w:tcPr>
          <w:p>
            <w:pPr>
              <w:spacing w:after="40" w:line="247" w:lineRule="auto"/>
            </w:pPr>
            <w:r>
              <w:rPr>
                <w:sz w:val="18"/>
              </w:rPr>
              <w:t>NOM-009-SSA3-2013</w:t>
              <w:br/>
            </w:r>
            <w:hyperlink r:id="rId4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Campos clínicos de servicio social de medicina y estomatología</w:t>
            </w:r>
          </w:p>
        </w:tc>
        <w:tc>
          <w:tcPr>
            <w:tcW w:type="dxa" w:w="3355"/>
            <w:vAlign w:val="center"/>
            <w:tcMar>
              <w:top w:w="85" w:type="dxa"/>
              <w:bottom w:w="85" w:type="dxa"/>
              <w:left w:w="85" w:type="dxa"/>
              <w:right w:w="85" w:type="dxa"/>
            </w:tcMar>
            <w:shd w:fill="F2F5F8"/>
          </w:tcPr>
          <w:p>
            <w:pPr>
              <w:spacing w:after="40" w:line="247" w:lineRule="auto"/>
            </w:pPr>
            <w:r>
              <w:rPr>
                <w:sz w:val="18"/>
              </w:rPr>
              <w:t>No generalizar a todas las carreras</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N37</w:t>
            </w:r>
          </w:p>
        </w:tc>
        <w:tc>
          <w:tcPr>
            <w:tcW w:type="dxa" w:w="2847"/>
            <w:vAlign w:val="center"/>
            <w:tcMar>
              <w:top w:w="85" w:type="dxa"/>
              <w:bottom w:w="85" w:type="dxa"/>
              <w:left w:w="85" w:type="dxa"/>
              <w:right w:w="85" w:type="dxa"/>
            </w:tcMar>
            <w:shd w:fill="FFFFFF"/>
          </w:tcPr>
          <w:p>
            <w:pPr>
              <w:spacing w:after="40" w:line="247" w:lineRule="auto"/>
            </w:pPr>
            <w:r>
              <w:rPr>
                <w:sz w:val="18"/>
              </w:rPr>
              <w:t>NOM-001-STPS-2008</w:t>
              <w:br/>
            </w:r>
            <w:hyperlink r:id="rId4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Seguridad de edificios y áreas de trabajo</w:t>
            </w:r>
          </w:p>
        </w:tc>
        <w:tc>
          <w:tcPr>
            <w:tcW w:type="dxa" w:w="3355"/>
            <w:vAlign w:val="center"/>
            <w:tcMar>
              <w:top w:w="85" w:type="dxa"/>
              <w:bottom w:w="85" w:type="dxa"/>
              <w:left w:w="85" w:type="dxa"/>
              <w:right w:w="85" w:type="dxa"/>
            </w:tcMar>
            <w:shd w:fill="FFFFFF"/>
          </w:tcPr>
          <w:p>
            <w:pPr>
              <w:spacing w:after="40" w:line="247" w:lineRule="auto"/>
            </w:pPr>
            <w:r>
              <w:rPr>
                <w:sz w:val="18"/>
              </w:rPr>
              <w:t>Centro de trabajo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N38</w:t>
            </w:r>
          </w:p>
        </w:tc>
        <w:tc>
          <w:tcPr>
            <w:tcW w:type="dxa" w:w="2847"/>
            <w:vAlign w:val="center"/>
            <w:tcMar>
              <w:top w:w="85" w:type="dxa"/>
              <w:bottom w:w="85" w:type="dxa"/>
              <w:left w:w="85" w:type="dxa"/>
              <w:right w:w="85" w:type="dxa"/>
            </w:tcMar>
            <w:shd w:fill="F2F5F8"/>
          </w:tcPr>
          <w:p>
            <w:pPr>
              <w:spacing w:after="40" w:line="247" w:lineRule="auto"/>
            </w:pPr>
            <w:r>
              <w:rPr>
                <w:sz w:val="18"/>
              </w:rPr>
              <w:t>NOM-002-STPS-2010</w:t>
              <w:br/>
            </w:r>
            <w:hyperlink r:id="rId4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Prevención y protección contra incendios</w:t>
            </w:r>
          </w:p>
        </w:tc>
        <w:tc>
          <w:tcPr>
            <w:tcW w:type="dxa" w:w="3355"/>
            <w:vAlign w:val="center"/>
            <w:tcMar>
              <w:top w:w="85" w:type="dxa"/>
              <w:bottom w:w="85" w:type="dxa"/>
              <w:left w:w="85" w:type="dxa"/>
              <w:right w:w="85" w:type="dxa"/>
            </w:tcMar>
            <w:shd w:fill="F2F5F8"/>
          </w:tcPr>
          <w:p>
            <w:pPr>
              <w:spacing w:after="40" w:line="247" w:lineRule="auto"/>
            </w:pPr>
            <w:r>
              <w:rPr>
                <w:sz w:val="18"/>
              </w:rPr>
              <w:t>Centro de trabajo según riesgo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N39</w:t>
            </w:r>
          </w:p>
        </w:tc>
        <w:tc>
          <w:tcPr>
            <w:tcW w:type="dxa" w:w="2847"/>
            <w:vAlign w:val="center"/>
            <w:tcMar>
              <w:top w:w="85" w:type="dxa"/>
              <w:bottom w:w="85" w:type="dxa"/>
              <w:left w:w="85" w:type="dxa"/>
              <w:right w:w="85" w:type="dxa"/>
            </w:tcMar>
            <w:shd w:fill="FFFFFF"/>
          </w:tcPr>
          <w:p>
            <w:pPr>
              <w:spacing w:after="40" w:line="247" w:lineRule="auto"/>
            </w:pPr>
            <w:r>
              <w:rPr>
                <w:sz w:val="18"/>
              </w:rPr>
              <w:t>NOM-019-STPS-2011</w:t>
              <w:br/>
            </w:r>
            <w:hyperlink r:id="rId4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Comisiones de seguridad e higiene</w:t>
            </w:r>
          </w:p>
        </w:tc>
        <w:tc>
          <w:tcPr>
            <w:tcW w:type="dxa" w:w="3355"/>
            <w:vAlign w:val="center"/>
            <w:tcMar>
              <w:top w:w="85" w:type="dxa"/>
              <w:bottom w:w="85" w:type="dxa"/>
              <w:left w:w="85" w:type="dxa"/>
              <w:right w:w="85" w:type="dxa"/>
            </w:tcMar>
            <w:shd w:fill="FFFFFF"/>
          </w:tcPr>
          <w:p>
            <w:pPr>
              <w:spacing w:after="40" w:line="247" w:lineRule="auto"/>
            </w:pPr>
            <w:r>
              <w:rPr>
                <w:sz w:val="18"/>
              </w:rPr>
              <w:t>Centro de trabajo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N40</w:t>
            </w:r>
          </w:p>
        </w:tc>
        <w:tc>
          <w:tcPr>
            <w:tcW w:type="dxa" w:w="2847"/>
            <w:vAlign w:val="center"/>
            <w:tcMar>
              <w:top w:w="85" w:type="dxa"/>
              <w:bottom w:w="85" w:type="dxa"/>
              <w:left w:w="85" w:type="dxa"/>
              <w:right w:w="85" w:type="dxa"/>
            </w:tcMar>
            <w:shd w:fill="F2F5F8"/>
          </w:tcPr>
          <w:p>
            <w:pPr>
              <w:spacing w:after="40" w:line="247" w:lineRule="auto"/>
            </w:pPr>
            <w:r>
              <w:rPr>
                <w:sz w:val="18"/>
              </w:rPr>
              <w:t>NOM-030-STPS-2009</w:t>
              <w:br/>
            </w:r>
            <w:hyperlink r:id="rId5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Servicios preventivos de seguridad y salud laboral</w:t>
            </w:r>
          </w:p>
        </w:tc>
        <w:tc>
          <w:tcPr>
            <w:tcW w:type="dxa" w:w="3355"/>
            <w:vAlign w:val="center"/>
            <w:tcMar>
              <w:top w:w="85" w:type="dxa"/>
              <w:bottom w:w="85" w:type="dxa"/>
              <w:left w:w="85" w:type="dxa"/>
              <w:right w:w="85" w:type="dxa"/>
            </w:tcMar>
            <w:shd w:fill="F2F5F8"/>
          </w:tcPr>
          <w:p>
            <w:pPr>
              <w:spacing w:after="40" w:line="247" w:lineRule="auto"/>
            </w:pPr>
            <w:r>
              <w:rPr>
                <w:sz w:val="18"/>
              </w:rPr>
              <w:t>Centro de trabajo y servicio contratado</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C19 Registro de NOM 41 a 50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N41</w:t>
            </w:r>
          </w:p>
        </w:tc>
        <w:tc>
          <w:tcPr>
            <w:tcW w:type="dxa" w:w="2847"/>
            <w:vAlign w:val="center"/>
            <w:tcMar>
              <w:top w:w="85" w:type="dxa"/>
              <w:bottom w:w="85" w:type="dxa"/>
              <w:left w:w="85" w:type="dxa"/>
              <w:right w:w="85" w:type="dxa"/>
            </w:tcMar>
            <w:shd w:fill="FFFFFF"/>
          </w:tcPr>
          <w:p>
            <w:pPr>
              <w:spacing w:after="40" w:line="247" w:lineRule="auto"/>
            </w:pPr>
            <w:r>
              <w:rPr>
                <w:sz w:val="18"/>
              </w:rPr>
              <w:t>NOM-035-STPS-2018</w:t>
              <w:br/>
            </w:r>
            <w:hyperlink r:id="rId5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Prevención de factores psicosociales laborales</w:t>
            </w:r>
          </w:p>
        </w:tc>
        <w:tc>
          <w:tcPr>
            <w:tcW w:type="dxa" w:w="3355"/>
            <w:vAlign w:val="center"/>
            <w:tcMar>
              <w:top w:w="85" w:type="dxa"/>
              <w:bottom w:w="85" w:type="dxa"/>
              <w:left w:w="85" w:type="dxa"/>
              <w:right w:w="85" w:type="dxa"/>
            </w:tcMar>
            <w:shd w:fill="FFFFFF"/>
          </w:tcPr>
          <w:p>
            <w:pPr>
              <w:spacing w:after="40" w:line="247" w:lineRule="auto"/>
            </w:pPr>
            <w:r>
              <w:rPr>
                <w:sz w:val="18"/>
              </w:rPr>
              <w:t>Según tamaño del centro de trabajo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N42</w:t>
            </w:r>
          </w:p>
        </w:tc>
        <w:tc>
          <w:tcPr>
            <w:tcW w:type="dxa" w:w="2847"/>
            <w:vAlign w:val="center"/>
            <w:tcMar>
              <w:top w:w="85" w:type="dxa"/>
              <w:bottom w:w="85" w:type="dxa"/>
              <w:left w:w="85" w:type="dxa"/>
              <w:right w:w="85" w:type="dxa"/>
            </w:tcMar>
            <w:shd w:fill="F2F5F8"/>
          </w:tcPr>
          <w:p>
            <w:pPr>
              <w:spacing w:after="40" w:line="247" w:lineRule="auto"/>
            </w:pPr>
            <w:r>
              <w:rPr>
                <w:sz w:val="18"/>
              </w:rPr>
              <w:t>NOM-017-STPS-2024</w:t>
              <w:br/>
            </w:r>
            <w:hyperlink r:id="rId5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Selección uso y manejo del EPP</w:t>
            </w:r>
          </w:p>
        </w:tc>
        <w:tc>
          <w:tcPr>
            <w:tcW w:type="dxa" w:w="3355"/>
            <w:vAlign w:val="center"/>
            <w:tcMar>
              <w:top w:w="85" w:type="dxa"/>
              <w:bottom w:w="85" w:type="dxa"/>
              <w:left w:w="85" w:type="dxa"/>
              <w:right w:w="85" w:type="dxa"/>
            </w:tcMar>
            <w:shd w:fill="F2F5F8"/>
          </w:tcPr>
          <w:p>
            <w:pPr>
              <w:spacing w:after="40" w:line="247" w:lineRule="auto"/>
            </w:pPr>
            <w:r>
              <w:rPr>
                <w:sz w:val="18"/>
              </w:rPr>
              <w:t>Según riesgos; sustituye versión 2008</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N43</w:t>
            </w:r>
          </w:p>
        </w:tc>
        <w:tc>
          <w:tcPr>
            <w:tcW w:type="dxa" w:w="2847"/>
            <w:vAlign w:val="center"/>
            <w:tcMar>
              <w:top w:w="85" w:type="dxa"/>
              <w:bottom w:w="85" w:type="dxa"/>
              <w:left w:w="85" w:type="dxa"/>
              <w:right w:w="85" w:type="dxa"/>
            </w:tcMar>
            <w:shd w:fill="FFFFFF"/>
          </w:tcPr>
          <w:p>
            <w:pPr>
              <w:spacing w:after="40" w:line="247" w:lineRule="auto"/>
            </w:pPr>
            <w:r>
              <w:rPr>
                <w:sz w:val="18"/>
              </w:rPr>
              <w:t>NOM-012-STPS-2012</w:t>
              <w:br/>
            </w:r>
            <w:hyperlink r:id="rId5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Seguridad ante radiación ionizante</w:t>
            </w:r>
          </w:p>
        </w:tc>
        <w:tc>
          <w:tcPr>
            <w:tcW w:type="dxa" w:w="3355"/>
            <w:vAlign w:val="center"/>
            <w:tcMar>
              <w:top w:w="85" w:type="dxa"/>
              <w:bottom w:w="85" w:type="dxa"/>
              <w:left w:w="85" w:type="dxa"/>
              <w:right w:w="85" w:type="dxa"/>
            </w:tcMar>
            <w:shd w:fill="FFFFFF"/>
          </w:tcPr>
          <w:p>
            <w:pPr>
              <w:spacing w:after="40" w:line="247" w:lineRule="auto"/>
            </w:pPr>
            <w:r>
              <w:rPr>
                <w:sz w:val="18"/>
              </w:rPr>
              <w:t>Cuando se manejan fuentes comprendidas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N44</w:t>
            </w:r>
          </w:p>
        </w:tc>
        <w:tc>
          <w:tcPr>
            <w:tcW w:type="dxa" w:w="2847"/>
            <w:vAlign w:val="center"/>
            <w:tcMar>
              <w:top w:w="85" w:type="dxa"/>
              <w:bottom w:w="85" w:type="dxa"/>
              <w:left w:w="85" w:type="dxa"/>
              <w:right w:w="85" w:type="dxa"/>
            </w:tcMar>
            <w:shd w:fill="F2F5F8"/>
          </w:tcPr>
          <w:p>
            <w:pPr>
              <w:spacing w:after="40" w:line="247" w:lineRule="auto"/>
            </w:pPr>
            <w:r>
              <w:rPr>
                <w:sz w:val="18"/>
              </w:rPr>
              <w:t>NOM-013-STPS-1993</w:t>
              <w:br/>
            </w:r>
            <w:hyperlink r:id="rId5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Seguridad ante radiación no ionizante</w:t>
            </w:r>
          </w:p>
        </w:tc>
        <w:tc>
          <w:tcPr>
            <w:tcW w:type="dxa" w:w="3355"/>
            <w:vAlign w:val="center"/>
            <w:tcMar>
              <w:top w:w="85" w:type="dxa"/>
              <w:bottom w:w="85" w:type="dxa"/>
              <w:left w:w="85" w:type="dxa"/>
              <w:right w:w="85" w:type="dxa"/>
            </w:tcMar>
            <w:shd w:fill="F2F5F8"/>
          </w:tcPr>
          <w:p>
            <w:pPr>
              <w:spacing w:after="40" w:line="247" w:lineRule="auto"/>
            </w:pPr>
            <w:r>
              <w:rPr>
                <w:sz w:val="18"/>
              </w:rPr>
              <w:t>Según fuentes y exposición</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N45</w:t>
            </w:r>
          </w:p>
        </w:tc>
        <w:tc>
          <w:tcPr>
            <w:tcW w:type="dxa" w:w="2847"/>
            <w:vAlign w:val="center"/>
            <w:tcMar>
              <w:top w:w="85" w:type="dxa"/>
              <w:bottom w:w="85" w:type="dxa"/>
              <w:left w:w="85" w:type="dxa"/>
              <w:right w:w="85" w:type="dxa"/>
            </w:tcMar>
            <w:shd w:fill="FFFFFF"/>
          </w:tcPr>
          <w:p>
            <w:pPr>
              <w:spacing w:after="40" w:line="247" w:lineRule="auto"/>
            </w:pPr>
            <w:r>
              <w:rPr>
                <w:sz w:val="18"/>
              </w:rPr>
              <w:t>NOM-018-STPS-2015</w:t>
              <w:br/>
            </w:r>
            <w:hyperlink r:id="rId5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Comunicación de peligros de sustancias químicas</w:t>
            </w:r>
          </w:p>
        </w:tc>
        <w:tc>
          <w:tcPr>
            <w:tcW w:type="dxa" w:w="3355"/>
            <w:vAlign w:val="center"/>
            <w:tcMar>
              <w:top w:w="85" w:type="dxa"/>
              <w:bottom w:w="85" w:type="dxa"/>
              <w:left w:w="85" w:type="dxa"/>
              <w:right w:w="85" w:type="dxa"/>
            </w:tcMar>
            <w:shd w:fill="FFFFFF"/>
          </w:tcPr>
          <w:p>
            <w:pPr>
              <w:spacing w:after="40" w:line="247" w:lineRule="auto"/>
            </w:pPr>
            <w:r>
              <w:rPr>
                <w:sz w:val="18"/>
              </w:rPr>
              <w:t>Sustancias comprendidas en su campo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N46</w:t>
            </w:r>
          </w:p>
        </w:tc>
        <w:tc>
          <w:tcPr>
            <w:tcW w:type="dxa" w:w="2847"/>
            <w:vAlign w:val="center"/>
            <w:tcMar>
              <w:top w:w="85" w:type="dxa"/>
              <w:bottom w:w="85" w:type="dxa"/>
              <w:left w:w="85" w:type="dxa"/>
              <w:right w:w="85" w:type="dxa"/>
            </w:tcMar>
            <w:shd w:fill="F2F5F8"/>
          </w:tcPr>
          <w:p>
            <w:pPr>
              <w:spacing w:after="40" w:line="247" w:lineRule="auto"/>
            </w:pPr>
            <w:r>
              <w:rPr>
                <w:sz w:val="18"/>
              </w:rPr>
              <w:t>NOM-020-STPS-2011</w:t>
              <w:br/>
            </w:r>
            <w:hyperlink r:id="rId5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Seguridad de recipientes a presión y generadores de vapor</w:t>
            </w:r>
          </w:p>
        </w:tc>
        <w:tc>
          <w:tcPr>
            <w:tcW w:type="dxa" w:w="3355"/>
            <w:vAlign w:val="center"/>
            <w:tcMar>
              <w:top w:w="85" w:type="dxa"/>
              <w:bottom w:w="85" w:type="dxa"/>
              <w:left w:w="85" w:type="dxa"/>
              <w:right w:w="85" w:type="dxa"/>
            </w:tcMar>
            <w:shd w:fill="F2F5F8"/>
          </w:tcPr>
          <w:p>
            <w:pPr>
              <w:spacing w:after="40" w:line="247" w:lineRule="auto"/>
            </w:pPr>
            <w:r>
              <w:rPr>
                <w:sz w:val="18"/>
              </w:rPr>
              <w:t>Clasificar equipo y revisar exclusiones</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N47</w:t>
            </w:r>
          </w:p>
        </w:tc>
        <w:tc>
          <w:tcPr>
            <w:tcW w:type="dxa" w:w="2847"/>
            <w:vAlign w:val="center"/>
            <w:tcMar>
              <w:top w:w="85" w:type="dxa"/>
              <w:bottom w:w="85" w:type="dxa"/>
              <w:left w:w="85" w:type="dxa"/>
              <w:right w:w="85" w:type="dxa"/>
            </w:tcMar>
            <w:shd w:fill="FFFFFF"/>
          </w:tcPr>
          <w:p>
            <w:pPr>
              <w:spacing w:after="40" w:line="247" w:lineRule="auto"/>
            </w:pPr>
            <w:r>
              <w:rPr>
                <w:sz w:val="18"/>
              </w:rPr>
              <w:t>NOM-025-STPS-2008</w:t>
              <w:br/>
            </w:r>
            <w:hyperlink r:id="rId5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Iluminación en centros de trabajo</w:t>
            </w:r>
          </w:p>
        </w:tc>
        <w:tc>
          <w:tcPr>
            <w:tcW w:type="dxa" w:w="3355"/>
            <w:vAlign w:val="center"/>
            <w:tcMar>
              <w:top w:w="85" w:type="dxa"/>
              <w:bottom w:w="85" w:type="dxa"/>
              <w:left w:w="85" w:type="dxa"/>
              <w:right w:w="85" w:type="dxa"/>
            </w:tcMar>
            <w:shd w:fill="FFFFFF"/>
          </w:tcPr>
          <w:p>
            <w:pPr>
              <w:spacing w:after="40" w:line="247" w:lineRule="auto"/>
            </w:pPr>
            <w:r>
              <w:rPr>
                <w:sz w:val="18"/>
              </w:rPr>
              <w:t>Áreas y tareas del centro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N48</w:t>
            </w:r>
          </w:p>
        </w:tc>
        <w:tc>
          <w:tcPr>
            <w:tcW w:type="dxa" w:w="2847"/>
            <w:vAlign w:val="center"/>
            <w:tcMar>
              <w:top w:w="85" w:type="dxa"/>
              <w:bottom w:w="85" w:type="dxa"/>
              <w:left w:w="85" w:type="dxa"/>
              <w:right w:w="85" w:type="dxa"/>
            </w:tcMar>
            <w:shd w:fill="F2F5F8"/>
          </w:tcPr>
          <w:p>
            <w:pPr>
              <w:spacing w:after="40" w:line="247" w:lineRule="auto"/>
            </w:pPr>
            <w:r>
              <w:rPr>
                <w:sz w:val="18"/>
              </w:rPr>
              <w:t>NOM-026-STPS-2008</w:t>
              <w:br/>
            </w:r>
            <w:hyperlink r:id="rId5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Señales colores e identificación de tuberías</w:t>
            </w:r>
          </w:p>
        </w:tc>
        <w:tc>
          <w:tcPr>
            <w:tcW w:type="dxa" w:w="3355"/>
            <w:vAlign w:val="center"/>
            <w:tcMar>
              <w:top w:w="85" w:type="dxa"/>
              <w:bottom w:w="85" w:type="dxa"/>
              <w:left w:w="85" w:type="dxa"/>
              <w:right w:w="85" w:type="dxa"/>
            </w:tcMar>
            <w:shd w:fill="F2F5F8"/>
          </w:tcPr>
          <w:p>
            <w:pPr>
              <w:spacing w:after="40" w:line="247" w:lineRule="auto"/>
            </w:pPr>
            <w:r>
              <w:rPr>
                <w:sz w:val="18"/>
              </w:rPr>
              <w:t>Instalaciones del centro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N49</w:t>
            </w:r>
          </w:p>
        </w:tc>
        <w:tc>
          <w:tcPr>
            <w:tcW w:type="dxa" w:w="2847"/>
            <w:vAlign w:val="center"/>
            <w:tcMar>
              <w:top w:w="85" w:type="dxa"/>
              <w:bottom w:w="85" w:type="dxa"/>
              <w:left w:w="85" w:type="dxa"/>
              <w:right w:w="85" w:type="dxa"/>
            </w:tcMar>
            <w:shd w:fill="FFFFFF"/>
          </w:tcPr>
          <w:p>
            <w:pPr>
              <w:spacing w:after="40" w:line="247" w:lineRule="auto"/>
            </w:pPr>
            <w:r>
              <w:rPr>
                <w:sz w:val="18"/>
              </w:rPr>
              <w:t>NOM-029-STPS-2011</w:t>
              <w:br/>
            </w:r>
            <w:hyperlink r:id="rId5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Seguridad en mantenimiento eléctrico</w:t>
            </w:r>
          </w:p>
        </w:tc>
        <w:tc>
          <w:tcPr>
            <w:tcW w:type="dxa" w:w="3355"/>
            <w:vAlign w:val="center"/>
            <w:tcMar>
              <w:top w:w="85" w:type="dxa"/>
              <w:bottom w:w="85" w:type="dxa"/>
              <w:left w:w="85" w:type="dxa"/>
              <w:right w:w="85" w:type="dxa"/>
            </w:tcMar>
            <w:shd w:fill="FFFFFF"/>
          </w:tcPr>
          <w:p>
            <w:pPr>
              <w:spacing w:after="40" w:line="247" w:lineRule="auto"/>
            </w:pPr>
            <w:r>
              <w:rPr>
                <w:sz w:val="18"/>
              </w:rPr>
              <w:t>Trabajos eléctricos propios o contratados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N50</w:t>
            </w:r>
          </w:p>
        </w:tc>
        <w:tc>
          <w:tcPr>
            <w:tcW w:type="dxa" w:w="2847"/>
            <w:vAlign w:val="center"/>
            <w:tcMar>
              <w:top w:w="85" w:type="dxa"/>
              <w:bottom w:w="85" w:type="dxa"/>
              <w:left w:w="85" w:type="dxa"/>
              <w:right w:w="85" w:type="dxa"/>
            </w:tcMar>
            <w:shd w:fill="F2F5F8"/>
          </w:tcPr>
          <w:p>
            <w:pPr>
              <w:spacing w:after="40" w:line="247" w:lineRule="auto"/>
            </w:pPr>
            <w:r>
              <w:rPr>
                <w:sz w:val="18"/>
              </w:rPr>
              <w:t>NOM-003-SSPC-2011</w:t>
              <w:br/>
            </w:r>
            <w:hyperlink r:id="rId6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Señales de protección civil</w:t>
            </w:r>
          </w:p>
        </w:tc>
        <w:tc>
          <w:tcPr>
            <w:tcW w:type="dxa" w:w="3355"/>
            <w:vAlign w:val="center"/>
            <w:tcMar>
              <w:top w:w="85" w:type="dxa"/>
              <w:bottom w:w="85" w:type="dxa"/>
              <w:left w:w="85" w:type="dxa"/>
              <w:right w:w="85" w:type="dxa"/>
            </w:tcMar>
            <w:shd w:fill="F2F5F8"/>
          </w:tcPr>
          <w:p>
            <w:pPr>
              <w:spacing w:after="40" w:line="247" w:lineRule="auto"/>
            </w:pPr>
            <w:r>
              <w:rPr>
                <w:sz w:val="18"/>
              </w:rPr>
              <w:t>Denominación antes SEGOB; ver F12</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C19 Registro de NOM 51 a 60</w:t>
      </w:r>
    </w:p>
    <w:p>
      <w:r>
        <w:t>Consulta del catálogo oficial al 23 de septiembre de 2026. Las fichas consultadas reportan estas normas vigentes; la aplicabilidad institucional permanece sujeta al levantamiento. Abrir la ficha para acceder a publicación, historial y texto. Revisar modificaciones y transitorios antes de cerrar cada obligación.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
        <w:gridCol w:w="2847"/>
        <w:gridCol w:w="3253"/>
        <w:gridCol w:w="3355"/>
      </w:tblGrid>
      <w:tr>
        <w:trPr>
          <w:cantSplit/>
          <w:tblHeader/>
        </w:trPr>
        <w:tc>
          <w:tcPr>
            <w:tcW w:type="dxa" w:w="712"/>
            <w:vAlign w:val="center"/>
            <w:tcMar>
              <w:top w:w="85" w:type="dxa"/>
              <w:bottom w:w="85" w:type="dxa"/>
              <w:left w:w="85" w:type="dxa"/>
              <w:right w:w="85" w:type="dxa"/>
            </w:tcMar>
            <w:shd w:fill="052148"/>
          </w:tcPr>
          <w:p>
            <w:pPr>
              <w:spacing w:after="40" w:line="247" w:lineRule="auto"/>
            </w:pPr>
            <w:r>
              <w:rPr>
                <w:b/>
                <w:color w:val="FFFFFF"/>
                <w:sz w:val="18"/>
              </w:rPr>
              <w:t>ID</w:t>
            </w:r>
          </w:p>
        </w:tc>
        <w:tc>
          <w:tcPr>
            <w:tcW w:type="dxa" w:w="2847"/>
            <w:vAlign w:val="center"/>
            <w:tcMar>
              <w:top w:w="85" w:type="dxa"/>
              <w:bottom w:w="85" w:type="dxa"/>
              <w:left w:w="85" w:type="dxa"/>
              <w:right w:w="85" w:type="dxa"/>
            </w:tcMar>
            <w:shd w:fill="052148"/>
          </w:tcPr>
          <w:p>
            <w:pPr>
              <w:spacing w:after="40" w:line="247" w:lineRule="auto"/>
            </w:pPr>
            <w:r>
              <w:rPr>
                <w:b/>
                <w:color w:val="FFFFFF"/>
                <w:sz w:val="18"/>
              </w:rPr>
              <w:t>Norma y fuente</w:t>
            </w:r>
          </w:p>
        </w:tc>
        <w:tc>
          <w:tcPr>
            <w:tcW w:type="dxa" w:w="3253"/>
            <w:vAlign w:val="center"/>
            <w:tcMar>
              <w:top w:w="85" w:type="dxa"/>
              <w:bottom w:w="85" w:type="dxa"/>
              <w:left w:w="85" w:type="dxa"/>
              <w:right w:w="85" w:type="dxa"/>
            </w:tcMar>
            <w:shd w:fill="052148"/>
          </w:tcPr>
          <w:p>
            <w:pPr>
              <w:spacing w:after="40" w:line="247" w:lineRule="auto"/>
            </w:pPr>
            <w:r>
              <w:rPr>
                <w:b/>
                <w:color w:val="FFFFFF"/>
                <w:sz w:val="18"/>
              </w:rPr>
              <w:t>Materia resumida</w:t>
            </w:r>
          </w:p>
        </w:tc>
        <w:tc>
          <w:tcPr>
            <w:tcW w:type="dxa" w:w="3355"/>
            <w:vAlign w:val="center"/>
            <w:tcMar>
              <w:top w:w="85" w:type="dxa"/>
              <w:bottom w:w="85" w:type="dxa"/>
              <w:left w:w="85" w:type="dxa"/>
              <w:right w:w="85" w:type="dxa"/>
            </w:tcMar>
            <w:shd w:fill="052148"/>
          </w:tcPr>
          <w:p>
            <w:pPr>
              <w:spacing w:after="40" w:line="247" w:lineRule="auto"/>
            </w:pPr>
            <w:r>
              <w:rPr>
                <w:b/>
                <w:color w:val="FFFFFF"/>
                <w:sz w:val="18"/>
              </w:rPr>
              <w:t>Alcance por validar</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N51</w:t>
            </w:r>
          </w:p>
        </w:tc>
        <w:tc>
          <w:tcPr>
            <w:tcW w:type="dxa" w:w="2847"/>
            <w:vAlign w:val="center"/>
            <w:tcMar>
              <w:top w:w="85" w:type="dxa"/>
              <w:bottom w:w="85" w:type="dxa"/>
              <w:left w:w="85" w:type="dxa"/>
              <w:right w:w="85" w:type="dxa"/>
            </w:tcMar>
            <w:shd w:fill="FFFFFF"/>
          </w:tcPr>
          <w:p>
            <w:pPr>
              <w:spacing w:after="40" w:line="247" w:lineRule="auto"/>
            </w:pPr>
            <w:r>
              <w:rPr>
                <w:sz w:val="18"/>
              </w:rPr>
              <w:t>NOM-008-SSPC-2015</w:t>
              <w:br/>
            </w:r>
            <w:hyperlink r:id="rId61">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Protección civil y personas con discapacidad</w:t>
            </w:r>
          </w:p>
        </w:tc>
        <w:tc>
          <w:tcPr>
            <w:tcW w:type="dxa" w:w="3355"/>
            <w:vAlign w:val="center"/>
            <w:tcMar>
              <w:top w:w="85" w:type="dxa"/>
              <w:bottom w:w="85" w:type="dxa"/>
              <w:left w:w="85" w:type="dxa"/>
              <w:right w:w="85" w:type="dxa"/>
            </w:tcMar>
            <w:shd w:fill="FFFFFF"/>
          </w:tcPr>
          <w:p>
            <w:pPr>
              <w:spacing w:after="40" w:line="247" w:lineRule="auto"/>
            </w:pPr>
            <w:r>
              <w:rPr>
                <w:sz w:val="18"/>
              </w:rPr>
              <w:t>Denominación antes SEGOB; ver F12</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N52</w:t>
            </w:r>
          </w:p>
        </w:tc>
        <w:tc>
          <w:tcPr>
            <w:tcW w:type="dxa" w:w="2847"/>
            <w:vAlign w:val="center"/>
            <w:tcMar>
              <w:top w:w="85" w:type="dxa"/>
              <w:bottom w:w="85" w:type="dxa"/>
              <w:left w:w="85" w:type="dxa"/>
              <w:right w:w="85" w:type="dxa"/>
            </w:tcMar>
            <w:shd w:fill="F2F5F8"/>
          </w:tcPr>
          <w:p>
            <w:pPr>
              <w:spacing w:after="40" w:line="247" w:lineRule="auto"/>
            </w:pPr>
            <w:r>
              <w:rPr>
                <w:sz w:val="18"/>
              </w:rPr>
              <w:t>NOM-151-SCFI-2016</w:t>
              <w:br/>
            </w:r>
            <w:hyperlink r:id="rId62">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Conservación de mensajes y digitalización documental</w:t>
            </w:r>
          </w:p>
        </w:tc>
        <w:tc>
          <w:tcPr>
            <w:tcW w:type="dxa" w:w="3355"/>
            <w:vAlign w:val="center"/>
            <w:tcMar>
              <w:top w:w="85" w:type="dxa"/>
              <w:bottom w:w="85" w:type="dxa"/>
              <w:left w:w="85" w:type="dxa"/>
              <w:right w:w="85" w:type="dxa"/>
            </w:tcMar>
            <w:shd w:fill="F2F5F8"/>
          </w:tcPr>
          <w:p>
            <w:pPr>
              <w:spacing w:after="40" w:line="247" w:lineRule="auto"/>
            </w:pPr>
            <w:r>
              <w:rPr>
                <w:sz w:val="18"/>
              </w:rPr>
              <w:t>Revisar ámbito mercantil y mecanismo requerido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N53</w:t>
            </w:r>
          </w:p>
        </w:tc>
        <w:tc>
          <w:tcPr>
            <w:tcW w:type="dxa" w:w="2847"/>
            <w:vAlign w:val="center"/>
            <w:tcMar>
              <w:top w:w="85" w:type="dxa"/>
              <w:bottom w:w="85" w:type="dxa"/>
              <w:left w:w="85" w:type="dxa"/>
              <w:right w:w="85" w:type="dxa"/>
            </w:tcMar>
            <w:shd w:fill="FFFFFF"/>
          </w:tcPr>
          <w:p>
            <w:pPr>
              <w:spacing w:after="40" w:line="247" w:lineRule="auto"/>
            </w:pPr>
            <w:r>
              <w:rPr>
                <w:sz w:val="18"/>
              </w:rPr>
              <w:t>NOM-127-SSA1-2021</w:t>
              <w:br/>
            </w:r>
            <w:hyperlink r:id="rId63">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Calidad de agua para uso y consumo humano</w:t>
            </w:r>
          </w:p>
        </w:tc>
        <w:tc>
          <w:tcPr>
            <w:tcW w:type="dxa" w:w="3355"/>
            <w:vAlign w:val="center"/>
            <w:tcMar>
              <w:top w:w="85" w:type="dxa"/>
              <w:bottom w:w="85" w:type="dxa"/>
              <w:left w:w="85" w:type="dxa"/>
              <w:right w:w="85" w:type="dxa"/>
            </w:tcMar>
            <w:shd w:fill="FFFFFF"/>
          </w:tcPr>
          <w:p>
            <w:pPr>
              <w:spacing w:after="40" w:line="247" w:lineRule="auto"/>
            </w:pPr>
            <w:r>
              <w:rPr>
                <w:sz w:val="18"/>
              </w:rPr>
              <w:t>Identificar suministro y papel del operador</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N54</w:t>
            </w:r>
          </w:p>
        </w:tc>
        <w:tc>
          <w:tcPr>
            <w:tcW w:type="dxa" w:w="2847"/>
            <w:vAlign w:val="center"/>
            <w:tcMar>
              <w:top w:w="85" w:type="dxa"/>
              <w:bottom w:w="85" w:type="dxa"/>
              <w:left w:w="85" w:type="dxa"/>
              <w:right w:w="85" w:type="dxa"/>
            </w:tcMar>
            <w:shd w:fill="F2F5F8"/>
          </w:tcPr>
          <w:p>
            <w:pPr>
              <w:spacing w:after="40" w:line="247" w:lineRule="auto"/>
            </w:pPr>
            <w:r>
              <w:rPr>
                <w:sz w:val="18"/>
              </w:rPr>
              <w:t>NOM-002-SEMARNAT-1996</w:t>
              <w:br/>
            </w:r>
            <w:hyperlink r:id="rId64">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Descargas a alcantarillado urbano o municipal</w:t>
            </w:r>
          </w:p>
        </w:tc>
        <w:tc>
          <w:tcPr>
            <w:tcW w:type="dxa" w:w="3355"/>
            <w:vAlign w:val="center"/>
            <w:tcMar>
              <w:top w:w="85" w:type="dxa"/>
              <w:bottom w:w="85" w:type="dxa"/>
              <w:left w:w="85" w:type="dxa"/>
              <w:right w:w="85" w:type="dxa"/>
            </w:tcMar>
            <w:shd w:fill="F2F5F8"/>
          </w:tcPr>
          <w:p>
            <w:pPr>
              <w:spacing w:after="40" w:line="247" w:lineRule="auto"/>
            </w:pPr>
            <w:r>
              <w:rPr>
                <w:sz w:val="18"/>
              </w:rPr>
              <w:t>Según destino real de descarga</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N55</w:t>
            </w:r>
          </w:p>
        </w:tc>
        <w:tc>
          <w:tcPr>
            <w:tcW w:type="dxa" w:w="2847"/>
            <w:vAlign w:val="center"/>
            <w:tcMar>
              <w:top w:w="85" w:type="dxa"/>
              <w:bottom w:w="85" w:type="dxa"/>
              <w:left w:w="85" w:type="dxa"/>
              <w:right w:w="85" w:type="dxa"/>
            </w:tcMar>
            <w:shd w:fill="FFFFFF"/>
          </w:tcPr>
          <w:p>
            <w:pPr>
              <w:spacing w:after="40" w:line="247" w:lineRule="auto"/>
            </w:pPr>
            <w:r>
              <w:rPr>
                <w:sz w:val="18"/>
              </w:rPr>
              <w:t>NOM-001-SEMARNAT-2021</w:t>
              <w:br/>
            </w:r>
            <w:hyperlink r:id="rId65">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Descargas a cuerpos receptores nacionales</w:t>
            </w:r>
          </w:p>
        </w:tc>
        <w:tc>
          <w:tcPr>
            <w:tcW w:type="dxa" w:w="3355"/>
            <w:vAlign w:val="center"/>
            <w:tcMar>
              <w:top w:w="85" w:type="dxa"/>
              <w:bottom w:w="85" w:type="dxa"/>
              <w:left w:w="85" w:type="dxa"/>
              <w:right w:w="85" w:type="dxa"/>
            </w:tcMar>
            <w:shd w:fill="FFFFFF"/>
          </w:tcPr>
          <w:p>
            <w:pPr>
              <w:spacing w:after="40" w:line="247" w:lineRule="auto"/>
            </w:pPr>
            <w:r>
              <w:rPr>
                <w:sz w:val="18"/>
              </w:rPr>
              <w:t>Según descarga y permisos</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N56</w:t>
            </w:r>
          </w:p>
        </w:tc>
        <w:tc>
          <w:tcPr>
            <w:tcW w:type="dxa" w:w="2847"/>
            <w:vAlign w:val="center"/>
            <w:tcMar>
              <w:top w:w="85" w:type="dxa"/>
              <w:bottom w:w="85" w:type="dxa"/>
              <w:left w:w="85" w:type="dxa"/>
              <w:right w:w="85" w:type="dxa"/>
            </w:tcMar>
            <w:shd w:fill="F2F5F8"/>
          </w:tcPr>
          <w:p>
            <w:pPr>
              <w:spacing w:after="40" w:line="247" w:lineRule="auto"/>
            </w:pPr>
            <w:r>
              <w:rPr>
                <w:sz w:val="18"/>
              </w:rPr>
              <w:t>NOM-036-1-STPS-2018</w:t>
              <w:br/>
            </w:r>
            <w:hyperlink r:id="rId66">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Ergonomía en manejo manual de cargas</w:t>
            </w:r>
          </w:p>
        </w:tc>
        <w:tc>
          <w:tcPr>
            <w:tcW w:type="dxa" w:w="3355"/>
            <w:vAlign w:val="center"/>
            <w:tcMar>
              <w:top w:w="85" w:type="dxa"/>
              <w:bottom w:w="85" w:type="dxa"/>
              <w:left w:w="85" w:type="dxa"/>
              <w:right w:w="85" w:type="dxa"/>
            </w:tcMar>
            <w:shd w:fill="F2F5F8"/>
          </w:tcPr>
          <w:p>
            <w:pPr>
              <w:spacing w:after="40" w:line="247" w:lineRule="auto"/>
            </w:pPr>
            <w:r>
              <w:rPr>
                <w:sz w:val="18"/>
              </w:rPr>
              <w:t>Según tareas dentro de su campo</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N57</w:t>
            </w:r>
          </w:p>
        </w:tc>
        <w:tc>
          <w:tcPr>
            <w:tcW w:type="dxa" w:w="2847"/>
            <w:vAlign w:val="center"/>
            <w:tcMar>
              <w:top w:w="85" w:type="dxa"/>
              <w:bottom w:w="85" w:type="dxa"/>
              <w:left w:w="85" w:type="dxa"/>
              <w:right w:w="85" w:type="dxa"/>
            </w:tcMar>
            <w:shd w:fill="FFFFFF"/>
          </w:tcPr>
          <w:p>
            <w:pPr>
              <w:spacing w:after="40" w:line="247" w:lineRule="auto"/>
            </w:pPr>
            <w:r>
              <w:rPr>
                <w:sz w:val="18"/>
              </w:rPr>
              <w:t>NOM-037-STPS-2023</w:t>
              <w:br/>
            </w:r>
            <w:hyperlink r:id="rId67">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Seguridad y salud en teletrabajo</w:t>
            </w:r>
          </w:p>
        </w:tc>
        <w:tc>
          <w:tcPr>
            <w:tcW w:type="dxa" w:w="3355"/>
            <w:vAlign w:val="center"/>
            <w:tcMar>
              <w:top w:w="85" w:type="dxa"/>
              <w:bottom w:w="85" w:type="dxa"/>
              <w:left w:w="85" w:type="dxa"/>
              <w:right w:w="85" w:type="dxa"/>
            </w:tcMar>
            <w:shd w:fill="FFFFFF"/>
          </w:tcPr>
          <w:p>
            <w:pPr>
              <w:spacing w:after="40" w:line="247" w:lineRule="auto"/>
            </w:pPr>
            <w:r>
              <w:rPr>
                <w:sz w:val="18"/>
              </w:rPr>
              <w:t>Sólo modalidad legal de teletrabajo</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N58</w:t>
            </w:r>
          </w:p>
        </w:tc>
        <w:tc>
          <w:tcPr>
            <w:tcW w:type="dxa" w:w="2847"/>
            <w:vAlign w:val="center"/>
            <w:tcMar>
              <w:top w:w="85" w:type="dxa"/>
              <w:bottom w:w="85" w:type="dxa"/>
              <w:left w:w="85" w:type="dxa"/>
              <w:right w:w="85" w:type="dxa"/>
            </w:tcMar>
            <w:shd w:fill="F2F5F8"/>
          </w:tcPr>
          <w:p>
            <w:pPr>
              <w:spacing w:after="40" w:line="247" w:lineRule="auto"/>
            </w:pPr>
            <w:r>
              <w:rPr>
                <w:sz w:val="18"/>
              </w:rPr>
              <w:t>NOM-001-SEDE-2012</w:t>
              <w:br/>
            </w:r>
            <w:hyperlink r:id="rId68">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Instalaciones eléctricas</w:t>
            </w:r>
          </w:p>
        </w:tc>
        <w:tc>
          <w:tcPr>
            <w:tcW w:type="dxa" w:w="3355"/>
            <w:vAlign w:val="center"/>
            <w:tcMar>
              <w:top w:w="85" w:type="dxa"/>
              <w:bottom w:w="85" w:type="dxa"/>
              <w:left w:w="85" w:type="dxa"/>
              <w:right w:w="85" w:type="dxa"/>
            </w:tcMar>
            <w:shd w:fill="F2F5F8"/>
          </w:tcPr>
          <w:p>
            <w:pPr>
              <w:spacing w:after="40" w:line="247" w:lineRule="auto"/>
            </w:pPr>
            <w:r>
              <w:rPr>
                <w:sz w:val="18"/>
              </w:rPr>
              <w:t>Instalación y verificación que corresponda</w:t>
            </w:r>
          </w:p>
        </w:tc>
      </w:tr>
      <w:tr>
        <w:trPr>
          <w:cantSplit/>
        </w:trPr>
        <w:tc>
          <w:tcPr>
            <w:tcW w:type="dxa" w:w="712"/>
            <w:vAlign w:val="center"/>
            <w:tcMar>
              <w:top w:w="85" w:type="dxa"/>
              <w:bottom w:w="85" w:type="dxa"/>
              <w:left w:w="85" w:type="dxa"/>
              <w:right w:w="85" w:type="dxa"/>
            </w:tcMar>
            <w:shd w:fill="FFFFFF"/>
          </w:tcPr>
          <w:p>
            <w:pPr>
              <w:spacing w:after="40" w:line="247" w:lineRule="auto"/>
            </w:pPr>
            <w:r>
              <w:rPr>
                <w:sz w:val="18"/>
              </w:rPr>
              <w:t>N59</w:t>
            </w:r>
          </w:p>
        </w:tc>
        <w:tc>
          <w:tcPr>
            <w:tcW w:type="dxa" w:w="2847"/>
            <w:vAlign w:val="center"/>
            <w:tcMar>
              <w:top w:w="85" w:type="dxa"/>
              <w:bottom w:w="85" w:type="dxa"/>
              <w:left w:w="85" w:type="dxa"/>
              <w:right w:w="85" w:type="dxa"/>
            </w:tcMar>
            <w:shd w:fill="FFFFFF"/>
          </w:tcPr>
          <w:p>
            <w:pPr>
              <w:spacing w:after="40" w:line="247" w:lineRule="auto"/>
            </w:pPr>
            <w:r>
              <w:rPr>
                <w:sz w:val="18"/>
              </w:rPr>
              <w:t>NOM-005-STPS-1998</w:t>
              <w:br/>
            </w:r>
            <w:hyperlink r:id="rId69">
              <w:r>
                <w:rPr>
                  <w:color w:val="052148"/>
                  <w:u w:val="single"/>
                </w:rPr>
                <w:t>Ficha oficial</w:t>
              </w:r>
            </w:hyperlink>
          </w:p>
        </w:tc>
        <w:tc>
          <w:tcPr>
            <w:tcW w:type="dxa" w:w="3253"/>
            <w:vAlign w:val="center"/>
            <w:tcMar>
              <w:top w:w="85" w:type="dxa"/>
              <w:bottom w:w="85" w:type="dxa"/>
              <w:left w:w="85" w:type="dxa"/>
              <w:right w:w="85" w:type="dxa"/>
            </w:tcMar>
            <w:shd w:fill="FFFFFF"/>
          </w:tcPr>
          <w:p>
            <w:pPr>
              <w:spacing w:after="40" w:line="247" w:lineRule="auto"/>
            </w:pPr>
            <w:r>
              <w:rPr>
                <w:sz w:val="18"/>
              </w:rPr>
              <w:t>Seguridad con sustancias químicas peligrosas</w:t>
            </w:r>
          </w:p>
        </w:tc>
        <w:tc>
          <w:tcPr>
            <w:tcW w:type="dxa" w:w="3355"/>
            <w:vAlign w:val="center"/>
            <w:tcMar>
              <w:top w:w="85" w:type="dxa"/>
              <w:bottom w:w="85" w:type="dxa"/>
              <w:left w:w="85" w:type="dxa"/>
              <w:right w:w="85" w:type="dxa"/>
            </w:tcMar>
            <w:shd w:fill="FFFFFF"/>
          </w:tcPr>
          <w:p>
            <w:pPr>
              <w:spacing w:after="40" w:line="247" w:lineRule="auto"/>
            </w:pPr>
            <w:r>
              <w:rPr>
                <w:sz w:val="18"/>
              </w:rPr>
              <w:t>Según manejo almacenamiento y transporte</w:t>
            </w:r>
          </w:p>
        </w:tc>
      </w:tr>
      <w:tr>
        <w:trPr>
          <w:cantSplit/>
        </w:trPr>
        <w:tc>
          <w:tcPr>
            <w:tcW w:type="dxa" w:w="712"/>
            <w:vAlign w:val="center"/>
            <w:tcMar>
              <w:top w:w="85" w:type="dxa"/>
              <w:bottom w:w="85" w:type="dxa"/>
              <w:left w:w="85" w:type="dxa"/>
              <w:right w:w="85" w:type="dxa"/>
            </w:tcMar>
            <w:shd w:fill="F2F5F8"/>
          </w:tcPr>
          <w:p>
            <w:pPr>
              <w:spacing w:after="40" w:line="247" w:lineRule="auto"/>
            </w:pPr>
            <w:r>
              <w:rPr>
                <w:sz w:val="18"/>
              </w:rPr>
              <w:t>N60</w:t>
            </w:r>
          </w:p>
        </w:tc>
        <w:tc>
          <w:tcPr>
            <w:tcW w:type="dxa" w:w="2847"/>
            <w:vAlign w:val="center"/>
            <w:tcMar>
              <w:top w:w="85" w:type="dxa"/>
              <w:bottom w:w="85" w:type="dxa"/>
              <w:left w:w="85" w:type="dxa"/>
              <w:right w:w="85" w:type="dxa"/>
            </w:tcMar>
            <w:shd w:fill="F2F5F8"/>
          </w:tcPr>
          <w:p>
            <w:pPr>
              <w:spacing w:after="40" w:line="247" w:lineRule="auto"/>
            </w:pPr>
            <w:r>
              <w:rPr>
                <w:sz w:val="18"/>
              </w:rPr>
              <w:t>NOM-010-STPS-2014</w:t>
              <w:br/>
            </w:r>
            <w:hyperlink r:id="rId70">
              <w:r>
                <w:rPr>
                  <w:color w:val="052148"/>
                  <w:u w:val="single"/>
                </w:rPr>
                <w:t>Ficha oficial</w:t>
              </w:r>
            </w:hyperlink>
          </w:p>
        </w:tc>
        <w:tc>
          <w:tcPr>
            <w:tcW w:type="dxa" w:w="3253"/>
            <w:vAlign w:val="center"/>
            <w:tcMar>
              <w:top w:w="85" w:type="dxa"/>
              <w:bottom w:w="85" w:type="dxa"/>
              <w:left w:w="85" w:type="dxa"/>
              <w:right w:w="85" w:type="dxa"/>
            </w:tcMar>
            <w:shd w:fill="F2F5F8"/>
          </w:tcPr>
          <w:p>
            <w:pPr>
              <w:spacing w:after="40" w:line="247" w:lineRule="auto"/>
            </w:pPr>
            <w:r>
              <w:rPr>
                <w:sz w:val="18"/>
              </w:rPr>
              <w:t>Agentes químicos en el ambiente laboral</w:t>
            </w:r>
          </w:p>
        </w:tc>
        <w:tc>
          <w:tcPr>
            <w:tcW w:type="dxa" w:w="3355"/>
            <w:vAlign w:val="center"/>
            <w:tcMar>
              <w:top w:w="85" w:type="dxa"/>
              <w:bottom w:w="85" w:type="dxa"/>
              <w:left w:w="85" w:type="dxa"/>
              <w:right w:w="85" w:type="dxa"/>
            </w:tcMar>
            <w:shd w:fill="F2F5F8"/>
          </w:tcPr>
          <w:p>
            <w:pPr>
              <w:spacing w:after="40" w:line="247" w:lineRule="auto"/>
            </w:pPr>
            <w:r>
              <w:rPr>
                <w:sz w:val="18"/>
              </w:rPr>
              <w:t>Reconocimiento evaluación y control según exposición</w:t>
            </w:r>
          </w:p>
        </w:tc>
      </w:tr>
    </w:tbl>
    <w:p>
      <w:pPr>
        <w:spacing w:after="20"/>
      </w:pPr>
    </w:p>
    <w:p>
      <w:r>
        <w:t>Para cada norma aplicable se abrirán obligaciones por numeral y se adjuntará la evidencia correspondiente. Las recomendaciones operativas del plan no sustituyen el texto normativo. No se presume que una ficha de catálogo incorpore por sí sola todas las reformas publicadas.</w:t>
      </w:r>
    </w:p>
    <w:p>
      <w:r>
        <w:br w:type="page"/>
      </w:r>
    </w:p>
    <w:p>
      <w:pPr>
        <w:pStyle w:val="Heading1"/>
      </w:pPr>
      <w:r>
        <w:t>C20 Fuentes complementarias clínicas y legales</w:t>
      </w:r>
    </w:p>
    <w:p>
      <w:r>
        <w:t>Fuentes oficiales consultadas para la ampliación. Los vínculos permiten recuperar el documento o la orientación institucional. El responsable conservará una copia fechada de la versión utilizada al aprobar cada obligación.</w:t>
      </w:r>
    </w:p>
    <w:p>
      <w:pPr>
        <w:pStyle w:val="Heading3"/>
      </w:pPr>
      <w:r>
        <w:t>F01 Texto de NOM-013-SSA2-2015</w:t>
      </w:r>
    </w:p>
    <w:p>
      <w:r>
        <w:t xml:space="preserve">Capítulos 5, 8 y 9; expediente, esterilización y consentimiento. </w:t>
      </w:r>
      <w:hyperlink r:id="rId71">
        <w:r>
          <w:rPr>
            <w:color w:val="052148"/>
            <w:u w:val="single"/>
          </w:rPr>
          <w:t>Consultar fuente oficial</w:t>
        </w:r>
      </w:hyperlink>
    </w:p>
    <w:p>
      <w:pPr>
        <w:pStyle w:val="Heading3"/>
      </w:pPr>
      <w:r>
        <w:t>F02 Texto de NOM-004-SSA3-2012</w:t>
      </w:r>
    </w:p>
    <w:p>
      <w:r>
        <w:t xml:space="preserve">Numerales 5.4, 5.10 y capítulos de notas y consentimiento. </w:t>
      </w:r>
      <w:hyperlink r:id="rId72">
        <w:r>
          <w:rPr>
            <w:color w:val="052148"/>
            <w:u w:val="single"/>
          </w:rPr>
          <w:t>Consultar fuente oficial</w:t>
        </w:r>
      </w:hyperlink>
    </w:p>
    <w:p>
      <w:pPr>
        <w:pStyle w:val="Heading3"/>
      </w:pPr>
      <w:r>
        <w:t>F03 Texto de NOM-024-SSA3-2012</w:t>
      </w:r>
    </w:p>
    <w:p>
      <w:r>
        <w:t xml:space="preserve">Numerales 5 y 6 y procedimiento del capítulo 7. </w:t>
      </w:r>
      <w:hyperlink r:id="rId73">
        <w:r>
          <w:rPr>
            <w:color w:val="052148"/>
            <w:u w:val="single"/>
          </w:rPr>
          <w:t>Consultar fuente oficial</w:t>
        </w:r>
      </w:hyperlink>
    </w:p>
    <w:p>
      <w:pPr>
        <w:pStyle w:val="Heading3"/>
      </w:pPr>
      <w:r>
        <w:t>F04 COFEPRIS sobre radiación para diagnóstico</w:t>
      </w:r>
    </w:p>
    <w:p>
      <w:r>
        <w:t xml:space="preserve">Orientación de licencia y responsable para panorámica y tomografía dental. </w:t>
      </w:r>
      <w:hyperlink r:id="rId74">
        <w:r>
          <w:rPr>
            <w:color w:val="052148"/>
            <w:u w:val="single"/>
          </w:rPr>
          <w:t>Consultar fuente oficial</w:t>
        </w:r>
      </w:hyperlink>
    </w:p>
    <w:p>
      <w:pPr>
        <w:pStyle w:val="Heading3"/>
      </w:pPr>
      <w:r>
        <w:t>F05 Modificación de NOM-046 publicada en 2016</w:t>
      </w:r>
    </w:p>
    <w:p>
      <w:r>
        <w:t xml:space="preserve">Consultar junto al texto base de violencia familiar y sexual. </w:t>
      </w:r>
      <w:hyperlink r:id="rId75">
        <w:r>
          <w:rPr>
            <w:color w:val="052148"/>
            <w:u w:val="single"/>
          </w:rPr>
          <w:t>Consultar fuente oficial</w:t>
        </w:r>
      </w:hyperlink>
    </w:p>
    <w:p>
      <w:pPr>
        <w:pStyle w:val="Heading3"/>
      </w:pPr>
      <w:r>
        <w:t>F06 Ley Federal de Protección de Datos Personales en Posesión de los Particulares</w:t>
      </w:r>
    </w:p>
    <w:p>
      <w:r>
        <w:t xml:space="preserve">Texto vigente; datos sensibles, derechos, seguridad y bases del tratamiento. </w:t>
      </w:r>
      <w:hyperlink r:id="rId76">
        <w:r>
          <w:rPr>
            <w:color w:val="052148"/>
            <w:u w:val="single"/>
          </w:rPr>
          <w:t>Consultar fuente oficial</w:t>
        </w:r>
      </w:hyperlink>
    </w:p>
    <w:p>
      <w:pPr>
        <w:pStyle w:val="Heading3"/>
      </w:pPr>
      <w:r>
        <w:t>F07 Ley General de Salud</w:t>
      </w:r>
    </w:p>
    <w:p>
      <w:r>
        <w:t xml:space="preserve">Marco sanitario y ejercicio profesional; artículos 79 y 83. </w:t>
      </w:r>
      <w:hyperlink r:id="rId77">
        <w:r>
          <w:rPr>
            <w:color w:val="052148"/>
            <w:u w:val="single"/>
          </w:rPr>
          <w:t>Consultar fuente oficial</w:t>
        </w:r>
      </w:hyperlink>
    </w:p>
    <w:p>
      <w:pPr>
        <w:pStyle w:val="Heading3"/>
      </w:pPr>
      <w:r>
        <w:t>F08 Reglamento de atención médica de la Ley General de Salud</w:t>
      </w:r>
    </w:p>
    <w:p>
      <w:r>
        <w:t xml:space="preserve">Clasificación y operación de establecimientos de atención médica. </w:t>
      </w:r>
      <w:hyperlink r:id="rId78">
        <w:r>
          <w:rPr>
            <w:color w:val="052148"/>
            <w:u w:val="single"/>
          </w:rPr>
          <w:t>Consultar fuente oficial</w:t>
        </w:r>
      </w:hyperlink>
    </w:p>
    <w:p>
      <w:pPr>
        <w:pStyle w:val="Heading3"/>
      </w:pPr>
      <w:r>
        <w:t>F09 Ley General de los Derechos de Niñas Niños y Adolescentes</w:t>
      </w:r>
    </w:p>
    <w:p>
      <w:r>
        <w:t xml:space="preserve">Protección de derechos y revisión de representación. </w:t>
      </w:r>
      <w:hyperlink r:id="rId79">
        <w:r>
          <w:rPr>
            <w:color w:val="052148"/>
            <w:u w:val="single"/>
          </w:rPr>
          <w:t>Consultar fuente oficial</w:t>
        </w:r>
      </w:hyperlink>
    </w:p>
    <w:p>
      <w:r>
        <w:br w:type="page"/>
      </w:r>
    </w:p>
    <w:p>
      <w:pPr>
        <w:pStyle w:val="Heading1"/>
      </w:pPr>
      <w:r>
        <w:t>C20 Fuentes complementarias institucionales</w:t>
      </w:r>
    </w:p>
    <w:p>
      <w:r>
        <w:t>Fuentes oficiales consultadas para la ampliación. Los vínculos permiten recuperar el documento o la orientación institucional. El responsable conservará una copia fechada de la versión utilizada al aprobar cada obligación.</w:t>
      </w:r>
    </w:p>
    <w:p>
      <w:pPr>
        <w:pStyle w:val="Heading3"/>
      </w:pPr>
      <w:r>
        <w:t>F10 Protección Civil de Yucatán</w:t>
      </w:r>
    </w:p>
    <w:p>
      <w:r>
        <w:t xml:space="preserve">Repositorio de ley, reglamento y estructura de programas internos. </w:t>
      </w:r>
      <w:hyperlink r:id="rId80">
        <w:r>
          <w:rPr>
            <w:color w:val="052148"/>
            <w:u w:val="single"/>
          </w:rPr>
          <w:t>Consultar fuente oficial</w:t>
        </w:r>
      </w:hyperlink>
    </w:p>
    <w:p>
      <w:pPr>
        <w:pStyle w:val="Heading3"/>
      </w:pPr>
      <w:r>
        <w:t>F11 Ley General para la Prevención y Gestión Integral de los Residuos</w:t>
      </w:r>
    </w:p>
    <w:p>
      <w:r>
        <w:t xml:space="preserve">Obligaciones de generadores y gestión de residuos según clasificación. </w:t>
      </w:r>
      <w:hyperlink r:id="rId81">
        <w:r>
          <w:rPr>
            <w:color w:val="052148"/>
            <w:u w:val="single"/>
          </w:rPr>
          <w:t>Consultar fuente oficial</w:t>
        </w:r>
      </w:hyperlink>
    </w:p>
    <w:p>
      <w:pPr>
        <w:pStyle w:val="Heading3"/>
      </w:pPr>
      <w:r>
        <w:t>F12 Declaratoria de denominaciones SSPC de 2024</w:t>
      </w:r>
    </w:p>
    <w:p>
      <w:r>
        <w:t xml:space="preserve">Correspondencia de normas antes identificadas con SEGOB. </w:t>
      </w:r>
      <w:hyperlink r:id="rId82">
        <w:r>
          <w:rPr>
            <w:color w:val="052148"/>
            <w:u w:val="single"/>
          </w:rPr>
          <w:t>Consultar fuente oficial</w:t>
        </w:r>
      </w:hyperlink>
    </w:p>
    <w:p>
      <w:pPr>
        <w:pStyle w:val="Heading3"/>
      </w:pPr>
      <w:r>
        <w:t>F13 Ley de Aguas Nacionales</w:t>
      </w:r>
    </w:p>
    <w:p>
      <w:r>
        <w:t xml:space="preserve">Revisión de extracción, descargas y títulos cuando corresponda. </w:t>
      </w:r>
      <w:hyperlink r:id="rId83">
        <w:r>
          <w:rPr>
            <w:color w:val="052148"/>
            <w:u w:val="single"/>
          </w:rPr>
          <w:t>Consultar fuente oficial</w:t>
        </w:r>
      </w:hyperlink>
    </w:p>
    <w:p>
      <w:pPr>
        <w:pStyle w:val="Heading3"/>
      </w:pPr>
      <w:r>
        <w:t>F14 COFEPRIS avisos de funcionamiento y responsable</w:t>
      </w:r>
    </w:p>
    <w:p>
      <w:r>
        <w:t xml:space="preserve">Clasificar el trámite según establecimiento y actividad. </w:t>
      </w:r>
      <w:hyperlink r:id="rId84">
        <w:r>
          <w:rPr>
            <w:color w:val="052148"/>
            <w:u w:val="single"/>
          </w:rPr>
          <w:t>Consultar fuente oficial</w:t>
        </w:r>
      </w:hyperlink>
    </w:p>
    <w:p>
      <w:pPr>
        <w:pStyle w:val="Heading3"/>
      </w:pPr>
      <w:r>
        <w:t>F15 Acciones Esenciales para la Seguridad del Paciente</w:t>
      </w:r>
    </w:p>
    <w:p>
      <w:r>
        <w:t xml:space="preserve">Actualización del anexo obligatorio publicada el 16 de junio de 2023. </w:t>
      </w:r>
      <w:hyperlink r:id="rId85">
        <w:r>
          <w:rPr>
            <w:color w:val="052148"/>
            <w:u w:val="single"/>
          </w:rPr>
          <w:t>Consultar fuente oficial</w:t>
        </w:r>
      </w:hyperlink>
    </w:p>
    <w:p>
      <w:pPr>
        <w:pStyle w:val="Heading3"/>
      </w:pPr>
      <w:r>
        <w:t>F16 Reglamento de la Ley General de Salud en materia de Publicidad</w:t>
      </w:r>
    </w:p>
    <w:p>
      <w:r>
        <w:t xml:space="preserve">Complementar con clasificación COFEPRIS de permiso o aviso publicitario. </w:t>
      </w:r>
      <w:hyperlink r:id="rId86">
        <w:r>
          <w:rPr>
            <w:color w:val="052148"/>
            <w:u w:val="single"/>
          </w:rPr>
          <w:t>Consultar fuente oficial</w:t>
        </w:r>
      </w:hyperlink>
    </w:p>
    <w:p>
      <w:pPr>
        <w:pStyle w:val="Heading3"/>
      </w:pPr>
      <w:r>
        <w:t>F17 SAT artículo 15 de la Ley del IVA</w:t>
      </w:r>
    </w:p>
    <w:p>
      <w:r>
        <w:t xml:space="preserve">Revisar fracción XIV por prestador y servicio; no generalizar exención. </w:t>
      </w:r>
      <w:hyperlink r:id="rId87">
        <w:r>
          <w:rPr>
            <w:color w:val="052148"/>
            <w:u w:val="single"/>
          </w:rPr>
          <w:t>Consultar fuente oficial</w:t>
        </w:r>
      </w:hyperlink>
    </w:p>
    <w:p>
      <w:r>
        <w:t xml:space="preserve">Orientación adicional de COFEPRIS: </w:t>
      </w:r>
      <w:hyperlink r:id="rId88">
        <w:r>
          <w:rPr>
            <w:color w:val="052148"/>
            <w:u w:val="single"/>
          </w:rPr>
          <w:t>Autorización publicitaria</w:t>
        </w:r>
      </w:hyperlink>
    </w:p>
    <w:p>
      <w:r>
        <w:t>El registro debe ampliarse con disposiciones estatales y municipales del domicilio real y requisitos de cada servicio confirmado. Ante discrepancias entre catálogo y publicación, resolver con el texto oficial, sus reformas y transitorios, dejando constancia de la decisión.</w:t>
      </w:r>
    </w:p>
    <w:p>
      <w:r>
        <w:br w:type="page"/>
      </w:r>
    </w:p>
    <w:p>
      <w:pPr>
        <w:pStyle w:val="Heading1"/>
      </w:pPr>
      <w:r>
        <w:t>C21 Meta del 15 de diciembre de 2026</w:t>
      </w:r>
    </w:p>
    <w:p>
      <w:r>
        <w:t>Proponemos completar la aplicación integrada para los servicios confirmados de Mérida y La Casita el 15 de diciembre de 2026. Todos los trabajos comienzan el 1 de octubre, incluida preparación, entrevistas, cumplimiento y desarrollo. La ejecución continúa hasta el 11 de diciembre, con cierre el 14 y 15. Codex apoya entregas breves y las unidades documentan y validan simultáneamente.</w:t>
      </w:r>
    </w:p>
    <w:p>
      <w:pPr>
        <w:pStyle w:val="Heading3"/>
      </w:pPr>
      <w:r>
        <w:t>Qué significa cumplir la meta</w:t>
      </w:r>
    </w:p>
    <w:p>
      <w:r>
        <w:t>Todos los servicios confirmados tienen catálogo, responsable, proceso validado y operación en la misma aplicación. La aceptación comprende identidad y agenda comunes; formularios y expedientes autorizados por especialidad; referencias; cobro y conciliación básicos; supervisión docente; recursos; evidencias de cumplimiento y reportes definidos. La landing y el portal utilizan información institucional aprobada.</w:t>
      </w:r>
    </w:p>
    <w:p>
      <w:r>
        <w:t>Cada servicio debe haber completado su recorrido normal y sus excepciones, capacitación y autorización de uso. El expediente clínico oficial requiere resolver previamente los criterios C15 y C18. La aceptación final registra versión, alcance habilitado, pruebas y responsables. Una pantalla terminada o una demostración no constituyen una unidad operativa.</w:t>
      </w:r>
    </w:p>
    <w:p>
      <w:pPr>
        <w:pStyle w:val="Heading3"/>
      </w:pPr>
      <w:r>
        <w:t>Cómo reducimos el plazo</w:t>
      </w:r>
    </w:p>
    <w:tbl>
      <w:tblPr>
        <w:tblW w:type="auto" w:w="0"/>
        <w:tblLayout w:type="fixed"/>
        <w:tblLook w:firstColumn="1" w:firstRow="1" w:lastColumn="0" w:lastRow="0" w:noHBand="0" w:noVBand="1" w:val="04A0"/>
      </w:tblPr>
      <w:tblGrid>
        <w:gridCol w:w="2880"/>
        <w:gridCol w:w="6480"/>
      </w:tblGrid>
      <w:tr>
        <w:trPr>
          <w:cantSplit/>
          <w:tblHeader/>
        </w:trPr>
        <w:tc>
          <w:tcPr>
            <w:tcW w:type="dxa" w:w="2880"/>
            <w:shd w:fill="052148"/>
          </w:tcPr>
          <w:p>
            <w:pPr>
              <w:spacing w:after="100" w:before="100"/>
            </w:pPr>
            <w:r>
              <w:rPr>
                <w:b/>
                <w:color w:val="FFFFFF"/>
                <w:sz w:val="18"/>
              </w:rPr>
              <w:t>Cambio de ejecución</w:t>
            </w:r>
          </w:p>
        </w:tc>
        <w:tc>
          <w:tcPr>
            <w:tcW w:type="dxa" w:w="6480"/>
            <w:shd w:fill="052148"/>
          </w:tcPr>
          <w:p>
            <w:pPr>
              <w:spacing w:after="100" w:before="100"/>
            </w:pPr>
            <w:r>
              <w:rPr>
                <w:b/>
                <w:color w:val="FFFFFF"/>
                <w:sz w:val="18"/>
              </w:rPr>
              <w:t>Efecto en el calendario</w:t>
            </w:r>
          </w:p>
        </w:tc>
      </w:tr>
      <w:tr>
        <w:trPr>
          <w:cantSplit/>
        </w:trPr>
        <w:tc>
          <w:tcPr>
            <w:tcW w:type="dxa" w:w="2880"/>
            <w:shd w:fill="FFFFFF"/>
          </w:tcPr>
          <w:p>
            <w:pPr>
              <w:spacing w:after="100" w:before="100"/>
            </w:pPr>
            <w:r>
              <w:rPr>
                <w:sz w:val="18"/>
              </w:rPr>
              <w:t>Levantamiento simultáneo</w:t>
            </w:r>
          </w:p>
        </w:tc>
        <w:tc>
          <w:tcPr>
            <w:tcW w:type="dxa" w:w="6480"/>
            <w:shd w:fill="FFFFFF"/>
          </w:tcPr>
          <w:p>
            <w:pPr>
              <w:spacing w:after="100" w:before="100"/>
            </w:pPr>
            <w:r>
              <w:rPr>
                <w:sz w:val="18"/>
              </w:rPr>
              <w:t>Cada unidad prepara sus formularios y evidencia desde el 1 de octubre; Gonzalo concentra entrevistas y decisiones comunes.</w:t>
            </w:r>
          </w:p>
        </w:tc>
      </w:tr>
      <w:tr>
        <w:trPr>
          <w:cantSplit/>
        </w:trPr>
        <w:tc>
          <w:tcPr>
            <w:tcW w:type="dxa" w:w="2880"/>
            <w:shd w:fill="F1F4F7"/>
          </w:tcPr>
          <w:p>
            <w:pPr>
              <w:spacing w:after="100" w:before="100"/>
            </w:pPr>
            <w:r>
              <w:rPr>
                <w:sz w:val="18"/>
              </w:rPr>
              <w:t>Núcleo reutilizable</w:t>
            </w:r>
          </w:p>
        </w:tc>
        <w:tc>
          <w:tcPr>
            <w:tcW w:type="dxa" w:w="6480"/>
            <w:shd w:fill="F1F4F7"/>
          </w:tcPr>
          <w:p>
            <w:pPr>
              <w:spacing w:after="100" w:before="100"/>
            </w:pPr>
            <w:r>
              <w:rPr>
                <w:sz w:val="18"/>
              </w:rPr>
              <w:t>Una identidad, agenda, gestión documental, permisos y auditoría sirven a todas las especialidades.</w:t>
            </w:r>
          </w:p>
        </w:tc>
      </w:tr>
      <w:tr>
        <w:trPr>
          <w:cantSplit/>
        </w:trPr>
        <w:tc>
          <w:tcPr>
            <w:tcW w:type="dxa" w:w="2880"/>
            <w:shd w:fill="FFFFFF"/>
          </w:tcPr>
          <w:p>
            <w:pPr>
              <w:spacing w:after="100" w:before="100"/>
            </w:pPr>
            <w:r>
              <w:rPr>
                <w:sz w:val="18"/>
              </w:rPr>
              <w:t>Paquetes de código de 2 a 4 horas</w:t>
            </w:r>
          </w:p>
        </w:tc>
        <w:tc>
          <w:tcPr>
            <w:tcW w:type="dxa" w:w="6480"/>
            <w:shd w:fill="FFFFFF"/>
          </w:tcPr>
          <w:p>
            <w:pPr>
              <w:spacing w:after="100" w:before="100"/>
            </w:pPr>
            <w:r>
              <w:rPr>
                <w:sz w:val="18"/>
              </w:rPr>
              <w:t>Codex implementa tareas acotadas; revisión e integración tienen tiempo y responsable propios.</w:t>
            </w:r>
          </w:p>
        </w:tc>
      </w:tr>
      <w:tr>
        <w:trPr>
          <w:cantSplit/>
        </w:trPr>
        <w:tc>
          <w:tcPr>
            <w:tcW w:type="dxa" w:w="2880"/>
            <w:shd w:fill="F1F4F7"/>
          </w:tcPr>
          <w:p>
            <w:pPr>
              <w:spacing w:after="100" w:before="100"/>
            </w:pPr>
            <w:r>
              <w:rPr>
                <w:sz w:val="18"/>
              </w:rPr>
              <w:t>Validación continua</w:t>
            </w:r>
          </w:p>
        </w:tc>
        <w:tc>
          <w:tcPr>
            <w:tcW w:type="dxa" w:w="6480"/>
            <w:shd w:fill="F1F4F7"/>
          </w:tcPr>
          <w:p>
            <w:pPr>
              <w:spacing w:after="100" w:before="100"/>
            </w:pPr>
            <w:r>
              <w:rPr>
                <w:sz w:val="18"/>
              </w:rPr>
              <w:t>Dos demostraciones semanales y revisión por unidad evitan acumular correcciones para diciembre.</w:t>
            </w:r>
          </w:p>
        </w:tc>
      </w:tr>
      <w:tr>
        <w:trPr>
          <w:cantSplit/>
        </w:trPr>
        <w:tc>
          <w:tcPr>
            <w:tcW w:type="dxa" w:w="2880"/>
            <w:shd w:fill="FFFFFF"/>
          </w:tcPr>
          <w:p>
            <w:pPr>
              <w:spacing w:after="100" w:before="100"/>
            </w:pPr>
            <w:r>
              <w:rPr>
                <w:sz w:val="18"/>
              </w:rPr>
              <w:t>Cumplimiento desde el arranque</w:t>
            </w:r>
          </w:p>
        </w:tc>
        <w:tc>
          <w:tcPr>
            <w:tcW w:type="dxa" w:w="6480"/>
            <w:shd w:fill="FFFFFF"/>
          </w:tcPr>
          <w:p>
            <w:pPr>
              <w:spacing w:after="100" w:before="100"/>
            </w:pPr>
            <w:r>
              <w:rPr>
                <w:sz w:val="18"/>
              </w:rPr>
              <w:t>Se identifica temprano cualquier trámite, adecuación o condición que limite la operación.</w:t>
            </w:r>
          </w:p>
        </w:tc>
      </w:tr>
    </w:tbl>
    <w:p>
      <w:pPr>
        <w:pStyle w:val="Heading3"/>
      </w:pPr>
      <w:r>
        <w:t>Alcance y decisiones</w:t>
      </w:r>
    </w:p>
    <w:p>
      <w:r>
        <w:t>Se mantiene el alcance funcional del plan. Las actividades condicionadas sólo se incorporan cuando existan realmente y queden confirmadas al 9 de octubre. Valladolid y Chetumal mantienen su incorporación posterior al levantamiento local. La captura histórica masiva, reemplazar contabilidad o nómina y generar indicaciones clínicas con IA conservan sus exclusiones originales.</w:t>
      </w:r>
    </w:p>
    <w:p>
      <w:r>
        <w:t>Dirección confirma responsables, disponibilidad y presupuesto el 1 y 2 de octubre. La fecha final depende de esos compromisos. C22 a C27 permiten medir viabilidad, resolver dudas con IA y corregir desviaciones; programar rápido no elimina las esperas de decisiones institucionales.</w:t>
      </w:r>
    </w:p>
    <w:p>
      <w:r>
        <w:br w:type="page"/>
      </w:r>
    </w:p>
    <w:p>
      <w:pPr>
        <w:pStyle w:val="Heading1"/>
      </w:pPr>
      <w:r>
        <w:t>C22 Trabajo simultáneo por unidad</w:t>
      </w:r>
    </w:p>
    <w:p>
      <w:r>
        <w:t>Todas las unidades entregan formatos, catálogo, volúmenes y evidencia inicial al 7 de octubre. Validan procesos críticos al 9 y excepciones al 16. Cada dueño nombra un suplente. Gonzalo coordina entregas de código escalonadas y los responsables preparan información y realizan pruebas en paralelo desde el 1 de octubre.</w:t>
      </w:r>
    </w:p>
    <w:tbl>
      <w:tblPr>
        <w:tblW w:type="auto" w:w="0"/>
        <w:tblLayout w:type="fixed"/>
        <w:tblLook w:firstColumn="1" w:firstRow="1" w:lastColumn="0" w:lastRow="0" w:noHBand="0" w:noVBand="1" w:val="04A0"/>
      </w:tblPr>
      <w:tblGrid>
        <w:gridCol w:w="2664"/>
        <w:gridCol w:w="4248"/>
        <w:gridCol w:w="2448"/>
      </w:tblGrid>
      <w:tr>
        <w:trPr>
          <w:cantSplit/>
          <w:tblHeader/>
        </w:trPr>
        <w:tc>
          <w:tcPr>
            <w:tcW w:type="dxa" w:w="2664"/>
            <w:shd w:fill="052148"/>
          </w:tcPr>
          <w:p>
            <w:pPr>
              <w:spacing w:after="100" w:before="100"/>
            </w:pPr>
            <w:r>
              <w:rPr>
                <w:b/>
                <w:color w:val="FFFFFF"/>
                <w:sz w:val="18"/>
              </w:rPr>
              <w:t>Unidad y responsable funcional</w:t>
            </w:r>
          </w:p>
        </w:tc>
        <w:tc>
          <w:tcPr>
            <w:tcW w:type="dxa" w:w="4248"/>
            <w:shd w:fill="052148"/>
          </w:tcPr>
          <w:p>
            <w:pPr>
              <w:spacing w:after="100" w:before="100"/>
            </w:pPr>
            <w:r>
              <w:rPr>
                <w:b/>
                <w:color w:val="FFFFFF"/>
                <w:sz w:val="18"/>
              </w:rPr>
              <w:t>Decisiones que deben quedar listas</w:t>
            </w:r>
          </w:p>
        </w:tc>
        <w:tc>
          <w:tcPr>
            <w:tcW w:type="dxa" w:w="2448"/>
            <w:shd w:fill="052148"/>
          </w:tcPr>
          <w:p>
            <w:pPr>
              <w:spacing w:after="100" w:before="100"/>
            </w:pPr>
            <w:r>
              <w:rPr>
                <w:b/>
                <w:color w:val="FFFFFF"/>
                <w:sz w:val="18"/>
              </w:rPr>
              <w:t>Ventana de módulo y piloto</w:t>
            </w:r>
          </w:p>
        </w:tc>
      </w:tr>
      <w:tr>
        <w:trPr>
          <w:cantSplit/>
        </w:trPr>
        <w:tc>
          <w:tcPr>
            <w:tcW w:type="dxa" w:w="2664"/>
            <w:shd w:fill="FFFFFF"/>
          </w:tcPr>
          <w:p>
            <w:pPr>
              <w:spacing w:after="100" w:before="100"/>
            </w:pPr>
            <w:r>
              <w:rPr>
                <w:sz w:val="18"/>
              </w:rPr>
              <w:t>Odontología</w:t>
              <w:br/>
              <w:t>Coordinación clínica</w:t>
            </w:r>
          </w:p>
        </w:tc>
        <w:tc>
          <w:tcPr>
            <w:tcW w:type="dxa" w:w="4248"/>
            <w:shd w:fill="FFFFFF"/>
          </w:tcPr>
          <w:p>
            <w:pPr>
              <w:spacing w:after="100" w:before="100"/>
            </w:pPr>
            <w:r>
              <w:rPr>
                <w:sz w:val="18"/>
              </w:rPr>
              <w:t>Odontograma, plan y presupuesto, supervisión, esterilización y recursos; clasificación de imágenes.</w:t>
            </w:r>
          </w:p>
        </w:tc>
        <w:tc>
          <w:tcPr>
            <w:tcW w:type="dxa" w:w="2448"/>
            <w:shd w:fill="FFFFFF"/>
          </w:tcPr>
          <w:p>
            <w:pPr>
              <w:spacing w:after="100" w:before="100"/>
            </w:pPr>
            <w:r>
              <w:rPr>
                <w:sz w:val="18"/>
              </w:rPr>
              <w:t>Módulo 12 a 23 oct.</w:t>
              <w:br/>
              <w:t>Piloto 26 oct a 6 nov.</w:t>
            </w:r>
          </w:p>
        </w:tc>
      </w:tr>
      <w:tr>
        <w:trPr>
          <w:cantSplit/>
        </w:trPr>
        <w:tc>
          <w:tcPr>
            <w:tcW w:type="dxa" w:w="2664"/>
            <w:shd w:fill="F1F4F7"/>
          </w:tcPr>
          <w:p>
            <w:pPr>
              <w:spacing w:after="100" w:before="100"/>
            </w:pPr>
            <w:r>
              <w:rPr>
                <w:sz w:val="18"/>
              </w:rPr>
              <w:t>Fisioterapia</w:t>
              <w:br/>
              <w:t>Coordinación de rehabilitación</w:t>
            </w:r>
          </w:p>
        </w:tc>
        <w:tc>
          <w:tcPr>
            <w:tcW w:type="dxa" w:w="4248"/>
            <w:shd w:fill="F1F4F7"/>
          </w:tcPr>
          <w:p>
            <w:pPr>
              <w:spacing w:after="100" w:before="100"/>
            </w:pPr>
            <w:r>
              <w:rPr>
                <w:sz w:val="18"/>
              </w:rPr>
              <w:t>Escalas, objetivos, sesiones, capacidad, paquetes y equipos.</w:t>
            </w:r>
          </w:p>
        </w:tc>
        <w:tc>
          <w:tcPr>
            <w:tcW w:type="dxa" w:w="2448"/>
            <w:shd w:fill="F1F4F7"/>
          </w:tcPr>
          <w:p>
            <w:pPr>
              <w:spacing w:after="100" w:before="100"/>
            </w:pPr>
            <w:r>
              <w:rPr>
                <w:sz w:val="18"/>
              </w:rPr>
              <w:t>Módulo 12 a 23 oct.</w:t>
              <w:br/>
              <w:t>Piloto 26 oct a 6 nov.</w:t>
            </w:r>
          </w:p>
        </w:tc>
      </w:tr>
      <w:tr>
        <w:trPr>
          <w:cantSplit/>
        </w:trPr>
        <w:tc>
          <w:tcPr>
            <w:tcW w:type="dxa" w:w="2664"/>
            <w:shd w:fill="FFFFFF"/>
          </w:tcPr>
          <w:p>
            <w:pPr>
              <w:spacing w:after="100" w:before="100"/>
            </w:pPr>
            <w:r>
              <w:rPr>
                <w:sz w:val="18"/>
              </w:rPr>
              <w:t>Nutrición</w:t>
              <w:br/>
              <w:t>Responsables de ambas sedes</w:t>
            </w:r>
          </w:p>
        </w:tc>
        <w:tc>
          <w:tcPr>
            <w:tcW w:type="dxa" w:w="4248"/>
            <w:shd w:fill="FFFFFF"/>
          </w:tcPr>
          <w:p>
            <w:pPr>
              <w:spacing w:after="100" w:before="100"/>
            </w:pPr>
            <w:r>
              <w:rPr>
                <w:sz w:val="18"/>
              </w:rPr>
              <w:t>Fórmulas, unidades, planes, cuotas y seguimiento.</w:t>
            </w:r>
          </w:p>
        </w:tc>
        <w:tc>
          <w:tcPr>
            <w:tcW w:type="dxa" w:w="2448"/>
            <w:shd w:fill="FFFFFF"/>
          </w:tcPr>
          <w:p>
            <w:pPr>
              <w:spacing w:after="100" w:before="100"/>
            </w:pPr>
            <w:r>
              <w:rPr>
                <w:sz w:val="18"/>
              </w:rPr>
              <w:t>Módulo 19 a 30 oct.</w:t>
              <w:br/>
              <w:t>Piloto 2 a 13 nov.</w:t>
            </w:r>
          </w:p>
        </w:tc>
      </w:tr>
      <w:tr>
        <w:trPr>
          <w:cantSplit/>
        </w:trPr>
        <w:tc>
          <w:tcPr>
            <w:tcW w:type="dxa" w:w="2664"/>
            <w:shd w:fill="F1F4F7"/>
          </w:tcPr>
          <w:p>
            <w:pPr>
              <w:spacing w:after="100" w:before="100"/>
            </w:pPr>
            <w:r>
              <w:rPr>
                <w:sz w:val="18"/>
              </w:rPr>
              <w:t>Psicología</w:t>
              <w:br/>
              <w:t>Coordinación y privacidad</w:t>
            </w:r>
          </w:p>
        </w:tc>
        <w:tc>
          <w:tcPr>
            <w:tcW w:type="dxa" w:w="4248"/>
            <w:shd w:fill="F1F4F7"/>
          </w:tcPr>
          <w:p>
            <w:pPr>
              <w:spacing w:after="100" w:before="100"/>
            </w:pPr>
            <w:r>
              <w:rPr>
                <w:sz w:val="18"/>
              </w:rPr>
              <w:t>Casos y participantes, acceso, representación, consentimiento y crisis.</w:t>
            </w:r>
          </w:p>
        </w:tc>
        <w:tc>
          <w:tcPr>
            <w:tcW w:type="dxa" w:w="2448"/>
            <w:shd w:fill="F1F4F7"/>
          </w:tcPr>
          <w:p>
            <w:pPr>
              <w:spacing w:after="100" w:before="100"/>
            </w:pPr>
            <w:r>
              <w:rPr>
                <w:sz w:val="18"/>
              </w:rPr>
              <w:t>Módulo 19 a 30 oct.</w:t>
              <w:br/>
              <w:t>Piloto 2 a 13 nov.</w:t>
            </w:r>
          </w:p>
        </w:tc>
      </w:tr>
      <w:tr>
        <w:trPr>
          <w:cantSplit/>
        </w:trPr>
        <w:tc>
          <w:tcPr>
            <w:tcW w:type="dxa" w:w="2664"/>
            <w:shd w:fill="FFFFFF"/>
          </w:tcPr>
          <w:p>
            <w:pPr>
              <w:spacing w:after="100" w:before="100"/>
            </w:pPr>
            <w:r>
              <w:rPr>
                <w:sz w:val="18"/>
              </w:rPr>
              <w:t>Deporte y readaptación</w:t>
              <w:br/>
              <w:t>Responsable del laboratorio</w:t>
            </w:r>
          </w:p>
        </w:tc>
        <w:tc>
          <w:tcPr>
            <w:tcW w:type="dxa" w:w="4248"/>
            <w:shd w:fill="FFFFFF"/>
          </w:tcPr>
          <w:p>
            <w:pPr>
              <w:spacing w:after="100" w:before="100"/>
            </w:pPr>
            <w:r>
              <w:rPr>
                <w:sz w:val="18"/>
              </w:rPr>
              <w:t>Pruebas reales, variables, informes, recursos y referencias.</w:t>
            </w:r>
          </w:p>
        </w:tc>
        <w:tc>
          <w:tcPr>
            <w:tcW w:type="dxa" w:w="2448"/>
            <w:shd w:fill="FFFFFF"/>
          </w:tcPr>
          <w:p>
            <w:pPr>
              <w:spacing w:after="100" w:before="100"/>
            </w:pPr>
            <w:r>
              <w:rPr>
                <w:sz w:val="18"/>
              </w:rPr>
              <w:t>Módulo 26 oct a 6 nov.</w:t>
              <w:br/>
              <w:t>Piloto 9 a 20 nov.</w:t>
            </w:r>
          </w:p>
        </w:tc>
      </w:tr>
      <w:tr>
        <w:trPr>
          <w:cantSplit/>
        </w:trPr>
        <w:tc>
          <w:tcPr>
            <w:tcW w:type="dxa" w:w="2664"/>
            <w:shd w:fill="F1F4F7"/>
          </w:tcPr>
          <w:p>
            <w:pPr>
              <w:spacing w:after="100" w:before="100"/>
            </w:pPr>
            <w:r>
              <w:rPr>
                <w:sz w:val="18"/>
              </w:rPr>
              <w:t>UAPS y prevención</w:t>
              <w:br/>
              <w:t>Responsable sanitario</w:t>
            </w:r>
          </w:p>
        </w:tc>
        <w:tc>
          <w:tcPr>
            <w:tcW w:type="dxa" w:w="4248"/>
            <w:shd w:fill="F1F4F7"/>
          </w:tcPr>
          <w:p>
            <w:pPr>
              <w:spacing w:after="100" w:before="100"/>
            </w:pPr>
            <w:r>
              <w:rPr>
                <w:sz w:val="18"/>
              </w:rPr>
              <w:t>Actos autorizados, notas, derivación y notificación según actividad.</w:t>
            </w:r>
          </w:p>
        </w:tc>
        <w:tc>
          <w:tcPr>
            <w:tcW w:type="dxa" w:w="2448"/>
            <w:shd w:fill="F1F4F7"/>
          </w:tcPr>
          <w:p>
            <w:pPr>
              <w:spacing w:after="100" w:before="100"/>
            </w:pPr>
            <w:r>
              <w:rPr>
                <w:sz w:val="18"/>
              </w:rPr>
              <w:t>Módulo 26 oct a 6 nov.</w:t>
              <w:br/>
              <w:t>Piloto 9 a 20 nov.</w:t>
            </w:r>
          </w:p>
        </w:tc>
      </w:tr>
      <w:tr>
        <w:trPr>
          <w:cantSplit/>
        </w:trPr>
        <w:tc>
          <w:tcPr>
            <w:tcW w:type="dxa" w:w="2664"/>
            <w:shd w:fill="FFFFFF"/>
          </w:tcPr>
          <w:p>
            <w:pPr>
              <w:spacing w:after="100" w:before="100"/>
            </w:pPr>
            <w:r>
              <w:rPr>
                <w:sz w:val="18"/>
              </w:rPr>
              <w:t>Comunidad laboral y educativa</w:t>
              <w:br/>
              <w:t>Vinculación y La Casita</w:t>
            </w:r>
          </w:p>
        </w:tc>
        <w:tc>
          <w:tcPr>
            <w:tcW w:type="dxa" w:w="4248"/>
            <w:shd w:fill="FFFFFF"/>
          </w:tcPr>
          <w:p>
            <w:pPr>
              <w:spacing w:after="100" w:before="100"/>
            </w:pPr>
            <w:r>
              <w:rPr>
                <w:sz w:val="18"/>
              </w:rPr>
              <w:t>Convenios, jornadas, sedes, cuotas, participantes y datos autorizados.</w:t>
            </w:r>
          </w:p>
        </w:tc>
        <w:tc>
          <w:tcPr>
            <w:tcW w:type="dxa" w:w="2448"/>
            <w:shd w:fill="FFFFFF"/>
          </w:tcPr>
          <w:p>
            <w:pPr>
              <w:spacing w:after="100" w:before="100"/>
            </w:pPr>
            <w:r>
              <w:rPr>
                <w:sz w:val="18"/>
              </w:rPr>
              <w:t>Módulo 26 oct a 6 nov.</w:t>
              <w:br/>
              <w:t>Piloto 9 a 20 nov.</w:t>
            </w:r>
          </w:p>
        </w:tc>
      </w:tr>
      <w:tr>
        <w:trPr>
          <w:cantSplit/>
        </w:trPr>
        <w:tc>
          <w:tcPr>
            <w:tcW w:type="dxa" w:w="2664"/>
            <w:shd w:fill="F1F4F7"/>
          </w:tcPr>
          <w:p>
            <w:pPr>
              <w:spacing w:after="100" w:before="100"/>
            </w:pPr>
            <w:r>
              <w:rPr>
                <w:sz w:val="18"/>
              </w:rPr>
              <w:t>Jurídico</w:t>
              <w:br/>
              <w:t>Responsable del despacho</w:t>
            </w:r>
          </w:p>
        </w:tc>
        <w:tc>
          <w:tcPr>
            <w:tcW w:type="dxa" w:w="4248"/>
            <w:shd w:fill="F1F4F7"/>
          </w:tcPr>
          <w:p>
            <w:pPr>
              <w:spacing w:after="100" w:before="100"/>
            </w:pPr>
            <w:r>
              <w:rPr>
                <w:sz w:val="18"/>
              </w:rPr>
              <w:t>Confirmar inclusión, conflicto de intereses, facultades, plazos y archivos separados.</w:t>
            </w:r>
          </w:p>
        </w:tc>
        <w:tc>
          <w:tcPr>
            <w:tcW w:type="dxa" w:w="2448"/>
            <w:shd w:fill="F1F4F7"/>
          </w:tcPr>
          <w:p>
            <w:pPr>
              <w:spacing w:after="100" w:before="100"/>
            </w:pPr>
            <w:r>
              <w:rPr>
                <w:sz w:val="18"/>
              </w:rPr>
              <w:t>Módulo 26 oct a 6 nov.</w:t>
              <w:br/>
              <w:t>Piloto 9 a 20 nov.</w:t>
            </w:r>
          </w:p>
        </w:tc>
      </w:tr>
      <w:tr>
        <w:trPr>
          <w:cantSplit/>
        </w:trPr>
        <w:tc>
          <w:tcPr>
            <w:tcW w:type="dxa" w:w="2664"/>
            <w:shd w:fill="FFFFFF"/>
          </w:tcPr>
          <w:p>
            <w:pPr>
              <w:spacing w:after="100" w:before="100"/>
            </w:pPr>
            <w:r>
              <w:rPr>
                <w:sz w:val="18"/>
              </w:rPr>
              <w:t>Administración docencia y recursos</w:t>
              <w:br/>
              <w:t>Enlaces de cada área</w:t>
            </w:r>
          </w:p>
        </w:tc>
        <w:tc>
          <w:tcPr>
            <w:tcW w:type="dxa" w:w="4248"/>
            <w:shd w:fill="FFFFFF"/>
          </w:tcPr>
          <w:p>
            <w:pPr>
              <w:spacing w:after="100" w:before="100"/>
            </w:pPr>
            <w:r>
              <w:rPr>
                <w:sz w:val="18"/>
              </w:rPr>
              <w:t>Tarifas, saldos, proveedor fiscal, rotaciones, inventario y mantenimiento.</w:t>
            </w:r>
          </w:p>
        </w:tc>
        <w:tc>
          <w:tcPr>
            <w:tcW w:type="dxa" w:w="2448"/>
            <w:shd w:fill="FFFFFF"/>
          </w:tcPr>
          <w:p>
            <w:pPr>
              <w:spacing w:after="100" w:before="100"/>
            </w:pPr>
            <w:r>
              <w:rPr>
                <w:sz w:val="18"/>
              </w:rPr>
              <w:t>Núcleo 1 a 9 oct; integración 19 oct a 13 nov. Pilotos 26 oct a 20 nov.</w:t>
            </w:r>
          </w:p>
        </w:tc>
      </w:tr>
    </w:tbl>
    <w:p>
      <w:pPr>
        <w:pStyle w:val="Heading3"/>
      </w:pPr>
      <w:r>
        <w:t>Regla de salida de cada piloto</w:t>
      </w:r>
    </w:p>
    <w:p>
      <w:r>
        <w:t>El responsable ejecuta un caso normal y dos excepciones, comprueba documentos, permisos y saldos que le correspondan y registra resultados. Puede comenzar antes de concluir otras unidades si dispone del núcleo común y cumple C18. Usar un entorno de prueba con datos anonimizados; la atención real requiere autorización expresa del servicio.</w:t>
      </w:r>
    </w:p>
    <w:p>
      <w:r>
        <w:t>La fecha común del 20 de noviembre reserva tiempo para integrar referencias entre unidades. Una unidad aprobada conserva su acta; los cambios posteriores que afecten sus reglas obligan a repetir las pruebas afectadas. El 27 de noviembre se cierra la aceptación funcional consolidada.</w:t>
      </w:r>
    </w:p>
    <w:p>
      <w:r>
        <w:br w:type="page"/>
      </w:r>
    </w:p>
    <w:p>
      <w:pPr>
        <w:pStyle w:val="Heading1"/>
      </w:pPr>
      <w:r>
        <w:t>C23 Hitos dependencias y ruta crítica</w:t>
      </w:r>
    </w:p>
    <w:p>
      <w:r>
        <w:t>El avance se mide por entregas aceptadas. Las fechas son de 2026 y no presuponen trabajo en fines de semana. La disponibilidad institucional, días no laborables y ausencias se confirman en el arranque y se absorben dentro de la capacidad o se reasignan antes de comprometer citas de validación.</w:t>
      </w:r>
    </w:p>
    <w:tbl>
      <w:tblPr>
        <w:tblW w:type="auto" w:w="0"/>
        <w:tblLayout w:type="fixed"/>
        <w:tblLook w:firstColumn="1" w:firstRow="1" w:lastColumn="0" w:lastRow="0" w:noHBand="0" w:noVBand="1" w:val="04A0"/>
      </w:tblPr>
      <w:tblGrid>
        <w:gridCol w:w="1152"/>
        <w:gridCol w:w="4464"/>
        <w:gridCol w:w="3744"/>
      </w:tblGrid>
      <w:tr>
        <w:trPr>
          <w:cantSplit/>
          <w:tblHeader/>
        </w:trPr>
        <w:tc>
          <w:tcPr>
            <w:tcW w:type="dxa" w:w="1152"/>
            <w:shd w:fill="052148"/>
          </w:tcPr>
          <w:p>
            <w:pPr>
              <w:spacing w:after="100" w:before="100"/>
            </w:pPr>
            <w:r>
              <w:rPr>
                <w:b/>
                <w:color w:val="FFFFFF"/>
                <w:sz w:val="18"/>
              </w:rPr>
              <w:t>Fecha límite</w:t>
            </w:r>
          </w:p>
        </w:tc>
        <w:tc>
          <w:tcPr>
            <w:tcW w:type="dxa" w:w="4464"/>
            <w:shd w:fill="052148"/>
          </w:tcPr>
          <w:p>
            <w:pPr>
              <w:spacing w:after="100" w:before="100"/>
            </w:pPr>
            <w:r>
              <w:rPr>
                <w:b/>
                <w:color w:val="FFFFFF"/>
                <w:sz w:val="18"/>
              </w:rPr>
              <w:t>Entregable verificable</w:t>
            </w:r>
          </w:p>
        </w:tc>
        <w:tc>
          <w:tcPr>
            <w:tcW w:type="dxa" w:w="3744"/>
            <w:shd w:fill="052148"/>
          </w:tcPr>
          <w:p>
            <w:pPr>
              <w:spacing w:after="100" w:before="100"/>
            </w:pPr>
            <w:r>
              <w:rPr>
                <w:b/>
                <w:color w:val="FFFFFF"/>
                <w:sz w:val="18"/>
              </w:rPr>
              <w:t>Responsable y dependencia</w:t>
            </w:r>
          </w:p>
        </w:tc>
      </w:tr>
      <w:tr>
        <w:trPr>
          <w:cantSplit/>
        </w:trPr>
        <w:tc>
          <w:tcPr>
            <w:tcW w:type="dxa" w:w="1152"/>
            <w:shd w:fill="FFFFFF"/>
          </w:tcPr>
          <w:p>
            <w:pPr>
              <w:spacing w:after="100" w:before="100"/>
            </w:pPr>
            <w:r>
              <w:rPr>
                <w:sz w:val="18"/>
              </w:rPr>
              <w:t>2 oct</w:t>
            </w:r>
          </w:p>
        </w:tc>
        <w:tc>
          <w:tcPr>
            <w:tcW w:type="dxa" w:w="4464"/>
            <w:shd w:fill="FFFFFF"/>
          </w:tcPr>
          <w:p>
            <w:pPr>
              <w:spacing w:after="100" w:before="100"/>
            </w:pPr>
            <w:r>
              <w:rPr>
                <w:sz w:val="18"/>
              </w:rPr>
              <w:t>Alcance, enlaces, suplentes y tiempo reservado</w:t>
            </w:r>
          </w:p>
        </w:tc>
        <w:tc>
          <w:tcPr>
            <w:tcW w:type="dxa" w:w="3744"/>
            <w:shd w:fill="FFFFFF"/>
          </w:tcPr>
          <w:p>
            <w:pPr>
              <w:spacing w:after="100" w:before="100"/>
            </w:pPr>
            <w:r>
              <w:rPr>
                <w:sz w:val="18"/>
              </w:rPr>
              <w:t>Dirección. Habilita entrevistas y decisiones.</w:t>
            </w:r>
          </w:p>
        </w:tc>
      </w:tr>
      <w:tr>
        <w:trPr>
          <w:cantSplit/>
        </w:trPr>
        <w:tc>
          <w:tcPr>
            <w:tcW w:type="dxa" w:w="1152"/>
            <w:shd w:fill="F1F4F7"/>
          </w:tcPr>
          <w:p>
            <w:pPr>
              <w:spacing w:after="100" w:before="100"/>
            </w:pPr>
            <w:r>
              <w:rPr>
                <w:sz w:val="18"/>
              </w:rPr>
              <w:t>7 oct</w:t>
            </w:r>
          </w:p>
        </w:tc>
        <w:tc>
          <w:tcPr>
            <w:tcW w:type="dxa" w:w="4464"/>
            <w:shd w:fill="F1F4F7"/>
          </w:tcPr>
          <w:p>
            <w:pPr>
              <w:spacing w:after="100" w:before="100"/>
            </w:pPr>
            <w:r>
              <w:rPr>
                <w:sz w:val="18"/>
              </w:rPr>
              <w:t>Formatos de todas las unidades e inventario de dependencias</w:t>
            </w:r>
          </w:p>
        </w:tc>
        <w:tc>
          <w:tcPr>
            <w:tcW w:type="dxa" w:w="3744"/>
            <w:shd w:fill="F1F4F7"/>
          </w:tcPr>
          <w:p>
            <w:pPr>
              <w:spacing w:after="100" w:before="100"/>
            </w:pPr>
            <w:r>
              <w:rPr>
                <w:sz w:val="18"/>
              </w:rPr>
              <w:t>Unidades, TI y Jurídico. Incluye proveedores, permisos y equipos.</w:t>
            </w:r>
          </w:p>
        </w:tc>
      </w:tr>
      <w:tr>
        <w:trPr>
          <w:cantSplit/>
        </w:trPr>
        <w:tc>
          <w:tcPr>
            <w:tcW w:type="dxa" w:w="1152"/>
            <w:shd w:fill="FFFFFF"/>
          </w:tcPr>
          <w:p>
            <w:pPr>
              <w:spacing w:after="100" w:before="100"/>
            </w:pPr>
            <w:r>
              <w:rPr>
                <w:sz w:val="18"/>
              </w:rPr>
              <w:t>9 oct</w:t>
            </w:r>
          </w:p>
        </w:tc>
        <w:tc>
          <w:tcPr>
            <w:tcW w:type="dxa" w:w="4464"/>
            <w:shd w:fill="FFFFFF"/>
          </w:tcPr>
          <w:p>
            <w:pPr>
              <w:spacing w:after="100" w:before="100"/>
            </w:pPr>
            <w:r>
              <w:rPr>
                <w:sz w:val="18"/>
              </w:rPr>
              <w:t>Procesos críticos, modelo común y ruta de expediente y firma</w:t>
            </w:r>
          </w:p>
        </w:tc>
        <w:tc>
          <w:tcPr>
            <w:tcW w:type="dxa" w:w="3744"/>
            <w:shd w:fill="FFFFFF"/>
          </w:tcPr>
          <w:p>
            <w:pPr>
              <w:spacing w:after="100" w:before="100"/>
            </w:pPr>
            <w:r>
              <w:rPr>
                <w:sz w:val="18"/>
              </w:rPr>
              <w:t>Gonzalo y validadores. Primera medición real de capacidad.</w:t>
            </w:r>
          </w:p>
        </w:tc>
      </w:tr>
      <w:tr>
        <w:trPr>
          <w:cantSplit/>
        </w:trPr>
        <w:tc>
          <w:tcPr>
            <w:tcW w:type="dxa" w:w="1152"/>
            <w:shd w:fill="F1F4F7"/>
          </w:tcPr>
          <w:p>
            <w:pPr>
              <w:spacing w:after="100" w:before="100"/>
            </w:pPr>
            <w:r>
              <w:rPr>
                <w:sz w:val="18"/>
              </w:rPr>
              <w:t>16 oct</w:t>
            </w:r>
          </w:p>
        </w:tc>
        <w:tc>
          <w:tcPr>
            <w:tcW w:type="dxa" w:w="4464"/>
            <w:shd w:fill="F1F4F7"/>
          </w:tcPr>
          <w:p>
            <w:pPr>
              <w:spacing w:after="100" w:before="100"/>
            </w:pPr>
            <w:r>
              <w:rPr>
                <w:sz w:val="18"/>
              </w:rPr>
              <w:t>Matriz normativa inicial y excepciones aprobadas</w:t>
            </w:r>
          </w:p>
        </w:tc>
        <w:tc>
          <w:tcPr>
            <w:tcW w:type="dxa" w:w="3744"/>
            <w:shd w:fill="F1F4F7"/>
          </w:tcPr>
          <w:p>
            <w:pPr>
              <w:spacing w:after="100" w:before="100"/>
            </w:pPr>
            <w:r>
              <w:rPr>
                <w:sz w:val="18"/>
              </w:rPr>
              <w:t>Sanitario, Jurídico y unidades. Requisitos listos para pilotos.</w:t>
            </w:r>
          </w:p>
        </w:tc>
      </w:tr>
      <w:tr>
        <w:trPr>
          <w:cantSplit/>
        </w:trPr>
        <w:tc>
          <w:tcPr>
            <w:tcW w:type="dxa" w:w="1152"/>
            <w:shd w:fill="FFFFFF"/>
          </w:tcPr>
          <w:p>
            <w:pPr>
              <w:spacing w:after="100" w:before="100"/>
            </w:pPr>
            <w:r>
              <w:rPr>
                <w:sz w:val="18"/>
              </w:rPr>
              <w:t>23 oct</w:t>
            </w:r>
          </w:p>
        </w:tc>
        <w:tc>
          <w:tcPr>
            <w:tcW w:type="dxa" w:w="4464"/>
            <w:shd w:fill="FFFFFF"/>
          </w:tcPr>
          <w:p>
            <w:pPr>
              <w:spacing w:after="100" w:before="100"/>
            </w:pPr>
            <w:r>
              <w:rPr>
                <w:sz w:val="18"/>
              </w:rPr>
              <w:t>Núcleo probado y autorización de primeros pilotos</w:t>
            </w:r>
          </w:p>
        </w:tc>
        <w:tc>
          <w:tcPr>
            <w:tcW w:type="dxa" w:w="3744"/>
            <w:shd w:fill="FFFFFF"/>
          </w:tcPr>
          <w:p>
            <w:pPr>
              <w:spacing w:after="100" w:before="100"/>
            </w:pPr>
            <w:r>
              <w:rPr>
                <w:sz w:val="18"/>
              </w:rPr>
              <w:t>TI, recepción y unidades. Permisos y contingencia verificados.</w:t>
            </w:r>
          </w:p>
        </w:tc>
      </w:tr>
      <w:tr>
        <w:trPr>
          <w:cantSplit/>
        </w:trPr>
        <w:tc>
          <w:tcPr>
            <w:tcW w:type="dxa" w:w="1152"/>
            <w:shd w:fill="F1F4F7"/>
          </w:tcPr>
          <w:p>
            <w:pPr>
              <w:spacing w:after="100" w:before="100"/>
            </w:pPr>
            <w:r>
              <w:rPr>
                <w:sz w:val="18"/>
              </w:rPr>
              <w:t>6 nov</w:t>
            </w:r>
          </w:p>
        </w:tc>
        <w:tc>
          <w:tcPr>
            <w:tcW w:type="dxa" w:w="4464"/>
            <w:shd w:fill="F1F4F7"/>
          </w:tcPr>
          <w:p>
            <w:pPr>
              <w:spacing w:after="100" w:before="100"/>
            </w:pPr>
            <w:r>
              <w:rPr>
                <w:sz w:val="18"/>
              </w:rPr>
              <w:t>Funciones especializadas disponibles para todas las unidades</w:t>
            </w:r>
          </w:p>
        </w:tc>
        <w:tc>
          <w:tcPr>
            <w:tcW w:type="dxa" w:w="3744"/>
            <w:shd w:fill="F1F4F7"/>
          </w:tcPr>
          <w:p>
            <w:pPr>
              <w:spacing w:after="100" w:before="100"/>
            </w:pPr>
            <w:r>
              <w:rPr>
                <w:sz w:val="18"/>
              </w:rPr>
              <w:t>Gonzalo. Casos y reglas previamente aprobados.</w:t>
            </w:r>
          </w:p>
        </w:tc>
      </w:tr>
      <w:tr>
        <w:trPr>
          <w:cantSplit/>
        </w:trPr>
        <w:tc>
          <w:tcPr>
            <w:tcW w:type="dxa" w:w="1152"/>
            <w:shd w:fill="FFFFFF"/>
          </w:tcPr>
          <w:p>
            <w:pPr>
              <w:spacing w:after="100" w:before="100"/>
            </w:pPr>
            <w:r>
              <w:rPr>
                <w:sz w:val="18"/>
              </w:rPr>
              <w:t>13 nov</w:t>
            </w:r>
          </w:p>
        </w:tc>
        <w:tc>
          <w:tcPr>
            <w:tcW w:type="dxa" w:w="4464"/>
            <w:shd w:fill="FFFFFF"/>
          </w:tcPr>
          <w:p>
            <w:pPr>
              <w:spacing w:after="100" w:before="100"/>
            </w:pPr>
            <w:r>
              <w:rPr>
                <w:sz w:val="18"/>
              </w:rPr>
              <w:t>Integraciones operativas y ensayo de migración de muestra</w:t>
            </w:r>
          </w:p>
        </w:tc>
        <w:tc>
          <w:tcPr>
            <w:tcW w:type="dxa" w:w="3744"/>
            <w:shd w:fill="FFFFFF"/>
          </w:tcPr>
          <w:p>
            <w:pPr>
              <w:spacing w:after="100" w:before="100"/>
            </w:pPr>
            <w:r>
              <w:rPr>
                <w:sz w:val="18"/>
              </w:rPr>
              <w:t>TI y Finanzas. Proveedores y datos preparados.</w:t>
            </w:r>
          </w:p>
        </w:tc>
      </w:tr>
      <w:tr>
        <w:trPr>
          <w:cantSplit/>
        </w:trPr>
        <w:tc>
          <w:tcPr>
            <w:tcW w:type="dxa" w:w="1152"/>
            <w:shd w:fill="F1F4F7"/>
          </w:tcPr>
          <w:p>
            <w:pPr>
              <w:spacing w:after="100" w:before="100"/>
            </w:pPr>
            <w:r>
              <w:rPr>
                <w:sz w:val="18"/>
              </w:rPr>
              <w:t>20 nov</w:t>
            </w:r>
          </w:p>
        </w:tc>
        <w:tc>
          <w:tcPr>
            <w:tcW w:type="dxa" w:w="4464"/>
            <w:shd w:fill="F1F4F7"/>
          </w:tcPr>
          <w:p>
            <w:pPr>
              <w:spacing w:after="100" w:before="100"/>
            </w:pPr>
            <w:r>
              <w:rPr>
                <w:sz w:val="18"/>
              </w:rPr>
              <w:t>Todos los servicios integrados y pilotos concluidos</w:t>
            </w:r>
          </w:p>
        </w:tc>
        <w:tc>
          <w:tcPr>
            <w:tcW w:type="dxa" w:w="3744"/>
            <w:shd w:fill="F1F4F7"/>
          </w:tcPr>
          <w:p>
            <w:pPr>
              <w:spacing w:after="100" w:before="100"/>
            </w:pPr>
            <w:r>
              <w:rPr>
                <w:sz w:val="18"/>
              </w:rPr>
              <w:t>Cada unidad y Gonzalo. Referencias y permisos cruzados probados.</w:t>
            </w:r>
          </w:p>
        </w:tc>
      </w:tr>
      <w:tr>
        <w:trPr>
          <w:cantSplit/>
        </w:trPr>
        <w:tc>
          <w:tcPr>
            <w:tcW w:type="dxa" w:w="1152"/>
            <w:shd w:fill="FFFFFF"/>
          </w:tcPr>
          <w:p>
            <w:pPr>
              <w:spacing w:after="100" w:before="100"/>
            </w:pPr>
            <w:r>
              <w:rPr>
                <w:sz w:val="18"/>
              </w:rPr>
              <w:t>27 nov</w:t>
            </w:r>
          </w:p>
        </w:tc>
        <w:tc>
          <w:tcPr>
            <w:tcW w:type="dxa" w:w="4464"/>
            <w:shd w:fill="FFFFFF"/>
          </w:tcPr>
          <w:p>
            <w:pPr>
              <w:spacing w:after="100" w:before="100"/>
            </w:pPr>
            <w:r>
              <w:rPr>
                <w:sz w:val="18"/>
              </w:rPr>
              <w:t>Aceptación funcional y congelación de nuevas funciones</w:t>
            </w:r>
          </w:p>
        </w:tc>
        <w:tc>
          <w:tcPr>
            <w:tcW w:type="dxa" w:w="3744"/>
            <w:shd w:fill="FFFFFF"/>
          </w:tcPr>
          <w:p>
            <w:pPr>
              <w:spacing w:after="100" w:before="100"/>
            </w:pPr>
            <w:r>
              <w:rPr>
                <w:sz w:val="18"/>
              </w:rPr>
              <w:t>Dirección y unidades. Cero defectos críticos pendientes.</w:t>
            </w:r>
          </w:p>
        </w:tc>
      </w:tr>
      <w:tr>
        <w:trPr>
          <w:cantSplit/>
        </w:trPr>
        <w:tc>
          <w:tcPr>
            <w:tcW w:type="dxa" w:w="1152"/>
            <w:shd w:fill="F1F4F7"/>
          </w:tcPr>
          <w:p>
            <w:pPr>
              <w:spacing w:after="100" w:before="100"/>
            </w:pPr>
            <w:r>
              <w:rPr>
                <w:sz w:val="18"/>
              </w:rPr>
              <w:t>4 dic</w:t>
            </w:r>
          </w:p>
        </w:tc>
        <w:tc>
          <w:tcPr>
            <w:tcW w:type="dxa" w:w="4464"/>
            <w:shd w:fill="F1F4F7"/>
          </w:tcPr>
          <w:p>
            <w:pPr>
              <w:spacing w:after="100" w:before="100"/>
            </w:pPr>
            <w:r>
              <w:rPr>
                <w:sz w:val="18"/>
              </w:rPr>
              <w:t>Carga final ensayada, restauración y capacitación acreditadas</w:t>
            </w:r>
          </w:p>
        </w:tc>
        <w:tc>
          <w:tcPr>
            <w:tcW w:type="dxa" w:w="3744"/>
            <w:shd w:fill="F1F4F7"/>
          </w:tcPr>
          <w:p>
            <w:pPr>
              <w:spacing w:after="100" w:before="100"/>
            </w:pPr>
            <w:r>
              <w:rPr>
                <w:sz w:val="18"/>
              </w:rPr>
              <w:t>TI y enlaces. Decisión documentada de salida.</w:t>
            </w:r>
          </w:p>
        </w:tc>
      </w:tr>
      <w:tr>
        <w:trPr>
          <w:cantSplit/>
        </w:trPr>
        <w:tc>
          <w:tcPr>
            <w:tcW w:type="dxa" w:w="1152"/>
            <w:shd w:fill="FFFFFF"/>
          </w:tcPr>
          <w:p>
            <w:pPr>
              <w:spacing w:after="100" w:before="100"/>
            </w:pPr>
            <w:r>
              <w:rPr>
                <w:sz w:val="18"/>
              </w:rPr>
              <w:t>7 a 11 dic</w:t>
            </w:r>
          </w:p>
        </w:tc>
        <w:tc>
          <w:tcPr>
            <w:tcW w:type="dxa" w:w="4464"/>
            <w:shd w:fill="FFFFFF"/>
          </w:tcPr>
          <w:p>
            <w:pPr>
              <w:spacing w:after="100" w:before="100"/>
            </w:pPr>
            <w:r>
              <w:rPr>
                <w:sz w:val="18"/>
              </w:rPr>
              <w:t>Operación gradual y estabilización</w:t>
            </w:r>
          </w:p>
        </w:tc>
        <w:tc>
          <w:tcPr>
            <w:tcW w:type="dxa" w:w="3744"/>
            <w:shd w:fill="FFFFFF"/>
          </w:tcPr>
          <w:p>
            <w:pPr>
              <w:spacing w:after="100" w:before="100"/>
            </w:pPr>
            <w:r>
              <w:rPr>
                <w:sz w:val="18"/>
              </w:rPr>
              <w:t>Operación y soporte. Se conserva contingencia y registro oficial.</w:t>
            </w:r>
          </w:p>
        </w:tc>
      </w:tr>
      <w:tr>
        <w:trPr>
          <w:cantSplit/>
        </w:trPr>
        <w:tc>
          <w:tcPr>
            <w:tcW w:type="dxa" w:w="1152"/>
            <w:shd w:fill="F1F4F7"/>
          </w:tcPr>
          <w:p>
            <w:pPr>
              <w:spacing w:after="100" w:before="100"/>
            </w:pPr>
            <w:r>
              <w:rPr>
                <w:sz w:val="18"/>
              </w:rPr>
              <w:t>15 dic</w:t>
            </w:r>
          </w:p>
        </w:tc>
        <w:tc>
          <w:tcPr>
            <w:tcW w:type="dxa" w:w="4464"/>
            <w:shd w:fill="F1F4F7"/>
          </w:tcPr>
          <w:p>
            <w:pPr>
              <w:spacing w:after="100" w:before="100"/>
            </w:pPr>
            <w:r>
              <w:rPr>
                <w:sz w:val="18"/>
              </w:rPr>
              <w:t>Acta final, soporte asignado y pendientes menores calendarizados</w:t>
            </w:r>
          </w:p>
        </w:tc>
        <w:tc>
          <w:tcPr>
            <w:tcW w:type="dxa" w:w="3744"/>
            <w:shd w:fill="F1F4F7"/>
          </w:tcPr>
          <w:p>
            <w:pPr>
              <w:spacing w:after="100" w:before="100"/>
            </w:pPr>
            <w:r>
              <w:rPr>
                <w:sz w:val="18"/>
              </w:rPr>
              <w:t>Dirección y responsables. Evidencia completa de aceptación.</w:t>
            </w:r>
          </w:p>
        </w:tc>
      </w:tr>
    </w:tbl>
    <w:p>
      <w:pPr>
        <w:pStyle w:val="Heading3"/>
      </w:pPr>
      <w:r>
        <w:t>Dependencias que fijan la fecha</w:t>
      </w:r>
    </w:p>
    <w:p>
      <w:r>
        <w:t>Reglas de identidad y acceso → núcleo común → módulos por especialidad → pruebas entre unidades → ensayo de carga y restauración → operación. La ruta normativa corre en paralelo antes del uso clínico oficial. Finanzas y TI confirman disponibilidad de proveedores al 7 de octubre; el gestor de C27 apoya el levantamiento desde la primera semana.</w:t>
      </w:r>
    </w:p>
    <w:p>
      <w:r>
        <w:t>Cada dependencia externa tendrá dueño, evidencia solicitada, fecha estimada del tercero y alternativa operativa autorizada. Al 9 de octubre se documentará si cabe dentro del calendario. Si se necesita una evaluación o trámite sin fecha compatible, se reporta inmediatamente el impacto sobre la meta integral.</w:t>
      </w:r>
    </w:p>
    <w:p>
      <w:r>
        <w:br w:type="page"/>
      </w:r>
    </w:p>
    <w:p>
      <w:pPr>
        <w:pStyle w:val="Heading1"/>
      </w:pPr>
      <w:r>
        <w:t>C24 Capacidad y bloques de trabajo con Codex</w:t>
      </w:r>
    </w:p>
    <w:p>
      <w:r>
        <w:t>Capacidad provisional de Gonzalo: 16 horas el 1 y 2 de octubre; 32 semanales durante diez semanas del 5 de octubre al 11 de diciembre, equivalentes a 320; y 18 el 14 y 15 de diciembre. Total: 354 horas. No hay actividades previas al 1 de octubre. Confirmar disponibilidad y ausencias; reestimar el alcance adicional de IA el 9 de octubre.</w:t>
      </w:r>
    </w:p>
    <w:tbl>
      <w:tblPr>
        <w:tblW w:type="auto" w:w="0"/>
        <w:tblLayout w:type="fixed"/>
        <w:tblLook w:firstColumn="1" w:firstRow="1" w:lastColumn="0" w:lastRow="0" w:noHBand="0" w:noVBand="1" w:val="04A0"/>
      </w:tblPr>
      <w:tblGrid>
        <w:gridCol w:w="4392"/>
        <w:gridCol w:w="936"/>
        <w:gridCol w:w="4032"/>
      </w:tblGrid>
      <w:tr>
        <w:trPr>
          <w:cantSplit/>
          <w:tblHeader/>
        </w:trPr>
        <w:tc>
          <w:tcPr>
            <w:tcW w:type="dxa" w:w="4392"/>
            <w:shd w:fill="052148"/>
          </w:tcPr>
          <w:p>
            <w:pPr>
              <w:spacing w:after="100" w:before="100"/>
            </w:pPr>
            <w:r>
              <w:rPr>
                <w:b/>
                <w:color w:val="FFFFFF"/>
                <w:sz w:val="18"/>
              </w:rPr>
              <w:t>Actividad de Gonzalo</w:t>
            </w:r>
          </w:p>
        </w:tc>
        <w:tc>
          <w:tcPr>
            <w:tcW w:type="dxa" w:w="936"/>
            <w:shd w:fill="052148"/>
          </w:tcPr>
          <w:p>
            <w:pPr>
              <w:spacing w:after="100" w:before="100"/>
            </w:pPr>
            <w:r>
              <w:rPr>
                <w:b/>
                <w:color w:val="FFFFFF"/>
                <w:sz w:val="18"/>
              </w:rPr>
              <w:t>Horas base</w:t>
            </w:r>
          </w:p>
        </w:tc>
        <w:tc>
          <w:tcPr>
            <w:tcW w:type="dxa" w:w="4032"/>
            <w:shd w:fill="052148"/>
          </w:tcPr>
          <w:p>
            <w:pPr>
              <w:spacing w:after="100" w:before="100"/>
            </w:pPr>
            <w:r>
              <w:rPr>
                <w:b/>
                <w:color w:val="FFFFFF"/>
                <w:sz w:val="18"/>
              </w:rPr>
              <w:t>Resultado esperado</w:t>
            </w:r>
          </w:p>
        </w:tc>
      </w:tr>
      <w:tr>
        <w:trPr>
          <w:cantSplit/>
        </w:trPr>
        <w:tc>
          <w:tcPr>
            <w:tcW w:type="dxa" w:w="4392"/>
            <w:shd w:fill="FFFFFF"/>
          </w:tcPr>
          <w:p>
            <w:pPr>
              <w:spacing w:after="100" w:before="100"/>
            </w:pPr>
            <w:r>
              <w:rPr>
                <w:sz w:val="18"/>
              </w:rPr>
              <w:t>Análisis, reuniones y decisiones de cumplimiento</w:t>
            </w:r>
          </w:p>
        </w:tc>
        <w:tc>
          <w:tcPr>
            <w:tcW w:type="dxa" w:w="936"/>
            <w:shd w:fill="FFFFFF"/>
          </w:tcPr>
          <w:p>
            <w:pPr>
              <w:spacing w:after="100" w:before="100"/>
            </w:pPr>
            <w:r>
              <w:rPr>
                <w:sz w:val="18"/>
              </w:rPr>
              <w:t>60</w:t>
            </w:r>
          </w:p>
        </w:tc>
        <w:tc>
          <w:tcPr>
            <w:tcW w:type="dxa" w:w="4032"/>
            <w:shd w:fill="FFFFFF"/>
          </w:tcPr>
          <w:p>
            <w:pPr>
              <w:spacing w:after="100" w:before="100"/>
            </w:pPr>
            <w:r>
              <w:rPr>
                <w:sz w:val="18"/>
              </w:rPr>
              <w:t>Procesos, alcance, datos y requisitos aceptados.</w:t>
            </w:r>
          </w:p>
        </w:tc>
      </w:tr>
      <w:tr>
        <w:trPr>
          <w:cantSplit/>
        </w:trPr>
        <w:tc>
          <w:tcPr>
            <w:tcW w:type="dxa" w:w="4392"/>
            <w:shd w:fill="F1F4F7"/>
          </w:tcPr>
          <w:p>
            <w:pPr>
              <w:spacing w:after="100" w:before="100"/>
            </w:pPr>
            <w:r>
              <w:rPr>
                <w:sz w:val="18"/>
              </w:rPr>
              <w:t>Programación y configuración con Codex</w:t>
            </w:r>
          </w:p>
        </w:tc>
        <w:tc>
          <w:tcPr>
            <w:tcW w:type="dxa" w:w="936"/>
            <w:shd w:fill="F1F4F7"/>
          </w:tcPr>
          <w:p>
            <w:pPr>
              <w:spacing w:after="100" w:before="100"/>
            </w:pPr>
            <w:r>
              <w:rPr>
                <w:sz w:val="18"/>
              </w:rPr>
              <w:t>80</w:t>
            </w:r>
          </w:p>
        </w:tc>
        <w:tc>
          <w:tcPr>
            <w:tcW w:type="dxa" w:w="4032"/>
            <w:shd w:fill="F1F4F7"/>
          </w:tcPr>
          <w:p>
            <w:pPr>
              <w:spacing w:after="100" w:before="100"/>
            </w:pPr>
            <w:r>
              <w:rPr>
                <w:sz w:val="18"/>
              </w:rPr>
              <w:t>Núcleo y especialidades; reestimar gestor e IA el 9 de octubre.</w:t>
            </w:r>
          </w:p>
        </w:tc>
      </w:tr>
      <w:tr>
        <w:trPr>
          <w:cantSplit/>
        </w:trPr>
        <w:tc>
          <w:tcPr>
            <w:tcW w:type="dxa" w:w="4392"/>
            <w:shd w:fill="FFFFFF"/>
          </w:tcPr>
          <w:p>
            <w:pPr>
              <w:spacing w:after="100" w:before="100"/>
            </w:pPr>
            <w:r>
              <w:rPr>
                <w:sz w:val="18"/>
              </w:rPr>
              <w:t>Revisión de código, integración y seguridad</w:t>
            </w:r>
          </w:p>
        </w:tc>
        <w:tc>
          <w:tcPr>
            <w:tcW w:type="dxa" w:w="936"/>
            <w:shd w:fill="FFFFFF"/>
          </w:tcPr>
          <w:p>
            <w:pPr>
              <w:spacing w:after="100" w:before="100"/>
            </w:pPr>
            <w:r>
              <w:rPr>
                <w:sz w:val="18"/>
              </w:rPr>
              <w:t>65</w:t>
            </w:r>
          </w:p>
        </w:tc>
        <w:tc>
          <w:tcPr>
            <w:tcW w:type="dxa" w:w="4032"/>
            <w:shd w:fill="FFFFFF"/>
          </w:tcPr>
          <w:p>
            <w:pPr>
              <w:spacing w:after="100" w:before="100"/>
            </w:pPr>
            <w:r>
              <w:rPr>
                <w:sz w:val="18"/>
              </w:rPr>
              <w:t>Versiones integradas, permisos y configuración revisados.</w:t>
            </w:r>
          </w:p>
        </w:tc>
      </w:tr>
      <w:tr>
        <w:trPr>
          <w:cantSplit/>
        </w:trPr>
        <w:tc>
          <w:tcPr>
            <w:tcW w:type="dxa" w:w="4392"/>
            <w:shd w:fill="F1F4F7"/>
          </w:tcPr>
          <w:p>
            <w:pPr>
              <w:spacing w:after="100" w:before="100"/>
            </w:pPr>
            <w:r>
              <w:rPr>
                <w:sz w:val="18"/>
              </w:rPr>
              <w:t>Pruebas funcionales y correcciones con usuarios</w:t>
            </w:r>
          </w:p>
        </w:tc>
        <w:tc>
          <w:tcPr>
            <w:tcW w:type="dxa" w:w="936"/>
            <w:shd w:fill="F1F4F7"/>
          </w:tcPr>
          <w:p>
            <w:pPr>
              <w:spacing w:after="100" w:before="100"/>
            </w:pPr>
            <w:r>
              <w:rPr>
                <w:sz w:val="18"/>
              </w:rPr>
              <w:t>45</w:t>
            </w:r>
          </w:p>
        </w:tc>
        <w:tc>
          <w:tcPr>
            <w:tcW w:type="dxa" w:w="4032"/>
            <w:shd w:fill="F1F4F7"/>
          </w:tcPr>
          <w:p>
            <w:pPr>
              <w:spacing w:after="100" w:before="100"/>
            </w:pPr>
            <w:r>
              <w:rPr>
                <w:sz w:val="18"/>
              </w:rPr>
              <w:t>Evidencias de R01 a R12 y C18; defectos resueltos.</w:t>
            </w:r>
          </w:p>
        </w:tc>
      </w:tr>
      <w:tr>
        <w:trPr>
          <w:cantSplit/>
        </w:trPr>
        <w:tc>
          <w:tcPr>
            <w:tcW w:type="dxa" w:w="4392"/>
            <w:shd w:fill="FFFFFF"/>
          </w:tcPr>
          <w:p>
            <w:pPr>
              <w:spacing w:after="100" w:before="100"/>
            </w:pPr>
            <w:r>
              <w:rPr>
                <w:sz w:val="18"/>
              </w:rPr>
              <w:t>Migración y capacitación de enlaces</w:t>
            </w:r>
          </w:p>
        </w:tc>
        <w:tc>
          <w:tcPr>
            <w:tcW w:type="dxa" w:w="936"/>
            <w:shd w:fill="FFFFFF"/>
          </w:tcPr>
          <w:p>
            <w:pPr>
              <w:spacing w:after="100" w:before="100"/>
            </w:pPr>
            <w:r>
              <w:rPr>
                <w:sz w:val="18"/>
              </w:rPr>
              <w:t>25</w:t>
            </w:r>
          </w:p>
        </w:tc>
        <w:tc>
          <w:tcPr>
            <w:tcW w:type="dxa" w:w="4032"/>
            <w:shd w:fill="FFFFFF"/>
          </w:tcPr>
          <w:p>
            <w:pPr>
              <w:spacing w:after="100" w:before="100"/>
            </w:pPr>
            <w:r>
              <w:rPr>
                <w:sz w:val="18"/>
              </w:rPr>
              <w:t>Carga conciliada y enlaces capaces de operar.</w:t>
            </w:r>
          </w:p>
        </w:tc>
      </w:tr>
      <w:tr>
        <w:trPr>
          <w:cantSplit/>
        </w:trPr>
        <w:tc>
          <w:tcPr>
            <w:tcW w:type="dxa" w:w="4392"/>
            <w:shd w:fill="F1F4F7"/>
          </w:tcPr>
          <w:p>
            <w:pPr>
              <w:spacing w:after="100" w:before="100"/>
            </w:pPr>
            <w:r>
              <w:rPr>
                <w:sz w:val="18"/>
              </w:rPr>
              <w:t>Despliegue, documentación y acompañamiento</w:t>
            </w:r>
          </w:p>
        </w:tc>
        <w:tc>
          <w:tcPr>
            <w:tcW w:type="dxa" w:w="936"/>
            <w:shd w:fill="F1F4F7"/>
          </w:tcPr>
          <w:p>
            <w:pPr>
              <w:spacing w:after="100" w:before="100"/>
            </w:pPr>
            <w:r>
              <w:rPr>
                <w:sz w:val="18"/>
              </w:rPr>
              <w:t>20</w:t>
            </w:r>
          </w:p>
        </w:tc>
        <w:tc>
          <w:tcPr>
            <w:tcW w:type="dxa" w:w="4032"/>
            <w:shd w:fill="F1F4F7"/>
          </w:tcPr>
          <w:p>
            <w:pPr>
              <w:spacing w:after="100" w:before="100"/>
            </w:pPr>
            <w:r>
              <w:rPr>
                <w:sz w:val="18"/>
              </w:rPr>
              <w:t>Arranque, guías y transferencia al responsable de operación.</w:t>
            </w:r>
          </w:p>
        </w:tc>
      </w:tr>
      <w:tr>
        <w:trPr>
          <w:cantSplit/>
        </w:trPr>
        <w:tc>
          <w:tcPr>
            <w:tcW w:type="dxa" w:w="4392"/>
            <w:shd w:fill="FFFFFF"/>
          </w:tcPr>
          <w:p>
            <w:pPr>
              <w:spacing w:after="100" w:before="100"/>
            </w:pPr>
            <w:r>
              <w:rPr>
                <w:sz w:val="18"/>
              </w:rPr>
              <w:t>Total base</w:t>
            </w:r>
          </w:p>
        </w:tc>
        <w:tc>
          <w:tcPr>
            <w:tcW w:type="dxa" w:w="936"/>
            <w:shd w:fill="FFFFFF"/>
          </w:tcPr>
          <w:p>
            <w:pPr>
              <w:spacing w:after="100" w:before="100"/>
            </w:pPr>
            <w:r>
              <w:rPr>
                <w:sz w:val="18"/>
              </w:rPr>
              <w:t>295</w:t>
            </w:r>
          </w:p>
        </w:tc>
        <w:tc>
          <w:tcPr>
            <w:tcW w:type="dxa" w:w="4032"/>
            <w:shd w:fill="FFFFFF"/>
          </w:tcPr>
          <w:p>
            <w:pPr>
              <w:spacing w:after="100" w:before="100"/>
            </w:pPr>
            <w:r>
              <w:rPr>
                <w:sz w:val="18"/>
              </w:rPr>
              <w:t>Trabajo previsto, sujeto a medición al 9 de octubre.</w:t>
            </w:r>
          </w:p>
        </w:tc>
      </w:tr>
      <w:tr>
        <w:trPr>
          <w:cantSplit/>
        </w:trPr>
        <w:tc>
          <w:tcPr>
            <w:tcW w:type="dxa" w:w="4392"/>
            <w:shd w:fill="F1F4F7"/>
          </w:tcPr>
          <w:p>
            <w:pPr>
              <w:spacing w:after="100" w:before="100"/>
            </w:pPr>
            <w:r>
              <w:rPr>
                <w:sz w:val="18"/>
              </w:rPr>
              <w:t>Reserva del 20 por ciento sobre la base</w:t>
            </w:r>
          </w:p>
        </w:tc>
        <w:tc>
          <w:tcPr>
            <w:tcW w:type="dxa" w:w="936"/>
            <w:shd w:fill="F1F4F7"/>
          </w:tcPr>
          <w:p>
            <w:pPr>
              <w:spacing w:after="100" w:before="100"/>
            </w:pPr>
            <w:r>
              <w:rPr>
                <w:sz w:val="18"/>
              </w:rPr>
              <w:t>59</w:t>
            </w:r>
          </w:p>
        </w:tc>
        <w:tc>
          <w:tcPr>
            <w:tcW w:type="dxa" w:w="4032"/>
            <w:shd w:fill="F1F4F7"/>
          </w:tcPr>
          <w:p>
            <w:pPr>
              <w:spacing w:after="100" w:before="100"/>
            </w:pPr>
            <w:r>
              <w:rPr>
                <w:sz w:val="18"/>
              </w:rPr>
              <w:t>Retrabajo, ausencias y contingencias técnicas.</w:t>
            </w:r>
          </w:p>
        </w:tc>
      </w:tr>
      <w:tr>
        <w:trPr>
          <w:cantSplit/>
        </w:trPr>
        <w:tc>
          <w:tcPr>
            <w:tcW w:type="dxa" w:w="4392"/>
            <w:shd w:fill="FFFFFF"/>
          </w:tcPr>
          <w:p>
            <w:pPr>
              <w:spacing w:after="100" w:before="100"/>
            </w:pPr>
            <w:r>
              <w:rPr>
                <w:sz w:val="18"/>
              </w:rPr>
              <w:t>Capacidad total propuesta</w:t>
            </w:r>
          </w:p>
        </w:tc>
        <w:tc>
          <w:tcPr>
            <w:tcW w:type="dxa" w:w="936"/>
            <w:shd w:fill="FFFFFF"/>
          </w:tcPr>
          <w:p>
            <w:pPr>
              <w:spacing w:after="100" w:before="100"/>
            </w:pPr>
            <w:r>
              <w:rPr>
                <w:sz w:val="18"/>
              </w:rPr>
              <w:t>354</w:t>
            </w:r>
          </w:p>
        </w:tc>
        <w:tc>
          <w:tcPr>
            <w:tcW w:type="dxa" w:w="4032"/>
            <w:shd w:fill="FFFFFF"/>
          </w:tcPr>
          <w:p>
            <w:pPr>
              <w:spacing w:after="100" w:before="100"/>
            </w:pPr>
            <w:r>
              <w:rPr>
                <w:sz w:val="18"/>
              </w:rPr>
              <w:t>La reserva está incluida; no se suma por segunda vez.</w:t>
            </w:r>
          </w:p>
        </w:tc>
      </w:tr>
    </w:tbl>
    <w:p>
      <w:pPr>
        <w:pStyle w:val="Heading3"/>
      </w:pPr>
      <w:r>
        <w:t>Qué significa programar en pocas horas</w:t>
      </w:r>
    </w:p>
    <w:p>
      <w:r>
        <w:t>Cada paquete listo para Codex tendrá una regla aprobada, entradas y salidas, permisos, ejemplo y criterio de aceptación. Se fija un bloque objetivo de 2 a 4 horas de programación. Las 80 horas permiten aproximadamente 20 a 40 bloques; un bloque puede producir componentes reutilizables para varios servicios. Si la tarea rebasa el bloque, se divide o reestima y se registra el motivo.</w:t>
      </w:r>
    </w:p>
    <w:p>
      <w:r>
        <w:t>Revisión, pruebas, integración y autorización se contabilizan aparte. El mismo desarrollador no atiende simultáneamente todas las tareas: mantiene un paquete en integración y como máximo otro preparado. Las unidades avanzan en documentación y pruebas mientras se implementa el siguiente. Codex recibirá formatos vacíos, datos anonimizados y requisitos, sin secretos ni expedientes identificables no autorizados.</w:t>
      </w:r>
    </w:p>
    <w:p>
      <w:pPr>
        <w:pStyle w:val="Heading3"/>
      </w:pPr>
      <w:r>
        <w:t>Capacidad institucional separada</w:t>
      </w:r>
    </w:p>
    <w:p>
      <w:r>
        <w:t>Cada enlace reserva 2 horas de arranque el 1 y 2 de octubre, 3 semanales durante cuatro semanas desde el 5 de octubre y 2 durante las seis siguientes: 26 horas por enlace. Nueve frentes suman 234 horas, aparte de Gonzalo. Reservar además su participación en el cierre del 14 y 15. Quien atienda varias áreas necesita apoyo. Estimar esfuerzo adicional jurídico, sanitario, TI y Finanzas al 7 de octubre.</w:t>
      </w:r>
    </w:p>
    <w:p>
      <w:r>
        <w:t>El presupuesto técnico se calcula con la tarifa acordada y las horas autorizadas. Asesoría especializada, trámites, evaluaciones externas, adecuaciones y captura masiva se cotizan por separado. La velocidad propuesta se comprobará con los primeros paquetes; no representa una garantía de que toda función pueda concluirse en horas.</w:t>
      </w:r>
    </w:p>
    <w:p>
      <w:r>
        <w:br w:type="page"/>
      </w:r>
    </w:p>
    <w:p>
      <w:pPr>
        <w:pStyle w:val="Heading1"/>
      </w:pPr>
      <w:r>
        <w:t>C25 Coordinación automatización y seguimiento</w:t>
      </w:r>
    </w:p>
    <w:p>
      <w:r>
        <w:t>El gestor del plan tendrá roles, formularios guiados, evidencias y dashboard por servicio. Su primera entrega se prevé al 5 de octubre; el arranque del 1 y 2 usará las fichas existentes y se importará con trazabilidad. Cada tarea registra unidad, proceso, obligación, dueño y suplente, dependencia, fecha, criterio, evidencia y versión. C27 desarrolla la asistencia de IA.</w:t>
      </w:r>
    </w:p>
    <w:p>
      <w:pPr>
        <w:pStyle w:val="Heading3"/>
      </w:pPr>
      <w:r>
        <w:t>Ritmo semanal propuesto</w:t>
      </w:r>
    </w:p>
    <w:tbl>
      <w:tblPr>
        <w:tblW w:type="auto" w:w="0"/>
        <w:tblLayout w:type="fixed"/>
        <w:tblLook w:firstColumn="1" w:firstRow="1" w:lastColumn="0" w:lastRow="0" w:noHBand="0" w:noVBand="1" w:val="04A0"/>
      </w:tblPr>
      <w:tblGrid>
        <w:gridCol w:w="1800"/>
        <w:gridCol w:w="3816"/>
        <w:gridCol w:w="3744"/>
      </w:tblGrid>
      <w:tr>
        <w:trPr>
          <w:cantSplit/>
          <w:tblHeader/>
        </w:trPr>
        <w:tc>
          <w:tcPr>
            <w:tcW w:type="dxa" w:w="1800"/>
            <w:shd w:fill="052148"/>
          </w:tcPr>
          <w:p>
            <w:pPr>
              <w:spacing w:after="100" w:before="100"/>
            </w:pPr>
            <w:r>
              <w:rPr>
                <w:b/>
                <w:color w:val="FFFFFF"/>
                <w:sz w:val="18"/>
              </w:rPr>
              <w:t>Momento</w:t>
            </w:r>
          </w:p>
        </w:tc>
        <w:tc>
          <w:tcPr>
            <w:tcW w:type="dxa" w:w="3816"/>
            <w:shd w:fill="052148"/>
          </w:tcPr>
          <w:p>
            <w:pPr>
              <w:spacing w:after="100" w:before="100"/>
            </w:pPr>
            <w:r>
              <w:rPr>
                <w:b/>
                <w:color w:val="FFFFFF"/>
                <w:sz w:val="18"/>
              </w:rPr>
              <w:t>Actividad</w:t>
            </w:r>
          </w:p>
        </w:tc>
        <w:tc>
          <w:tcPr>
            <w:tcW w:type="dxa" w:w="3744"/>
            <w:shd w:fill="052148"/>
          </w:tcPr>
          <w:p>
            <w:pPr>
              <w:spacing w:after="100" w:before="100"/>
            </w:pPr>
            <w:r>
              <w:rPr>
                <w:b/>
                <w:color w:val="FFFFFF"/>
                <w:sz w:val="18"/>
              </w:rPr>
              <w:t>Salida</w:t>
            </w:r>
          </w:p>
        </w:tc>
      </w:tr>
      <w:tr>
        <w:trPr>
          <w:cantSplit/>
        </w:trPr>
        <w:tc>
          <w:tcPr>
            <w:tcW w:type="dxa" w:w="1800"/>
            <w:shd w:fill="FFFFFF"/>
          </w:tcPr>
          <w:p>
            <w:pPr>
              <w:spacing w:after="100" w:before="100"/>
            </w:pPr>
            <w:r>
              <w:rPr>
                <w:sz w:val="18"/>
              </w:rPr>
              <w:t>Lunes 30 minutos</w:t>
            </w:r>
          </w:p>
        </w:tc>
        <w:tc>
          <w:tcPr>
            <w:tcW w:type="dxa" w:w="3816"/>
            <w:shd w:fill="FFFFFF"/>
          </w:tcPr>
          <w:p>
            <w:pPr>
              <w:spacing w:after="100" w:before="100"/>
            </w:pPr>
            <w:r>
              <w:rPr>
                <w:sz w:val="18"/>
              </w:rPr>
              <w:t>Revisar dependencias y capacidad con enlaces</w:t>
            </w:r>
          </w:p>
        </w:tc>
        <w:tc>
          <w:tcPr>
            <w:tcW w:type="dxa" w:w="3744"/>
            <w:shd w:fill="FFFFFF"/>
          </w:tcPr>
          <w:p>
            <w:pPr>
              <w:spacing w:after="100" w:before="100"/>
            </w:pPr>
            <w:r>
              <w:rPr>
                <w:sz w:val="18"/>
              </w:rPr>
              <w:t>Compromisos de la semana y bloqueos escalados.</w:t>
            </w:r>
          </w:p>
        </w:tc>
      </w:tr>
      <w:tr>
        <w:trPr>
          <w:cantSplit/>
        </w:trPr>
        <w:tc>
          <w:tcPr>
            <w:tcW w:type="dxa" w:w="1800"/>
            <w:shd w:fill="F1F4F7"/>
          </w:tcPr>
          <w:p>
            <w:pPr>
              <w:spacing w:after="100" w:before="100"/>
            </w:pPr>
            <w:r>
              <w:rPr>
                <w:sz w:val="18"/>
              </w:rPr>
              <w:t>Martes y jueves</w:t>
            </w:r>
          </w:p>
        </w:tc>
        <w:tc>
          <w:tcPr>
            <w:tcW w:type="dxa" w:w="3816"/>
            <w:shd w:fill="F1F4F7"/>
          </w:tcPr>
          <w:p>
            <w:pPr>
              <w:spacing w:after="100" w:before="100"/>
            </w:pPr>
            <w:r>
              <w:rPr>
                <w:sz w:val="18"/>
              </w:rPr>
              <w:t>Demostraciones de 30 minutos con unidades convocadas</w:t>
            </w:r>
          </w:p>
        </w:tc>
        <w:tc>
          <w:tcPr>
            <w:tcW w:type="dxa" w:w="3744"/>
            <w:shd w:fill="F1F4F7"/>
          </w:tcPr>
          <w:p>
            <w:pPr>
              <w:spacing w:after="100" w:before="100"/>
            </w:pPr>
            <w:r>
              <w:rPr>
                <w:sz w:val="18"/>
              </w:rPr>
              <w:t>Observaciones concretas y aceptación o corrección.</w:t>
            </w:r>
          </w:p>
        </w:tc>
      </w:tr>
      <w:tr>
        <w:trPr>
          <w:cantSplit/>
        </w:trPr>
        <w:tc>
          <w:tcPr>
            <w:tcW w:type="dxa" w:w="1800"/>
            <w:shd w:fill="FFFFFF"/>
          </w:tcPr>
          <w:p>
            <w:pPr>
              <w:spacing w:after="100" w:before="100"/>
            </w:pPr>
            <w:r>
              <w:rPr>
                <w:sz w:val="18"/>
              </w:rPr>
              <w:t>Cada día de trabajo</w:t>
            </w:r>
          </w:p>
        </w:tc>
        <w:tc>
          <w:tcPr>
            <w:tcW w:type="dxa" w:w="3816"/>
            <w:shd w:fill="FFFFFF"/>
          </w:tcPr>
          <w:p>
            <w:pPr>
              <w:spacing w:after="100" w:before="100"/>
            </w:pPr>
            <w:r>
              <w:rPr>
                <w:sz w:val="18"/>
              </w:rPr>
              <w:t>Actualizar tareas y revisar avisos de bloqueo</w:t>
            </w:r>
          </w:p>
        </w:tc>
        <w:tc>
          <w:tcPr>
            <w:tcW w:type="dxa" w:w="3744"/>
            <w:shd w:fill="FFFFFF"/>
          </w:tcPr>
          <w:p>
            <w:pPr>
              <w:spacing w:after="100" w:before="100"/>
            </w:pPr>
            <w:r>
              <w:rPr>
                <w:sz w:val="18"/>
              </w:rPr>
              <w:t>Un responsable atiende cada bloqueo; sin reunión diaria obligatoria.</w:t>
            </w:r>
          </w:p>
        </w:tc>
      </w:tr>
      <w:tr>
        <w:trPr>
          <w:cantSplit/>
        </w:trPr>
        <w:tc>
          <w:tcPr>
            <w:tcW w:type="dxa" w:w="1800"/>
            <w:shd w:fill="F1F4F7"/>
          </w:tcPr>
          <w:p>
            <w:pPr>
              <w:spacing w:after="100" w:before="100"/>
            </w:pPr>
            <w:r>
              <w:rPr>
                <w:sz w:val="18"/>
              </w:rPr>
              <w:t>Viernes</w:t>
            </w:r>
          </w:p>
        </w:tc>
        <w:tc>
          <w:tcPr>
            <w:tcW w:type="dxa" w:w="3816"/>
            <w:shd w:fill="F1F4F7"/>
          </w:tcPr>
          <w:p>
            <w:pPr>
              <w:spacing w:after="100" w:before="100"/>
            </w:pPr>
            <w:r>
              <w:rPr>
                <w:sz w:val="18"/>
              </w:rPr>
              <w:t>Consolidar avance y decisiones del dueño del proyecto</w:t>
            </w:r>
          </w:p>
        </w:tc>
        <w:tc>
          <w:tcPr>
            <w:tcW w:type="dxa" w:w="3744"/>
            <w:shd w:fill="F1F4F7"/>
          </w:tcPr>
          <w:p>
            <w:pPr>
              <w:spacing w:after="100" w:before="100"/>
            </w:pPr>
            <w:r>
              <w:rPr>
                <w:sz w:val="18"/>
              </w:rPr>
              <w:t>Resumen de entregas aceptadas, reserva y riesgos de fecha.</w:t>
            </w:r>
          </w:p>
        </w:tc>
      </w:tr>
    </w:tbl>
    <w:p>
      <w:pPr>
        <w:pStyle w:val="Heading3"/>
      </w:pPr>
      <w:r>
        <w:t>Automatizaciones a implementar</w:t>
      </w:r>
    </w:p>
    <w:p>
      <w:r>
        <w:t>1. Formularios de levantamiento por unidad: crear tareas desde respuestas incompletas y vincular formato o evidencia. El responsable valida el proceso descrito antes de convertirlo en requisito.</w:t>
      </w:r>
    </w:p>
    <w:p>
      <w:r>
        <w:t>2. Avisos internos y por canales autorizados: recordar vencimientos, avisar al suplente tras dos días hábiles sin respuesta y escalar al tercero. Usar calendario institucional. Son acuerdos internos, no plazos legales. El trabajador bajo systemd ejecuta las tareas; n8n es un conector opcional.</w:t>
      </w:r>
    </w:p>
    <w:p>
      <w:r>
        <w:t>3. Preparación de paquetes para Codex: generar un borrador de especificación a partir de requisitos aprobados, con casos de prueba y permisos. Gonzalo revisa el contenido y autoriza su implementación.</w:t>
      </w:r>
    </w:p>
    <w:p>
      <w:r>
        <w:t>4. Verificación de entregas: ejecutar pruebas automatizadas de permisos, agenda concurrente, saldos, formularios críticos y regresiones afectadas. Conservar resultado y versión. Publicar en producción requiere la validación correspondiente.</w:t>
      </w:r>
    </w:p>
    <w:p>
      <w:r>
        <w:t>5. Informe semanal: calcular avance con tareas aceptadas, incidencias, espera de decisiones y horas reales. Preparar un resumen para Dirección; su distribución se configura con destinatarios y autorización institucional.</w:t>
      </w:r>
    </w:p>
    <w:p>
      <w:pPr>
        <w:pStyle w:val="Heading3"/>
      </w:pPr>
      <w:r>
        <w:t>Indicadores que permiten corregir el plan</w:t>
      </w:r>
    </w:p>
    <w:p>
      <w:r>
        <w:t>Medir porcentaje de procesos críticos aprobados por unidad; requisitos aceptados frente al alcance congelado; edad de bloqueos; tiempo desde paquete listo hasta aceptado; defectos críticos abiertos; consumo de horas y reserva; y unidades autorizadas sobre unidades confirmadas. El denominador conserva los pendientes para evitar aparentar avance.</w:t>
      </w:r>
    </w:p>
    <w:p>
      <w:r>
        <w:t>Las automatizaciones transportan identificadores, fechas y enlaces protegidos. La IA explica, prepara borradores y detecta faltantes con información autorizada. La aprobación normativa, clínica y financiera sigue en el responsable competente. La aceptación exige evidencia; n8n puede conectarse sin ser obligatorio ni fuente de verdad.</w:t>
      </w:r>
    </w:p>
    <w:p>
      <w:r>
        <w:br w:type="page"/>
      </w:r>
    </w:p>
    <w:p>
      <w:pPr>
        <w:pStyle w:val="Heading1"/>
      </w:pPr>
      <w:r>
        <w:t>C26 Contingencias y aceptación de la meta</w:t>
      </w:r>
    </w:p>
    <w:p>
      <w:pPr>
        <w:pStyle w:val="Heading3"/>
      </w:pPr>
      <w:r>
        <w:t>Controles para proteger el 15 de diciembre</w:t>
      </w:r>
    </w:p>
    <w:p>
      <w:r>
        <w:t>El 9 de octubre se comparan primeras entregas, capacidad C24 y trabajo restante, incluyendo gestor, ayuda por pregunta, integración de IA y evaluación C27. Si excede la capacidad, Dirección libera tiempo, añade apoyo o aprueba cambios con impacto explícito. Las 80 horas de código son una hipótesis por revisar; no garantizan absorber el nuevo alcance.</w:t>
      </w:r>
    </w:p>
    <w:tbl>
      <w:tblPr>
        <w:tblW w:type="auto" w:w="0"/>
        <w:tblLayout w:type="fixed"/>
        <w:tblLook w:firstColumn="1" w:firstRow="1" w:lastColumn="0" w:lastRow="0" w:noHBand="0" w:noVBand="1" w:val="04A0"/>
      </w:tblPr>
      <w:tblGrid>
        <w:gridCol w:w="3024"/>
        <w:gridCol w:w="4248"/>
        <w:gridCol w:w="2088"/>
      </w:tblGrid>
      <w:tr>
        <w:trPr>
          <w:cantSplit/>
          <w:tblHeader/>
        </w:trPr>
        <w:tc>
          <w:tcPr>
            <w:tcW w:type="dxa" w:w="3024"/>
            <w:shd w:fill="052148"/>
          </w:tcPr>
          <w:p>
            <w:pPr>
              <w:spacing w:after="100" w:before="100"/>
            </w:pPr>
            <w:r>
              <w:rPr>
                <w:b/>
                <w:color w:val="FFFFFF"/>
                <w:sz w:val="18"/>
              </w:rPr>
              <w:t>Señal de desviación</w:t>
            </w:r>
          </w:p>
        </w:tc>
        <w:tc>
          <w:tcPr>
            <w:tcW w:type="dxa" w:w="4248"/>
            <w:shd w:fill="052148"/>
          </w:tcPr>
          <w:p>
            <w:pPr>
              <w:spacing w:after="100" w:before="100"/>
            </w:pPr>
            <w:r>
              <w:rPr>
                <w:b/>
                <w:color w:val="FFFFFF"/>
                <w:sz w:val="18"/>
              </w:rPr>
              <w:t>Acción propuesta</w:t>
            </w:r>
          </w:p>
        </w:tc>
        <w:tc>
          <w:tcPr>
            <w:tcW w:type="dxa" w:w="2088"/>
            <w:shd w:fill="052148"/>
          </w:tcPr>
          <w:p>
            <w:pPr>
              <w:spacing w:after="100" w:before="100"/>
            </w:pPr>
            <w:r>
              <w:rPr>
                <w:b/>
                <w:color w:val="FFFFFF"/>
                <w:sz w:val="18"/>
              </w:rPr>
              <w:t>Responsable</w:t>
            </w:r>
          </w:p>
        </w:tc>
      </w:tr>
      <w:tr>
        <w:trPr>
          <w:cantSplit/>
        </w:trPr>
        <w:tc>
          <w:tcPr>
            <w:tcW w:type="dxa" w:w="3024"/>
            <w:shd w:fill="FFFFFF"/>
          </w:tcPr>
          <w:p>
            <w:pPr>
              <w:spacing w:after="100" w:before="100"/>
            </w:pPr>
            <w:r>
              <w:rPr>
                <w:sz w:val="18"/>
              </w:rPr>
              <w:t>Respuesta pendiente por más de dos días hábiles</w:t>
            </w:r>
          </w:p>
        </w:tc>
        <w:tc>
          <w:tcPr>
            <w:tcW w:type="dxa" w:w="4248"/>
            <w:shd w:fill="FFFFFF"/>
          </w:tcPr>
          <w:p>
            <w:pPr>
              <w:spacing w:after="100" w:before="100"/>
            </w:pPr>
            <w:r>
              <w:rPr>
                <w:sz w:val="18"/>
              </w:rPr>
              <w:t>Avisar al suplente; escalar al tercer día y reordenar trabajo listo.</w:t>
            </w:r>
          </w:p>
        </w:tc>
        <w:tc>
          <w:tcPr>
            <w:tcW w:type="dxa" w:w="2088"/>
            <w:shd w:fill="FFFFFF"/>
          </w:tcPr>
          <w:p>
            <w:pPr>
              <w:spacing w:after="100" w:before="100"/>
            </w:pPr>
            <w:r>
              <w:rPr>
                <w:sz w:val="18"/>
              </w:rPr>
              <w:t>Enlace y dueño del proyecto</w:t>
            </w:r>
          </w:p>
        </w:tc>
      </w:tr>
      <w:tr>
        <w:trPr>
          <w:cantSplit/>
        </w:trPr>
        <w:tc>
          <w:tcPr>
            <w:tcW w:type="dxa" w:w="3024"/>
            <w:shd w:fill="F1F4F7"/>
          </w:tcPr>
          <w:p>
            <w:pPr>
              <w:spacing w:after="100" w:before="100"/>
            </w:pPr>
            <w:r>
              <w:rPr>
                <w:sz w:val="18"/>
              </w:rPr>
              <w:t>Tarea de código supera el bloque previsto</w:t>
            </w:r>
          </w:p>
        </w:tc>
        <w:tc>
          <w:tcPr>
            <w:tcW w:type="dxa" w:w="4248"/>
            <w:shd w:fill="F1F4F7"/>
          </w:tcPr>
          <w:p>
            <w:pPr>
              <w:spacing w:after="100" w:before="100"/>
            </w:pPr>
            <w:r>
              <w:rPr>
                <w:sz w:val="18"/>
              </w:rPr>
              <w:t>Dividir, registrar horas y actualizar carga; reutilizar componentes verificados.</w:t>
            </w:r>
          </w:p>
        </w:tc>
        <w:tc>
          <w:tcPr>
            <w:tcW w:type="dxa" w:w="2088"/>
            <w:shd w:fill="F1F4F7"/>
          </w:tcPr>
          <w:p>
            <w:pPr>
              <w:spacing w:after="100" w:before="100"/>
            </w:pPr>
            <w:r>
              <w:rPr>
                <w:sz w:val="18"/>
              </w:rPr>
              <w:t>Gonzalo</w:t>
            </w:r>
          </w:p>
        </w:tc>
      </w:tr>
      <w:tr>
        <w:trPr>
          <w:cantSplit/>
        </w:trPr>
        <w:tc>
          <w:tcPr>
            <w:tcW w:type="dxa" w:w="3024"/>
            <w:shd w:fill="FFFFFF"/>
          </w:tcPr>
          <w:p>
            <w:pPr>
              <w:spacing w:after="100" w:before="100"/>
            </w:pPr>
            <w:r>
              <w:rPr>
                <w:sz w:val="18"/>
              </w:rPr>
              <w:t>No hay fecha de trámite o evaluación compatible al 9 oct</w:t>
            </w:r>
          </w:p>
        </w:tc>
        <w:tc>
          <w:tcPr>
            <w:tcW w:type="dxa" w:w="4248"/>
            <w:shd w:fill="FFFFFF"/>
          </w:tcPr>
          <w:p>
            <w:pPr>
              <w:spacing w:after="100" w:before="100"/>
            </w:pPr>
            <w:r>
              <w:rPr>
                <w:sz w:val="18"/>
              </w:rPr>
              <w:t>Obtener compromiso o alternativa válida; informar el servicio afectado.</w:t>
            </w:r>
          </w:p>
        </w:tc>
        <w:tc>
          <w:tcPr>
            <w:tcW w:type="dxa" w:w="2088"/>
            <w:shd w:fill="FFFFFF"/>
          </w:tcPr>
          <w:p>
            <w:pPr>
              <w:spacing w:after="100" w:before="100"/>
            </w:pPr>
            <w:r>
              <w:rPr>
                <w:sz w:val="18"/>
              </w:rPr>
              <w:t>Jurídico y sanitario</w:t>
            </w:r>
          </w:p>
        </w:tc>
      </w:tr>
      <w:tr>
        <w:trPr>
          <w:cantSplit/>
        </w:trPr>
        <w:tc>
          <w:tcPr>
            <w:tcW w:type="dxa" w:w="3024"/>
            <w:shd w:fill="F1F4F7"/>
          </w:tcPr>
          <w:p>
            <w:pPr>
              <w:spacing w:after="100" w:before="100"/>
            </w:pPr>
            <w:r>
              <w:rPr>
                <w:sz w:val="18"/>
              </w:rPr>
              <w:t>Más de la mitad de la reserva consumida antes del 6 nov</w:t>
            </w:r>
          </w:p>
        </w:tc>
        <w:tc>
          <w:tcPr>
            <w:tcW w:type="dxa" w:w="4248"/>
            <w:shd w:fill="F1F4F7"/>
          </w:tcPr>
          <w:p>
            <w:pPr>
              <w:spacing w:after="100" w:before="100"/>
            </w:pPr>
            <w:r>
              <w:rPr>
                <w:sz w:val="18"/>
              </w:rPr>
              <w:t>Revisar capacidad y causa; aprobar refuerzo o cambio con impacto explícito.</w:t>
            </w:r>
          </w:p>
        </w:tc>
        <w:tc>
          <w:tcPr>
            <w:tcW w:type="dxa" w:w="2088"/>
            <w:shd w:fill="F1F4F7"/>
          </w:tcPr>
          <w:p>
            <w:pPr>
              <w:spacing w:after="100" w:before="100"/>
            </w:pPr>
            <w:r>
              <w:rPr>
                <w:sz w:val="18"/>
              </w:rPr>
              <w:t>Dirección y Gonzalo</w:t>
            </w:r>
          </w:p>
        </w:tc>
      </w:tr>
      <w:tr>
        <w:trPr>
          <w:cantSplit/>
        </w:trPr>
        <w:tc>
          <w:tcPr>
            <w:tcW w:type="dxa" w:w="3024"/>
            <w:shd w:fill="FFFFFF"/>
          </w:tcPr>
          <w:p>
            <w:pPr>
              <w:spacing w:after="100" w:before="100"/>
            </w:pPr>
            <w:r>
              <w:rPr>
                <w:sz w:val="18"/>
              </w:rPr>
              <w:t>Defecto crítico o incumplimiento bloqueante</w:t>
            </w:r>
          </w:p>
        </w:tc>
        <w:tc>
          <w:tcPr>
            <w:tcW w:type="dxa" w:w="4248"/>
            <w:shd w:fill="FFFFFF"/>
          </w:tcPr>
          <w:p>
            <w:pPr>
              <w:spacing w:after="100" w:before="100"/>
            </w:pPr>
            <w:r>
              <w:rPr>
                <w:sz w:val="18"/>
              </w:rPr>
              <w:t>Suspender el uso afectado, corregir y repetir pruebas antes de habilitar.</w:t>
            </w:r>
          </w:p>
        </w:tc>
        <w:tc>
          <w:tcPr>
            <w:tcW w:type="dxa" w:w="2088"/>
            <w:shd w:fill="FFFFFF"/>
          </w:tcPr>
          <w:p>
            <w:pPr>
              <w:spacing w:after="100" w:before="100"/>
            </w:pPr>
            <w:r>
              <w:rPr>
                <w:sz w:val="18"/>
              </w:rPr>
              <w:t>Responsable del área y TI</w:t>
            </w:r>
          </w:p>
        </w:tc>
      </w:tr>
      <w:tr>
        <w:trPr>
          <w:cantSplit/>
        </w:trPr>
        <w:tc>
          <w:tcPr>
            <w:tcW w:type="dxa" w:w="3024"/>
            <w:shd w:fill="F1F4F7"/>
          </w:tcPr>
          <w:p>
            <w:pPr>
              <w:spacing w:after="100" w:before="100"/>
            </w:pPr>
            <w:r>
              <w:rPr>
                <w:sz w:val="18"/>
              </w:rPr>
              <w:t>Función nueva después del 27 nov</w:t>
            </w:r>
          </w:p>
        </w:tc>
        <w:tc>
          <w:tcPr>
            <w:tcW w:type="dxa" w:w="4248"/>
            <w:shd w:fill="F1F4F7"/>
          </w:tcPr>
          <w:p>
            <w:pPr>
              <w:spacing w:after="100" w:before="100"/>
            </w:pPr>
            <w:r>
              <w:rPr>
                <w:sz w:val="18"/>
              </w:rPr>
              <w:t>Calendarizar después del cierre salvo corrección indispensable aprobada.</w:t>
            </w:r>
          </w:p>
        </w:tc>
        <w:tc>
          <w:tcPr>
            <w:tcW w:type="dxa" w:w="2088"/>
            <w:shd w:fill="F1F4F7"/>
          </w:tcPr>
          <w:p>
            <w:pPr>
              <w:spacing w:after="100" w:before="100"/>
            </w:pPr>
            <w:r>
              <w:rPr>
                <w:sz w:val="18"/>
              </w:rPr>
              <w:t>Dueño del proyecto</w:t>
            </w:r>
          </w:p>
        </w:tc>
      </w:tr>
    </w:tbl>
    <w:p>
      <w:pPr>
        <w:pStyle w:val="Heading3"/>
      </w:pPr>
      <w:r>
        <w:t>Reserva y arranque</w:t>
      </w:r>
    </w:p>
    <w:p>
      <w:r>
        <w:t>Las 59 horas de reserva están distribuidas dentro de la capacidad hasta el 15 de diciembre. El periodo del 7 al 11 se protege para estabilización; no es una semana adicional a la reserva. El 4 de diciembre se autoriza el arranque por unidad; del 7 al 11 se atienden turnos limitados y se amplían conforme al resultado. El 14 se concilian registros y el 15 se formaliza la entrega.</w:t>
      </w:r>
    </w:p>
    <w:p>
      <w:pPr>
        <w:pStyle w:val="Heading3"/>
      </w:pPr>
      <w:r>
        <w:t>Lista de aceptación del 15 de diciembre</w:t>
      </w:r>
    </w:p>
    <w:p>
      <w:r>
        <w:t>• Todos los servicios confirmados tienen alcance, proceso, dueño y acta de aceptación; se identifican expresamente las funciones habilitadas.</w:t>
        <w:br/>
        <w:t>• R01 a R12 y las pruebas adicionales C18 cuentan con evidencia aprobada; no quedan defectos críticos ni bloqueos de cumplimiento para el alcance operativo.</w:t>
        <w:br/>
        <w:t>• Datos y saldos del corte conciliados; restauración y contingencia comprobadas; credenciales y accesos revisados.</w:t>
        <w:br/>
        <w:t>• Usuarios capacitados, guías disponibles, soporte y mantenimiento asignados; pendientes menores con dueño y fecha.</w:t>
        <w:br/>
        <w:t>• Landing y comunicaciones autorizadas; expediente oficial y firma habilitados sólo al satisfacer sus condiciones de conformidad.</w:t>
      </w:r>
    </w:p>
    <w:p>
      <w:pPr>
        <w:pStyle w:val="Heading3"/>
      </w:pPr>
      <w:r>
        <w:t>Si un servicio no puede habilitarse</w:t>
      </w:r>
    </w:p>
    <w:p>
      <w:r>
        <w:t>Se entrega evidencia del bloqueo, actividad pendiente, responsable y nueva fecha estimada. Los servicios autorizados pueden operar si son independientes, preservando las referencias y la continuidad. Dirección registra el cierre como parcial y la desviación frente a la meta integral; no se elimina el servicio del denominador para declarar cumplimiento total.</w:t>
      </w:r>
    </w:p>
    <w:p>
      <w:r>
        <w:br w:type="page"/>
      </w:r>
    </w:p>
    <w:p>
      <w:pPr>
        <w:pStyle w:val="Heading1"/>
      </w:pPr>
      <w:r>
        <w:t>C27 Gestor del plan con asistencia de IA</w:t>
      </w:r>
    </w:p>
    <w:p>
      <w:r>
        <w:t>Desde el 1 de octubre, el proyecto incorpora una aplicación para automatizar el levantamiento, la documentación y el seguimiento del plan. Dirección y responsables de servicio serán sus usuarios principales. El gestor se integra en Salud Modelo y conserva los criterios de aceptación de los módulos asistenciales.</w:t>
      </w:r>
    </w:p>
    <w:p>
      <w:pPr>
        <w:pStyle w:val="Heading2"/>
      </w:pPr>
      <w:r>
        <w:t>Formularios que explican cómo contestar</w:t>
      </w:r>
    </w:p>
    <w:p>
      <w:r>
        <w:t>Cada pregunta original conserva su código, sección y versión. Incluye significado, finalidad, pasos para responder, responsable que conoce el dato, evidencia requerida, ejemplo ficticio identificado y criterio de suficiencia. Las opciones No lo sé, No existe y Por confirmar generan pendientes. No aplica requiere justificación y revisión competente.</w:t>
      </w:r>
    </w:p>
    <w:p>
      <w:r>
        <w:t>La IA entrevista, extrae propuestas de documentos autorizados, muestra fuentes y detecta contradicciones. El usuario acepta o corrige cada borrador; su aceptación no equivale a aprobación del proceso ni a cumplimiento normativo. La ayuda revisada permanece disponible sin conexión con los proveedores de IA.</w:t>
      </w:r>
    </w:p>
    <w:p>
      <w:pPr>
        <w:pStyle w:val="Heading2"/>
      </w:pPr>
      <w:r>
        <w:t>Roles y validación</w:t>
      </w:r>
    </w:p>
    <w:p>
      <w:r>
        <w:t>Dirección consulta avance global y decide prioridades; el coordinador distribuye trabajo; cada directivo responde y valida la operación de sus servicios. Los colaboradores capturan. Compliance, Jurídico y responsables sanitarios revisan dentro de su competencia. Desarrollador y TI tienen permisos técnicos acotados. El servidor controla servicio, sede, asignación y finalidad, también en documentos y consultas de IA.</w:t>
      </w:r>
    </w:p>
    <w:p>
      <w:pPr>
        <w:pStyle w:val="Heading2"/>
      </w:pPr>
      <w:r>
        <w:t>Dashboard y automatizaciones</w:t>
      </w:r>
    </w:p>
    <w:p>
      <w:r>
        <w:t>Mostrar por separado preguntas respondidas y validadas, procesos aprobados, tareas aceptadas, aplicabilidad normativa resuelta y conformidad con evidencia vigente. Cada indicador conserva numerador, denominador y pendientes. Una evidencia vencida no sostiene cumplimiento. Los avisos, suplencias, revisiones y resúmenes semanales se generan desde eventos reales y reglas aprobadas.</w:t>
      </w:r>
    </w:p>
    <w:p>
      <w:r>
        <w:t>Las brechas producen tareas con dueño y plazo. Un proceso validado permite preparar requisitos y pruebas para Codex. Los cambios de reglas crean revisión de dependencias, sin sobrescribir aprobaciones anteriores. Todas las acciones y versiones conservan trazabilidad.</w:t>
      </w:r>
    </w:p>
    <w:p>
      <w:r>
        <w:br w:type="page"/>
      </w:r>
    </w:p>
    <w:p>
      <w:pPr>
        <w:pStyle w:val="Heading1"/>
      </w:pPr>
      <w:r>
        <w:t>C27 Implementación y aceptación de la asistencia</w:t>
      </w:r>
    </w:p>
    <w:p>
      <w:r>
        <w:t>La especificación ejecutable se entrega en Prompt_Maestro_Salud_Modelo_IA.md. Debe utilizarse junto con esta versión 3.1 del plan y los formatos institucionales, conciliando todas las preguntas importadas, incluidas las de cierre. El prompt detalla modelos, permisos, formularios, API, pruebas y despliegue.</w:t>
      </w:r>
    </w:p>
    <w:p>
      <w:pPr>
        <w:pStyle w:val="Heading2"/>
      </w:pPr>
      <w:r>
        <w:t>Entregas tempranas</w:t>
      </w:r>
    </w:p>
    <w:p>
      <w:r>
        <w:t>El 1 y 2 de octubre se inicia el gestor y se confirman responsables. El 5 se propone habilitar acceso, captura, ayuda inicial, tareas y tablero básico. Al 7 se integran formatos y asistencia de IA conforme a política autorizada. Al 9 se revisa capacidad con resultados; al 16 deben estar revisadas las fichas de ayuda y operativo el flujo de validación. Se mantienen pilotos de C22 y cierre el 15 de diciembre.</w:t>
      </w:r>
    </w:p>
    <w:p>
      <w:pPr>
        <w:pStyle w:val="Heading2"/>
      </w:pPr>
      <w:r>
        <w:t>Integración y tratamiento de información</w:t>
      </w:r>
    </w:p>
    <w:p>
      <w:r>
        <w:t>Next.js y TypeScript se conectan con Django y Django REST Framework sobre PostgreSQL. Gunicorn, Nginx, systemd y Certbot cubren despliegue y servicios. Una cola persistente procesa documentos y llamadas de IA. OpenAI y DeepSeek usan adaptadores de servidor, modelos configurables, validación estructurada, límites de gasto y seguimiento de errores. El cambio de proveedor sólo ocurre si la política permite enviarle esa categoría de datos.</w:t>
      </w:r>
    </w:p>
    <w:p>
      <w:r>
        <w:t>La recuperación documental respeta permisos antes de buscar y responder. No enviar por defecto expedientes identificables ni secretos. Las propuestas citan documento, versión y ubicación verificable; la falta de información se muestra como pendiente. No se delegan aprobaciones, diagnósticos ni determinaciones jurídicas a los modelos.</w:t>
      </w:r>
    </w:p>
    <w:p>
      <w:pPr>
        <w:pStyle w:val="Heading2"/>
      </w:pPr>
      <w:r>
        <w:t>Criterios adicionales de aceptación</w:t>
      </w:r>
    </w:p>
    <w:p>
      <w:r>
        <w:t>Todas las preguntas publicadas tienen ayuda completa y revisada; las sugerencias conservan fuentes; las respuestas no se pierden ante caída de IA; el acceso cruzado indebido se rechaza; los porcentajes concilian con registros; se prueban contradicciones y documentos con instrucciones maliciosas. Cada servicio ensaya un caso normal y dos excepciones. Las dudas persistentes se corrigen en la ayuda y se vuelven a probar.</w:t>
      </w:r>
    </w:p>
    <w:p>
      <w:r>
        <w:t>La capacidad de 354 horas y las 80 de código siguen siendo provisionales. El alcance añadido de automatización se incluye expresamente en la revisión del 9 de octubre. Si supera la capacidad, se presenta la brecha y una decisión de recursos o alcance; no se declara completado el plan por terminar sólo el gestor.</w:t>
      </w:r>
    </w:p>
    <w:sectPr w:rsidR="00FC693F" w:rsidRPr="0006063C" w:rsidSect="00034616">
      <w:headerReference w:type="default" r:id="rId9"/>
      <w:footerReference w:type="default" r:id="rId10"/>
      <w:pgSz w:w="12240" w:h="15840"/>
      <w:pgMar w:top="950"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Versión 3.1  ·  23 septiembre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ESCUELA SALUD MODELO   |   PROPUESTA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tiica.economia.gob.mx/normalizacion/nom-004-ssa3-2012/" TargetMode="External"/><Relationship Id="rId12" Type="http://schemas.openxmlformats.org/officeDocument/2006/relationships/hyperlink" Target="https://platiica.economia.gob.mx/normalizacion/nom-013-ssa2-2015/" TargetMode="External"/><Relationship Id="rId13" Type="http://schemas.openxmlformats.org/officeDocument/2006/relationships/hyperlink" Target="https://platiica.economia.gob.mx/normalizacion/nom-005-ssa3-2018/" TargetMode="External"/><Relationship Id="rId14" Type="http://schemas.openxmlformats.org/officeDocument/2006/relationships/hyperlink" Target="https://platiica.economia.gob.mx/normalizacion/nom-016-ssa3-2012/" TargetMode="External"/><Relationship Id="rId15" Type="http://schemas.openxmlformats.org/officeDocument/2006/relationships/hyperlink" Target="https://platiica.economia.gob.mx/normalizacion/nom-024-ssa3-2012/" TargetMode="External"/><Relationship Id="rId16" Type="http://schemas.openxmlformats.org/officeDocument/2006/relationships/hyperlink" Target="https://platiica.economia.gob.mx/normalizacion/nom-030-ssa3-2013/" TargetMode="External"/><Relationship Id="rId17" Type="http://schemas.openxmlformats.org/officeDocument/2006/relationships/hyperlink" Target="https://platiica.economia.gob.mx/normalizacion/nom-087-semarnat-ssa1-2002/" TargetMode="External"/><Relationship Id="rId18" Type="http://schemas.openxmlformats.org/officeDocument/2006/relationships/hyperlink" Target="https://platiica.economia.gob.mx/normalizacion/nom-229-ssa1-2002/" TargetMode="External"/><Relationship Id="rId19" Type="http://schemas.openxmlformats.org/officeDocument/2006/relationships/hyperlink" Target="https://platiica.economia.gob.mx/normalizacion/nom-015-ssa-2023/" TargetMode="External"/><Relationship Id="rId20" Type="http://schemas.openxmlformats.org/officeDocument/2006/relationships/hyperlink" Target="https://platiica.economia.gob.mx/normalizacion/nom-039-ssa-2023/" TargetMode="External"/><Relationship Id="rId21" Type="http://schemas.openxmlformats.org/officeDocument/2006/relationships/hyperlink" Target="https://platiica.economia.gob.mx/normalizacion/nom-043-ssa2-2012/" TargetMode="External"/><Relationship Id="rId22" Type="http://schemas.openxmlformats.org/officeDocument/2006/relationships/hyperlink" Target="https://platiica.economia.gob.mx/normalizacion/nom-008-ssa3-2017/" TargetMode="External"/><Relationship Id="rId23" Type="http://schemas.openxmlformats.org/officeDocument/2006/relationships/hyperlink" Target="https://platiica.economia.gob.mx/normalizacion/nom-015-ssa2-2010/" TargetMode="External"/><Relationship Id="rId24" Type="http://schemas.openxmlformats.org/officeDocument/2006/relationships/hyperlink" Target="https://platiica.economia.gob.mx/normalizacion/nom-030-ssa2-2009/" TargetMode="External"/><Relationship Id="rId25" Type="http://schemas.openxmlformats.org/officeDocument/2006/relationships/hyperlink" Target="https://platiica.economia.gob.mx/normalizacion/nom-037-ssa2-2012/" TargetMode="External"/><Relationship Id="rId26" Type="http://schemas.openxmlformats.org/officeDocument/2006/relationships/hyperlink" Target="https://platiica.economia.gob.mx/normalizacion/nom-046-ssa2-2005/" TargetMode="External"/><Relationship Id="rId27" Type="http://schemas.openxmlformats.org/officeDocument/2006/relationships/hyperlink" Target="https://platiica.economia.gob.mx/normalizacion/nom-028-ssa2-2009/" TargetMode="External"/><Relationship Id="rId28" Type="http://schemas.openxmlformats.org/officeDocument/2006/relationships/hyperlink" Target="https://platiica.economia.gob.mx/normalizacion/nom-025-ssa2-2014/" TargetMode="External"/><Relationship Id="rId29" Type="http://schemas.openxmlformats.org/officeDocument/2006/relationships/hyperlink" Target="https://platiica.economia.gob.mx/normalizacion/nom-019-ssa3-2013/" TargetMode="External"/><Relationship Id="rId30" Type="http://schemas.openxmlformats.org/officeDocument/2006/relationships/hyperlink" Target="https://platiica.economia.gob.mx/normalizacion/nom-036-ssa2-2012/" TargetMode="External"/><Relationship Id="rId31" Type="http://schemas.openxmlformats.org/officeDocument/2006/relationships/hyperlink" Target="https://platiica.economia.gob.mx/normalizacion/nom-220-ssa1-2016/" TargetMode="External"/><Relationship Id="rId32" Type="http://schemas.openxmlformats.org/officeDocument/2006/relationships/hyperlink" Target="https://platiica.economia.gob.mx/normalizacion/nom-017-ssa2-2012/" TargetMode="External"/><Relationship Id="rId33" Type="http://schemas.openxmlformats.org/officeDocument/2006/relationships/hyperlink" Target="https://platiica.economia.gob.mx/normalizacion/nom-007-ssa3-2011/" TargetMode="External"/><Relationship Id="rId34" Type="http://schemas.openxmlformats.org/officeDocument/2006/relationships/hyperlink" Target="https://platiica.economia.gob.mx/normalizacion/nom-006-ssa3-2011/" TargetMode="External"/><Relationship Id="rId35" Type="http://schemas.openxmlformats.org/officeDocument/2006/relationships/hyperlink" Target="https://platiica.economia.gob.mx/normalizacion/nom-026-ssa3-2012/" TargetMode="External"/><Relationship Id="rId36" Type="http://schemas.openxmlformats.org/officeDocument/2006/relationships/hyperlink" Target="https://platiica.economia.gob.mx/normalizacion/nom-012-ssa3-2012/" TargetMode="External"/><Relationship Id="rId37" Type="http://schemas.openxmlformats.org/officeDocument/2006/relationships/hyperlink" Target="https://platiica.economia.gob.mx/normalizacion/nom-240-ssa1-2012/" TargetMode="External"/><Relationship Id="rId38" Type="http://schemas.openxmlformats.org/officeDocument/2006/relationships/hyperlink" Target="https://platiica.economia.gob.mx/normalizacion/nom-245-ssa1-2010/" TargetMode="External"/><Relationship Id="rId39" Type="http://schemas.openxmlformats.org/officeDocument/2006/relationships/hyperlink" Target="https://platiica.economia.gob.mx/normalizacion/nom-251-ssa1-2009/" TargetMode="External"/><Relationship Id="rId40" Type="http://schemas.openxmlformats.org/officeDocument/2006/relationships/hyperlink" Target="https://platiica.economia.gob.mx/normalizacion/nom-014-ssa3-2013/" TargetMode="External"/><Relationship Id="rId41" Type="http://schemas.openxmlformats.org/officeDocument/2006/relationships/hyperlink" Target="https://platiica.economia.gob.mx/normalizacion/nom-035-ssa3-2012/" TargetMode="External"/><Relationship Id="rId42" Type="http://schemas.openxmlformats.org/officeDocument/2006/relationships/hyperlink" Target="https://platiica.economia.gob.mx/normalizacion/nom-052-semarnat-2005/" TargetMode="External"/><Relationship Id="rId43" Type="http://schemas.openxmlformats.org/officeDocument/2006/relationships/hyperlink" Target="https://platiica.economia.gob.mx/normalizacion/nom-009-ssa2-2013/" TargetMode="External"/><Relationship Id="rId44" Type="http://schemas.openxmlformats.org/officeDocument/2006/relationships/hyperlink" Target="https://platiica.economia.gob.mx/normalizacion/nom-010-ssa-2023/" TargetMode="External"/><Relationship Id="rId45" Type="http://schemas.openxmlformats.org/officeDocument/2006/relationships/hyperlink" Target="https://platiica.economia.gob.mx/normalizacion/nom-007-ssa2-2016/" TargetMode="External"/><Relationship Id="rId46" Type="http://schemas.openxmlformats.org/officeDocument/2006/relationships/hyperlink" Target="https://platiica.economia.gob.mx/normalizacion/nom-009-ssa3-2013/" TargetMode="External"/><Relationship Id="rId47" Type="http://schemas.openxmlformats.org/officeDocument/2006/relationships/hyperlink" Target="https://platiica.economia.gob.mx/normalizacion/nom-001-stps-2008/" TargetMode="External"/><Relationship Id="rId48" Type="http://schemas.openxmlformats.org/officeDocument/2006/relationships/hyperlink" Target="https://platiica.economia.gob.mx/normalizacion/nom-002-stps-2010/" TargetMode="External"/><Relationship Id="rId49" Type="http://schemas.openxmlformats.org/officeDocument/2006/relationships/hyperlink" Target="https://platiica.economia.gob.mx/normalizacion/nom-019-stps-2011/" TargetMode="External"/><Relationship Id="rId50" Type="http://schemas.openxmlformats.org/officeDocument/2006/relationships/hyperlink" Target="https://platiica.economia.gob.mx/normalizacion/nom-030-stps-2009/" TargetMode="External"/><Relationship Id="rId51" Type="http://schemas.openxmlformats.org/officeDocument/2006/relationships/hyperlink" Target="https://platiica.economia.gob.mx/normalizacion/nom-035-stps-2018/" TargetMode="External"/><Relationship Id="rId52" Type="http://schemas.openxmlformats.org/officeDocument/2006/relationships/hyperlink" Target="https://platiica.economia.gob.mx/normalizacion/nom-017-stps-2024/" TargetMode="External"/><Relationship Id="rId53" Type="http://schemas.openxmlformats.org/officeDocument/2006/relationships/hyperlink" Target="https://platiica.economia.gob.mx/normalizacion/nom-012-stps-2012/" TargetMode="External"/><Relationship Id="rId54" Type="http://schemas.openxmlformats.org/officeDocument/2006/relationships/hyperlink" Target="https://platiica.economia.gob.mx/normalizacion/nom-013-stps-1993/" TargetMode="External"/><Relationship Id="rId55" Type="http://schemas.openxmlformats.org/officeDocument/2006/relationships/hyperlink" Target="https://platiica.economia.gob.mx/normalizacion/nom-018-stps-2015/" TargetMode="External"/><Relationship Id="rId56" Type="http://schemas.openxmlformats.org/officeDocument/2006/relationships/hyperlink" Target="https://platiica.economia.gob.mx/normalizacion/nom-020-stps-2011/" TargetMode="External"/><Relationship Id="rId57" Type="http://schemas.openxmlformats.org/officeDocument/2006/relationships/hyperlink" Target="https://platiica.economia.gob.mx/normalizacion/nom-025-stps-2008/" TargetMode="External"/><Relationship Id="rId58" Type="http://schemas.openxmlformats.org/officeDocument/2006/relationships/hyperlink" Target="https://platiica.economia.gob.mx/normalizacion/nom-026-stps-2008/" TargetMode="External"/><Relationship Id="rId59" Type="http://schemas.openxmlformats.org/officeDocument/2006/relationships/hyperlink" Target="https://platiica.economia.gob.mx/normalizacion/nom-029-stps-2011/" TargetMode="External"/><Relationship Id="rId60" Type="http://schemas.openxmlformats.org/officeDocument/2006/relationships/hyperlink" Target="https://platiica.economia.gob.mx/normalizacion/nom-003-sspc-2011/" TargetMode="External"/><Relationship Id="rId61" Type="http://schemas.openxmlformats.org/officeDocument/2006/relationships/hyperlink" Target="https://platiica.economia.gob.mx/normalizacion/nom-008-sspc-2015/" TargetMode="External"/><Relationship Id="rId62" Type="http://schemas.openxmlformats.org/officeDocument/2006/relationships/hyperlink" Target="https://platiica.economia.gob.mx/normalizacion/nom-151-scfi-2016/" TargetMode="External"/><Relationship Id="rId63" Type="http://schemas.openxmlformats.org/officeDocument/2006/relationships/hyperlink" Target="https://platiica.economia.gob.mx/normalizacion/nom-127-ssa1-2021/" TargetMode="External"/><Relationship Id="rId64" Type="http://schemas.openxmlformats.org/officeDocument/2006/relationships/hyperlink" Target="https://platiica.economia.gob.mx/normalizacion/nom-002-semarnat-1996/" TargetMode="External"/><Relationship Id="rId65" Type="http://schemas.openxmlformats.org/officeDocument/2006/relationships/hyperlink" Target="https://platiica.economia.gob.mx/normalizacion/nom-001-semarnat-2021/" TargetMode="External"/><Relationship Id="rId66" Type="http://schemas.openxmlformats.org/officeDocument/2006/relationships/hyperlink" Target="https://platiica.economia.gob.mx/normalizacion/nom-036-1-stps-2018/" TargetMode="External"/><Relationship Id="rId67" Type="http://schemas.openxmlformats.org/officeDocument/2006/relationships/hyperlink" Target="https://platiica.economia.gob.mx/normalizacion/nom-037-stps-2023/" TargetMode="External"/><Relationship Id="rId68" Type="http://schemas.openxmlformats.org/officeDocument/2006/relationships/hyperlink" Target="https://platiica.economia.gob.mx/normalizacion/nom-001-sede-2012/" TargetMode="External"/><Relationship Id="rId69" Type="http://schemas.openxmlformats.org/officeDocument/2006/relationships/hyperlink" Target="https://platiica.economia.gob.mx/normalizacion/nom-005-stps-1998/" TargetMode="External"/><Relationship Id="rId70" Type="http://schemas.openxmlformats.org/officeDocument/2006/relationships/hyperlink" Target="https://platiica.economia.gob.mx/normalizacion/nom-010-stps-2014/" TargetMode="External"/><Relationship Id="rId71" Type="http://schemas.openxmlformats.org/officeDocument/2006/relationships/hyperlink" Target="https://sidof.segob.gob.mx/notas/docFuente/5462039" TargetMode="External"/><Relationship Id="rId72" Type="http://schemas.openxmlformats.org/officeDocument/2006/relationships/hyperlink" Target="https://sidof.segob.gob.mx/notas/docFuente/5272787" TargetMode="External"/><Relationship Id="rId73" Type="http://schemas.openxmlformats.org/officeDocument/2006/relationships/hyperlink" Target="https://sidof.segob.gob.mx/notas/docFuente/5280847" TargetMode="External"/><Relationship Id="rId74" Type="http://schemas.openxmlformats.org/officeDocument/2006/relationships/hyperlink" Target="https://www.gob.mx/cofepris/documentos/establecimientos-que-utilizan-fuentes-de-radiacion-para-fines-medicos-o-de-diagnostico" TargetMode="External"/><Relationship Id="rId75" Type="http://schemas.openxmlformats.org/officeDocument/2006/relationships/hyperlink" Target="https://sidof.segob.gob.mx/notas/5430957" TargetMode="External"/><Relationship Id="rId76" Type="http://schemas.openxmlformats.org/officeDocument/2006/relationships/hyperlink" Target="https://www.diputados.gob.mx/LeyesBiblio/pdf/LFPDPPP.pdf" TargetMode="External"/><Relationship Id="rId77" Type="http://schemas.openxmlformats.org/officeDocument/2006/relationships/hyperlink" Target="https://www.diputados.gob.mx/LeyesBiblio/pdf/LGS.pdf" TargetMode="External"/><Relationship Id="rId78" Type="http://schemas.openxmlformats.org/officeDocument/2006/relationships/hyperlink" Target="https://www.diputados.gob.mx/LeyesBiblio/regley/Reg_LGS_MPSAM_170718.pdf" TargetMode="External"/><Relationship Id="rId79" Type="http://schemas.openxmlformats.org/officeDocument/2006/relationships/hyperlink" Target="https://www.diputados.gob.mx/LeyesBiblio/pdf/LGDNNA.pdf" TargetMode="External"/><Relationship Id="rId80" Type="http://schemas.openxmlformats.org/officeDocument/2006/relationships/hyperlink" Target="https://www.yucatan.gob.mx/procivy/" TargetMode="External"/><Relationship Id="rId81" Type="http://schemas.openxmlformats.org/officeDocument/2006/relationships/hyperlink" Target="https://www.diputados.gob.mx/LeyesBiblio/pdf/LGPGIR.pdf" TargetMode="External"/><Relationship Id="rId82" Type="http://schemas.openxmlformats.org/officeDocument/2006/relationships/hyperlink" Target="https://sidof.segob.gob.mx/notas/docFuente/5742612" TargetMode="External"/><Relationship Id="rId83" Type="http://schemas.openxmlformats.org/officeDocument/2006/relationships/hyperlink" Target="https://www.diputados.gob.mx/LeyesBiblio/pdf/LAN.pdf" TargetMode="External"/><Relationship Id="rId84" Type="http://schemas.openxmlformats.org/officeDocument/2006/relationships/hyperlink" Target="https://www.gob.mx/cofepris/acciones-y-programas/aviso-de-funcionamiento-de-responsable-sanitario-y-de-modificacion-o-baja" TargetMode="External"/><Relationship Id="rId85" Type="http://schemas.openxmlformats.org/officeDocument/2006/relationships/hyperlink" Target="https://sidof.segob.gob.mx/notas/docFuente/5692439" TargetMode="External"/><Relationship Id="rId86" Type="http://schemas.openxmlformats.org/officeDocument/2006/relationships/hyperlink" Target="https://www.diputados.gob.mx/LeyesBiblio/regley/Reg_LGS_MP.pdf" TargetMode="External"/><Relationship Id="rId87" Type="http://schemas.openxmlformats.org/officeDocument/2006/relationships/hyperlink" Target="https://wwwmat.sat.gob.mx/articulo/67548/articulo-15" TargetMode="External"/><Relationship Id="rId88" Type="http://schemas.openxmlformats.org/officeDocument/2006/relationships/hyperlink" Target="https://www.gob.mx/cofepris/acciones-y-programas/autorizacion-publicita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de Escuela Salud Modelo</dc:title>
  <dc:subject>Plan ampliado con NOM por servicio y programa de cumplimiento integral</dc:subject>
  <dc:creator>Propuesta para Gonzalo Arturo Ibarra Mendoza</dc:creator>
  <cp:keywords/>
  <dc:description>Calendario paralelo con meta de aceptación el 15 de diciembre de 2026. Sustituye estimaciones de la versión 2.0.</dc:description>
  <cp:lastModifiedBy/>
  <cp:revision>1</cp:revision>
  <dcterms:created xsi:type="dcterms:W3CDTF">2013-12-23T23:15:00Z</dcterms:created>
  <dcterms:modified xsi:type="dcterms:W3CDTF">2013-12-23T23:15:00Z</dcterms:modified>
  <cp:category/>
  <cp:version>3.0</cp:version>
</cp:coreProperties>
</file>