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8" w:name="content"/>
    <w:bookmarkStart w:id="21" w:name="analyse-du-problème"/>
    <w:p>
      <w:pPr>
        <w:pStyle w:val="Heading1"/>
      </w:pPr>
      <w:r>
        <w:t xml:space="preserve">Analyse du problème</w:t>
      </w:r>
    </w:p>
    <w:p>
      <w:pPr>
        <w:pStyle w:val="FirstParagraph"/>
      </w:pPr>
      <w:r>
        <w:t xml:space="preserve">Nous constatons que des réserves ont été émises au sujet de l’enseignement en ligne mis en place pour les cours d’Algorithmique et d’Outils informatiques. Il a notamment été avancé que, selon une opinion répandue, un bon apprentissage impliquerait la présence physique de l’enseignant, en particulier pour l’apprentissage pratique des logiciels ; que l’animateur n’aurait pas informé la section ELP (de rattachement) de l’organisation de ces cours ; qu’un changement d’enseignant a été décidé quasi immédiatement par le chef de section, sous l’impression d’une indisponibilité de l’enseignant initialement prévu ; qu’au régime habituel de ces cours en ligne seraient requis l’autorisation préalable de la section ELP, la consultation de la section IMC et une information formelle à la section ELP ; que le programme officiel et le calendrier des cours (pour Algorithmique et Outils Informatiques) prévoiraient le mode « présentiel » ; qu’un certain « savoir commun » soutiendrait qu’aucun enseignant permanent ne pourrait dispenser des cours en ligne ; et enfin, que le Secrétaire Général Académique aurait proscrit l’usage des TIC dans l’enseignement à distance. Ces éléments ont conduit la section IMC à considérer que nous aurions agi en dehors du cadre réglementaire en vigueur, en violation de nos engagements.</w:t>
      </w:r>
    </w:p>
    <w:p>
      <w:pPr>
        <w:pStyle w:val="BodyText"/>
      </w:pPr>
      <w:r>
        <w:t xml:space="preserve">Nous sommes donc amenés à apporter des explications claires et argumentées sur le choix de dispenser en partie ces cours en ligne, en nous fondant sur les textes réglementaires applicables, selon la méthodologie proposée par Monsieur le Chef de travaux Roger TSHIMPANGA.</w:t>
      </w:r>
    </w:p>
    <w:bookmarkEnd w:id="21"/>
    <w:bookmarkStart w:id="22" w:name="cadre-réglementaire-applicable"/>
    <w:p>
      <w:pPr>
        <w:pStyle w:val="Heading1"/>
      </w:pPr>
      <w:r>
        <w:t xml:space="preserve">Cadre réglementaire applicable</w:t>
      </w:r>
    </w:p>
    <w:p>
      <w:pPr>
        <w:pStyle w:val="FirstParagraph"/>
      </w:pPr>
      <w:r>
        <w:t xml:space="preserve">Les textes en vigueur auxquels nous référons sont notamment les suivants :</w:t>
      </w:r>
      <w:r>
        <w:br/>
      </w:r>
      <w:r>
        <w:t xml:space="preserve">- Loi-cadre de l’enseignement supérieur (articles 18 et 192).</w:t>
      </w:r>
      <w:r>
        <w:br/>
      </w:r>
      <w:r>
        <w:t xml:space="preserve">- Cadre normatif du système LMD (décret n°22/39 du 8 décembre 2022).</w:t>
      </w:r>
      <w:r>
        <w:br/>
      </w:r>
      <w:r>
        <w:t xml:space="preserve">- Vade-Mecum du Gestionnaire d’institution d’ESU (4e édition).</w:t>
      </w:r>
      <w:r>
        <w:br/>
      </w:r>
      <w:r>
        <w:t xml:space="preserve">- Instruction académique n°026/MINESU (28/10/2024).</w:t>
      </w:r>
      <w:r>
        <w:br/>
      </w:r>
      <w:r>
        <w:t xml:space="preserve">- Annuaire des descripteurs des unités d’enseignement pour la Licence en Génie Industriel.</w:t>
      </w:r>
      <w:r>
        <w:br/>
      </w:r>
      <w:r>
        <w:t xml:space="preserve">- Descriptif officiel du cours d’Outils informatiques pour ingénieurs.</w:t>
      </w:r>
    </w:p>
    <w:bookmarkEnd w:id="22"/>
    <w:bookmarkStart w:id="25" w:name="explications"/>
    <w:p>
      <w:pPr>
        <w:pStyle w:val="Heading1"/>
      </w:pPr>
      <w:r>
        <w:t xml:space="preserve">Explications</w:t>
      </w:r>
    </w:p>
    <w:bookmarkStart w:id="23" w:name="cours-dalgorithmique"/>
    <w:p>
      <w:pPr>
        <w:pStyle w:val="Heading2"/>
      </w:pPr>
      <w:r>
        <w:t xml:space="preserve">1. Cours d’Algorithmique</w:t>
      </w:r>
    </w:p>
    <w:p>
      <w:pPr>
        <w:pStyle w:val="FirstParagraph"/>
      </w:pPr>
      <w:r>
        <w:t xml:space="preserve">Le cours d’Algorithmique en Préparatoires a été dispensé à ⅔ en présentiel pour la Prépa A et à ⅓ en présentiel pour la Prépa B. Pour les séances restantes, et d’un commun accord avec les étudiants, nous avons décidé de poursuivre en ligne. À cet effet, nous avons informé le Secrétaire académique, Monsieur NTOYA MABEKA, que nous donnerions en ligne les séances restantes (dans le cadre d’une collaboration pédagogique établie avec les étudiants).</w:t>
      </w:r>
    </w:p>
    <w:p>
      <w:pPr>
        <w:pStyle w:val="BodyText"/>
      </w:pPr>
      <w:r>
        <w:t xml:space="preserve">Nous précisons que la</w:t>
      </w:r>
      <w:r>
        <w:t xml:space="preserve"> </w:t>
      </w:r>
      <w:r>
        <w:rPr>
          <w:i/>
          <w:iCs/>
        </w:rPr>
        <w:t xml:space="preserve">section ELP</w:t>
      </w:r>
      <w:r>
        <w:t xml:space="preserve"> </w:t>
      </w:r>
      <w:r>
        <w:t xml:space="preserve">dont dépend administrativement ce cours est une entité distincte de la personne de Monsieur MANDELA LUVUEZO (chef de la section IMC). Selon les textes réglementaires, la section ELP est un service structuré : en l’absence de son responsable (comme c’était le cas au moment des faits), le service continue de fonctionner par l’intermédiaire du secrétaire académique et du personnel attaché.</w:t>
      </w:r>
    </w:p>
    <w:p>
      <w:pPr>
        <w:pStyle w:val="BodyText"/>
      </w:pPr>
      <w:r>
        <w:t xml:space="preserve">Afin de justifier notre démarche, nous examinons les questions suivantes :</w:t>
      </w:r>
    </w:p>
    <w:p>
      <w:pPr>
        <w:numPr>
          <w:ilvl w:val="0"/>
          <w:numId w:val="1001"/>
        </w:numPr>
      </w:pPr>
      <w:r>
        <w:rPr>
          <w:b/>
          <w:bCs/>
        </w:rPr>
        <w:t xml:space="preserve">Qui définit le mode d’enseignement ?</w:t>
      </w:r>
      <w:r>
        <w:br/>
      </w:r>
      <w:r>
        <w:t xml:space="preserve">Selon le Vade-Mecum (point 5.1.4, p. 100), « chaque professeur, en accord avec le Conseil de Faculté/Section, arrête le plan du cours qu'il compte enseigner. Ce plan doit au préalable faire l'objet d'une adoption par la chaire et le Conseil de Département afin de l'harmoniser avec les autres cours et de le cadrer avec les objectifs institutionnels… ». En pratique, ni la section ELP, ni les sections TEM ou IMC ne constituent des chaires fonctionnelles. Chaque cours est donc planifié de manière assez autonome. Dès lors, il revient à l’enseignant titulaire de définir l’ossature du cours et le mode d’enseignement, en cohérence avec les objectifs pédagogiques.</w:t>
      </w:r>
    </w:p>
    <w:p>
      <w:pPr>
        <w:numPr>
          <w:ilvl w:val="0"/>
          <w:numId w:val="1001"/>
        </w:numPr>
      </w:pPr>
      <w:r>
        <w:rPr>
          <w:b/>
          <w:bCs/>
        </w:rPr>
        <w:t xml:space="preserve">Le mode d’enseignement à distance est-il autorisé par la tutelle ?</w:t>
      </w:r>
      <w:r>
        <w:br/>
      </w:r>
      <w:r>
        <w:t xml:space="preserve">Les articles 18 et 192 de la Loi-cadre affirment que « l’enseignement national doit assurer l’éducation aux technologies de l’information et de la communication, en tenant compte des besoins de la société » et permettre ainsi de faire face aux défis du domaine. Le Cadre normatif (critères 25.1 et 25.2) précise que l’enseignement supérieur doit intégrer efficacement les TIC dans toutes ses fonctions et faciliter l’accès aux contenus via des plateformes innovantes (cours en ligne, gestion de scolarité dématérialisée, etc.). De même, le Vade-Mecum (fiches d’évaluation des enseignants) évalue l’usage des TIC par les enseignants (ligne 9, p.32-34). Tous ces textes incitent à promouvoir les TIC dans la formation et l’administration. Ils ne prohibent pas l’enseignement en ligne ; au contraire, ils invitent à en favoriser l’usage – notamment depuis la pandémie de COVID-19 qui a accéléré cette tendance.</w:t>
      </w:r>
    </w:p>
    <w:p>
      <w:pPr>
        <w:numPr>
          <w:ilvl w:val="0"/>
          <w:numId w:val="1001"/>
        </w:numPr>
      </w:pPr>
      <w:r>
        <w:rPr>
          <w:b/>
          <w:bCs/>
        </w:rPr>
        <w:t xml:space="preserve">Quel est le régime applicable à l’enseignement en ligne ?</w:t>
      </w:r>
      <w:r>
        <w:br/>
      </w:r>
      <w:r>
        <w:t xml:space="preserve">Les normes du Cadre normatif encouragent la gouvernance numérique (Norme 25) et les approches pédagogiques innovantes (Norme 21). Par exemple, la Norme 21.1 recommande des pratiques variées adaptées à l’hétérogénéité des apprenants, notamment en assurant des cours en ligne ou en téléprésence immersive utilisables en mode présentiel, mixte ou distanciel, en recourant aux logiciels interactifs (tableurs, base de données, simulations, etc.), ou en appliquant la pédagogie inversée (matériel en ligne pour travaux personnels, cours en présence pour approfondissement). En résumé, le cadre réglementaire ne fixe pas de prérequis d’autorisation spécifiques pour l’enseignement à distance ; au contraire, il incite enseignants et étudiants à s’approprier les outils numériques. Aucune disposition n’impose les prétendues conditions préalables évoquées (autorisation ou information spéciale).</w:t>
      </w:r>
    </w:p>
    <w:p>
      <w:pPr>
        <w:numPr>
          <w:ilvl w:val="0"/>
          <w:numId w:val="1001"/>
        </w:numPr>
      </w:pPr>
      <w:r>
        <w:rPr>
          <w:b/>
          <w:bCs/>
        </w:rPr>
        <w:t xml:space="preserve">Quel mode d’enseignement est prévu dans le calendrier officiel ?</w:t>
      </w:r>
      <w:r>
        <w:br/>
      </w:r>
      <w:r>
        <w:t xml:space="preserve">Les documents officiels sont éclairants à ce sujet. Le 26 mars 2025, le Secrétaire académique de la section IMC nous a transmis par WhatsApp un horaire provisoire (annexe 8) incluant pour les préparatoires A et B les cours suivants : Algorithmique, Programmation, Conception Assistée par Ordinateur (Génie 2 Info et Tel), Processeurs numériques rapides II (Génie 2 Info). L’algorithme y figure sans mention de mode. Le 17 juin 2025, le Secrétaire Général Académique a approuvé l’emploi du temps du second semestre (annexe 9), établi par Monsieur LUVUEZO (chef de section). Il indique simplement :</w:t>
      </w:r>
      <w:r>
        <w:br/>
      </w:r>
      <w:r>
        <w:rPr>
          <w:b/>
          <w:bCs/>
        </w:rPr>
        <w:t xml:space="preserve">Prépa A et B – Algorithme</w:t>
      </w:r>
      <w:r>
        <w:t xml:space="preserve"> </w:t>
      </w:r>
      <w:r>
        <w:t xml:space="preserve">du 21/07 au 02/08/2025 de 08h00 à 12h00, avec l’assistant LISONGO BAÏTA.</w:t>
      </w:r>
      <w:r>
        <w:br/>
      </w:r>
      <w:r>
        <w:t xml:space="preserve">Ces documents institutionnels – accessibles en toute transparence – ne précisent nulle part que l’enseignement doit être « en présentiel ». À notre connaissance, aucune indication n’y figure imposant ce mode. Nous vous invitons à le constater : dans ces annexes, l’idée selon laquelle le cours serait automatiquement en présentiel n’apparaît pas. En l’absence de directive expresse, nous avons supposé que le cours pourrait être dispensé en ligne sans contrevenir aux normes en vigueur.</w:t>
      </w:r>
    </w:p>
    <w:p>
      <w:pPr>
        <w:numPr>
          <w:ilvl w:val="0"/>
          <w:numId w:val="1001"/>
        </w:numPr>
      </w:pPr>
      <w:r>
        <w:rPr>
          <w:b/>
          <w:bCs/>
        </w:rPr>
        <w:t xml:space="preserve">Quelles difficultés contextuelles ont accompagné le cours en ligne ?</w:t>
      </w:r>
      <w:r>
        <w:br/>
      </w:r>
      <w:r>
        <w:t xml:space="preserve">Lors de la mise en œuvre, nous avons rencontré deux principales difficultés techniques et financières :</w:t>
      </w:r>
    </w:p>
    <w:p>
      <w:pPr>
        <w:pStyle w:val="Compact"/>
        <w:numPr>
          <w:ilvl w:val="0"/>
          <w:numId w:val="1001"/>
        </w:numPr>
      </w:pPr>
      <w:r>
        <w:rPr>
          <w:b/>
          <w:bCs/>
        </w:rPr>
        <w:t xml:space="preserve">Manque d’équipement informatique chez les étudiants</w:t>
      </w:r>
      <w:r>
        <w:t xml:space="preserve"> </w:t>
      </w:r>
      <w:r>
        <w:t xml:space="preserve">: La plupart n’avaient pas d’ordinateur. Pour pallier ce manque, nous avons constitué des petits groupes (environ 15 étudiants) selon leur proximité géographique. Chaque groupe disposait d’au moins un ordinateur (souvent celui d’un participant) et d’un téléphone pour le partage d’écran.</w:t>
      </w:r>
    </w:p>
    <w:p>
      <w:pPr>
        <w:pStyle w:val="Compact"/>
        <w:numPr>
          <w:ilvl w:val="0"/>
          <w:numId w:val="1001"/>
        </w:numPr>
      </w:pPr>
      <w:r>
        <w:rPr>
          <w:b/>
          <w:bCs/>
        </w:rPr>
        <w:t xml:space="preserve">Coût de l’accès internet pour les étudiants</w:t>
      </w:r>
      <w:r>
        <w:t xml:space="preserve"> </w:t>
      </w:r>
      <w:r>
        <w:t xml:space="preserve">: Les forfaits individuels étaient onéreux. Nous avons donc proposé que chaque groupe achète collectivement un forfait d’environ 35 $ pour 2 heures de cours (soit environ 68 FC par étudiant dans le groupe). Ce coût a été réparti entre les 15 membres, équivalant à environ 0,023 $ (soit ~1,6 FC) par étudiant, somme déduite des frais de transport économisés. Les étudiants équipés uniquement de smartphones pouvaient suivre depuis chez eux, permettant aux plus éloignés d’y accéder également.</w:t>
      </w:r>
      <w:r>
        <w:br/>
      </w:r>
      <w:r>
        <w:t xml:space="preserve">Nous avons enfin tenu compte de la fluctuation du réseau (Africell) en répétant nos explications lorsque cela était nécessaire, pour que chacun puisse bien comprendre les notions. Un avantage supplémentaire de l’enseignement en ligne est que chaque étudiant pouvait enregistrer la leçon pour la réécouter à volonté, la répétition étant bénéfique pédagogiquement.</w:t>
      </w:r>
    </w:p>
    <w:p>
      <w:pPr>
        <w:pStyle w:val="FirstParagraph"/>
      </w:pPr>
      <w:r>
        <w:t xml:space="preserve">Ainsi, malgré les contraintes logistiques, nous avons mis en place des solutions permettant la continuité pédagogique et l’appropriation des compétences attendues.</w:t>
      </w:r>
    </w:p>
    <w:bookmarkEnd w:id="23"/>
    <w:bookmarkStart w:id="24" w:name="cours-doutils-informatiques"/>
    <w:p>
      <w:pPr>
        <w:pStyle w:val="Heading2"/>
      </w:pPr>
      <w:r>
        <w:t xml:space="preserve">2. Cours d’Outils informatiques</w:t>
      </w:r>
    </w:p>
    <w:p>
      <w:pPr>
        <w:numPr>
          <w:ilvl w:val="0"/>
          <w:numId w:val="1002"/>
        </w:numPr>
      </w:pPr>
      <w:r>
        <w:rPr>
          <w:b/>
          <w:bCs/>
        </w:rPr>
        <w:t xml:space="preserve">Compétences visées (planification officielle)</w:t>
      </w:r>
      <w:r>
        <w:t xml:space="preserve"> </w:t>
      </w:r>
      <w:r>
        <w:t xml:space="preserve">: Selon l’Annuaire des Descripteurs UE (p. 62), l’unité ELC206 « Outils informatiques pour électriciens et énergéticiens » vise notamment la compétence CP3 :</w:t>
      </w:r>
      <w:r>
        <w:t xml:space="preserve"> </w:t>
      </w:r>
      <w:r>
        <w:rPr>
          <w:i/>
          <w:iCs/>
        </w:rPr>
        <w:t xml:space="preserve">« Intégrer les TIC dans la réalisation des tâches liées à la profession d’ingénieur »</w:t>
      </w:r>
      <w:r>
        <w:t xml:space="preserve">. Dans la pratique professionnelle d’aujourd’hui, les ingénieurs utilisent beaucoup le télétravail. Or l’approche pédagogique prescrite pour ce cours est le « learning by doing ». Nous jugeons donc pertinent d’immerger les étudiants dans cette réalité dès maintenant : en suivant le cours en ligne, ils utilisent concrètement des outils collaboratifs (Microsoft Teams, Google Meet) qui leur seront utiles en télétravail dans leur future carrière.</w:t>
      </w:r>
    </w:p>
    <w:p>
      <w:pPr>
        <w:numPr>
          <w:ilvl w:val="0"/>
          <w:numId w:val="1002"/>
        </w:numPr>
      </w:pPr>
      <w:r>
        <w:rPr>
          <w:b/>
          <w:bCs/>
        </w:rPr>
        <w:t xml:space="preserve">Contenu visé (planification officielle)</w:t>
      </w:r>
      <w:r>
        <w:t xml:space="preserve"> </w:t>
      </w:r>
      <w:r>
        <w:t xml:space="preserve">: Le programme officiel du cours prévoit, entre autres, des activités de « recherche d’information sur internet ». Il va de soi que pour rechercher une information en ligne, les étudiants doivent d’abord se connecter à internet. En dispensant le cours en ligne, nous faisons d’une pierre deux coups : les étudiants apprennent à utiliser internet comme outil pédagogique, et nous utilisons un outil de visioconférence (Google Meet) pour illustrer en direct le processus de recherche d’information. Ils peuvent ainsi observer l’enseignant effectuer une recherche en temps réel sur l’écran partagé, et reproduire simultanément ces gestes sur leur propre poste de travail.</w:t>
      </w:r>
    </w:p>
    <w:p>
      <w:pPr>
        <w:numPr>
          <w:ilvl w:val="0"/>
          <w:numId w:val="1002"/>
        </w:numPr>
      </w:pPr>
      <w:r>
        <w:rPr>
          <w:b/>
          <w:bCs/>
        </w:rPr>
        <w:t xml:space="preserve">Mode d’enseignement préconisé (autorités / animateurs)</w:t>
      </w:r>
      <w:r>
        <w:t xml:space="preserve"> </w:t>
      </w:r>
      <w:r>
        <w:t xml:space="preserve">: La Norme 7 du Cadre normatif stipule que la formation doit être conçue en fonction des compétences visées (savoirs, savoir-faire, savoir-être) pour répondre aux objectifs de l’étudiant en sortie d’université. Dans ce cadre, le « learning by doing » implique de former les étudiants en situation concrète. Nous avons donc préconisé l’enseignement à distance afin de répondre efficacement à ces objectifs de compétence (notamment l’intégration des TIC) et conformément aux orientations pédagogiques supérieures. Cet enseignement à distance est cohérent avec les attentes de l’autorité en charge de l’enseignement supérieur, qui encourage l’innovation pédagogique et l’utilisation pertinente des TIC.</w:t>
      </w:r>
    </w:p>
    <w:p>
      <w:pPr>
        <w:numPr>
          <w:ilvl w:val="0"/>
          <w:numId w:val="1002"/>
        </w:numPr>
      </w:pPr>
      <w:r>
        <w:rPr>
          <w:b/>
          <w:bCs/>
        </w:rPr>
        <w:t xml:space="preserve">Difficultés rencontrées</w:t>
      </w:r>
      <w:r>
        <w:t xml:space="preserve"> </w:t>
      </w:r>
      <w:r>
        <w:t xml:space="preserve">: Comme pour l’Algorithmique, les principaux obstacles logistiques étaient le manque de matériel et de ressources chez les étudiants. Nous avons appliqué la même solution de groupes (cf. annexes 10, 11 et 12) pour que chaque groupe dispose d’au moins un ordinateur et d’un téléphone. Cette organisation a permis à tous de participer, même ceux qui ne pouvaient pas se déplacer.</w:t>
      </w:r>
    </w:p>
    <w:bookmarkEnd w:id="24"/>
    <w:bookmarkEnd w:id="25"/>
    <w:bookmarkStart w:id="26" w:name="recommandations"/>
    <w:p>
      <w:pPr>
        <w:pStyle w:val="Heading1"/>
      </w:pPr>
      <w:r>
        <w:t xml:space="preserve">Recommandations</w:t>
      </w:r>
    </w:p>
    <w:p>
      <w:pPr>
        <w:pStyle w:val="FirstParagraph"/>
      </w:pPr>
      <w:r>
        <w:t xml:space="preserve">Nous profitons de cette occasion pour formuler aux autorités compétentes (en copie) les recommandations suivantes :</w:t>
      </w:r>
    </w:p>
    <w:p>
      <w:pPr>
        <w:numPr>
          <w:ilvl w:val="0"/>
          <w:numId w:val="1003"/>
        </w:numPr>
      </w:pPr>
      <w:r>
        <w:rPr>
          <w:b/>
          <w:bCs/>
        </w:rPr>
        <w:t xml:space="preserve">Formation au télétravail</w:t>
      </w:r>
      <w:r>
        <w:t xml:space="preserve"> </w:t>
      </w:r>
      <w:r>
        <w:t xml:space="preserve">: Conformément à la Norme 25 (gouvernance numérique), organiser des sessions de formation sur le télétravail destinées au corps enseignant (PAS/PATO) et au personnel administratif. Une meilleure compréhension de l’usage pédagogique des TIC évitera les idées reçues telles que</w:t>
      </w:r>
      <w:r>
        <w:t xml:space="preserve"> </w:t>
      </w:r>
      <w:r>
        <w:rPr>
          <w:i/>
          <w:iCs/>
        </w:rPr>
        <w:t xml:space="preserve">« le présentiel est toujours indispensable »</w:t>
      </w:r>
      <w:r>
        <w:t xml:space="preserve"> </w:t>
      </w:r>
      <w:r>
        <w:t xml:space="preserve">et permettra à chacun d’exploiter plus efficacement les outils numériques dans l’enseignement à distance.</w:t>
      </w:r>
    </w:p>
    <w:p>
      <w:pPr>
        <w:numPr>
          <w:ilvl w:val="0"/>
          <w:numId w:val="1003"/>
        </w:numPr>
      </w:pPr>
      <w:r>
        <w:rPr>
          <w:b/>
          <w:bCs/>
        </w:rPr>
        <w:t xml:space="preserve">Formation en droit administratif et gestion du personnel</w:t>
      </w:r>
      <w:r>
        <w:t xml:space="preserve"> </w:t>
      </w:r>
      <w:r>
        <w:t xml:space="preserve">: Ces compétences sont essentielles pour l’administration du personnel et pour éviter des erreurs de procédure, par exemple le changement d’animateur sans respecter le principe de parallélisme des formes et des compétences. Des sessions dédiées renforceraient les capacités des responsables aux niveaux départemental et institutionnel.</w:t>
      </w:r>
    </w:p>
    <w:p>
      <w:pPr>
        <w:numPr>
          <w:ilvl w:val="0"/>
          <w:numId w:val="1003"/>
        </w:numPr>
      </w:pPr>
      <w:r>
        <w:rPr>
          <w:b/>
          <w:bCs/>
        </w:rPr>
        <w:t xml:space="preserve">Plateforme de communication interne</w:t>
      </w:r>
      <w:r>
        <w:t xml:space="preserve"> </w:t>
      </w:r>
      <w:r>
        <w:t xml:space="preserve">: En application de la directive I.13, directive 24 (instruction académique n°026), nous recommandons de développer une plateforme numérique officielle (site web de l’institut ou ENT) pour diffuser en temps réel les informations importantes entre étudiants, enseignants et administration. Cela permettrait de centraliser les communications officielles et de réduire la désinformation véhiculée par les réseaux sociaux (comme illustré par l’information non sourcée en annexe 12).</w:t>
      </w:r>
    </w:p>
    <w:bookmarkEnd w:id="26"/>
    <w:bookmarkStart w:id="27" w:name="conclusion"/>
    <w:p>
      <w:pPr>
        <w:pStyle w:val="Heading1"/>
      </w:pPr>
      <w:r>
        <w:t xml:space="preserve">Conclusion</w:t>
      </w:r>
    </w:p>
    <w:p>
      <w:pPr>
        <w:pStyle w:val="FirstParagraph"/>
      </w:pPr>
      <w:r>
        <w:t xml:space="preserve">Nous vous remercions, Monsieur le Chef de section, de nous avoir donné l’occasion d’exposer de manière détaillée, textes à l’appui, les raisons qui nous ont conduits à dispenser en ligne une partie du cours d’Algorithmique et l’intégralité du cours d’Outils informatiques. Au vu des éléments présentés ci-dessus, nous nous en remettons à votre jugement pour tirer les conclusions qui s’imposent, en nous tenant à votre disposition pour toute information complémentaire.</w:t>
      </w:r>
    </w:p>
    <w:p>
      <w:pPr>
        <w:pStyle w:val="BodyText"/>
      </w:pPr>
      <w:r>
        <w:t xml:space="preserve">Dans l’attente d’une suite favorable, veuillez agréer, Monsieur le Chef de section, l’expression de nos salutations distinguées.</w:t>
      </w:r>
    </w:p>
    <w:p>
      <w:pPr>
        <w:pStyle w:val="BodyText"/>
      </w:pPr>
      <w:r>
        <w:t xml:space="preserve">Roger TSHIMPANGA NTUMBA</w:t>
      </w:r>
      <w:r>
        <w:br/>
      </w:r>
      <w:r>
        <w:t xml:space="preserve">Chef de travaux</w:t>
      </w:r>
    </w:p>
    <w:p>
      <w:pPr>
        <w:pStyle w:val="BodyText"/>
      </w:pPr>
      <w:r>
        <w:rPr>
          <w:b/>
          <w:bCs/>
        </w:rPr>
        <w:t xml:space="preserve">Copies</w:t>
      </w:r>
      <w:r>
        <w:t xml:space="preserve"> </w:t>
      </w:r>
      <w:r>
        <w:t xml:space="preserve">(en information) : Section ELP, Section TEMP, Direction Générale, Secrétariat Général Académique, Secrétariat Général Administratif et Financier, Service du Personnel, Cellule d’Assurance Qualité.</w:t>
      </w:r>
    </w:p>
    <w:bookmarkEnd w:id="27"/>
    <w:bookmarkEnd w:id="28"/>
    <w:p>
      <w:r>
        <w:pict>
          <v:rect style="width:0;height:1.5pt" o:hralign="center" o:hrstd="t" o:hr="t"/>
        </w:pict>
      </w:r>
    </w:p>
    <w:bookmarkStart w:id="29" w:name="citations"/>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dc:language>
  <cp:keywords/>
  <dcterms:created xsi:type="dcterms:W3CDTF">2025-08-10T21:05:48Z</dcterms:created>
  <dcterms:modified xsi:type="dcterms:W3CDTF">2025-08-10T21:05:48Z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