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PathwayAI: Expert Evidence Review</w:t>
      </w:r>
    </w:p>
    <w:p>
      <w:r>
        <w:t>October 23, 2026. PubMed and journal requests were denied by the workspace proxy (403). This is an evidence map, not a completed latest-publication search. No app changes or newly verified numerical inputs are claimed.</w:t>
      </w:r>
    </w:p>
    <w:p>
      <w:pPr>
        <w:pStyle w:val="Heading1"/>
      </w:pPr>
      <w:r>
        <w:t>Source-specific priorities</w:t>
      </w:r>
    </w:p>
    <w:p>
      <w:r>
        <w:t>Horn EJ et al. (2025). Lyme Disease Biobank: 10 years of 3 month follow-up visits from 2014 to 2023. Frontiers in Medicine, 12:1577936.</w:t>
      </w:r>
    </w:p>
    <w:p>
      <w:r>
        <w:t>https://doi.org/10.3389/fmed.2025.1577936</w:t>
      </w:r>
    </w:p>
    <w:p>
      <w:r>
        <w:t>Previously checked supplied paper; latest-publication status unverified.</w:t>
      </w:r>
    </w:p>
    <w:p>
      <w:r>
        <w:t>Hook SA et al. (2022). Economic Burden of Reported Lyme Disease in High-Incidence Areas, United States, 2014–2016. Emerging Infectious Diseases, 28(6).</w:t>
      </w:r>
    </w:p>
    <w:p>
      <w:r>
        <w:t>https://wwwnc.cdc.gov/eid/article/28/6/21-1335_article</w:t>
      </w:r>
    </w:p>
    <w:p>
      <w:r>
        <w:t>Previously checked supplied article text; not part of the original 20-person list.</w:t>
      </w:r>
    </w:p>
    <w:p>
      <w:r>
        <w:t>Johnson L, Wilcox S, Mankoff J, Stricker RB. (2014). Severity of chronic Lyme disease compared to other chronic conditions: a quality of life survey. PeerJ, 2:e322.</w:t>
      </w:r>
    </w:p>
    <w:p>
      <w:r>
        <w:t>https://doi.org/10.7717/peerj.322</w:t>
      </w:r>
    </w:p>
    <w:p>
      <w:r>
        <w:t>Bibliographic lead; original full text and latest-publication status need live verification.</w:t>
      </w:r>
    </w:p>
    <w:p>
      <w:r>
        <w:t>Adrion ER, Aucott JN, Lemke KW, Weiner JP. (2015). Health care costs, utilization and patterns of care following Lyme disease. PLOS ONE, 10(2):e0116767.</w:t>
      </w:r>
    </w:p>
    <w:p>
      <w:r>
        <w:t>https://doi.org/10.1371/journal.pone.0116767</w:t>
      </w:r>
    </w:p>
    <w:p>
      <w:r>
        <w:t>Bibliographic lead; full-text findings and latest-publication status need live verification.</w:t>
      </w:r>
    </w:p>
    <w:p>
      <w:r>
        <w:t>Sanders GD et al. (2016). Recommendations for conduct, methodological practices, and reporting of cost-effectiveness analyses: Second Panel on Cost-Effectiveness in Health and Medicine. JAMA, 316(10):1093–1103.</w:t>
      </w:r>
    </w:p>
    <w:p>
      <w:r>
        <w:t>https://doi.org/10.1001/jama.2016.12195</w:t>
      </w:r>
    </w:p>
    <w:p>
      <w:r>
        <w:t>Foundational methods lead; not a claim of the authors’ latest work. Full text not retrieved in this review.</w:t>
      </w:r>
    </w:p>
    <w:p>
      <w:pPr>
        <w:pStyle w:val="Heading1"/>
      </w:pPr>
      <w:r>
        <w:t>Twenty-person review list</w:t>
      </w:r>
    </w:p>
    <w:p>
      <w:pPr>
        <w:pStyle w:val="Heading2"/>
      </w:pPr>
      <w:r>
        <w:t>Lorraine Johnson</w:t>
      </w:r>
    </w:p>
    <w:p>
      <w:r>
        <w:t>Add repeatable questions about daily function and work participation. Selected chronic-illness survey results cannot be applied to all county cases.</w:t>
      </w:r>
    </w:p>
    <w:p>
      <w:r>
        <w:t>Relevant source: Johnson L, Wilcox S, Mankoff J, Stricker RB. (2014). Severity of chronic Lyme disease compared to other chronic conditions: a quality of life survey. PeerJ, 2:e322. https://doi.org/10.7717/peerj.322</w:t>
      </w:r>
    </w:p>
    <w:p>
      <w:pPr>
        <w:pStyle w:val="Heading2"/>
      </w:pPr>
      <w:r>
        <w:t>Wendy Adams</w:t>
      </w:r>
    </w:p>
    <w:p>
      <w:r>
        <w:t>Seek research and patient-engagement review; do not attribute the Horn paper to her without verifying authorship.</w:t>
      </w:r>
    </w:p>
    <w:p>
      <w:r>
        <w:t>Current paper or article requires verification; no citation assigned.</w:t>
      </w:r>
    </w:p>
    <w:p>
      <w:pPr>
        <w:pStyle w:val="Heading2"/>
      </w:pPr>
      <w:r>
        <w:t>Elizabeth Horn</w:t>
      </w:r>
    </w:p>
    <w:p>
      <w:r>
        <w:t>Add follow-up reminders and record missing follow-up. Three-month symptoms are not a long-term disability rate.</w:t>
      </w:r>
    </w:p>
    <w:p>
      <w:r>
        <w:t>Relevant source: Horn EJ et al. (2025). Lyme Disease Biobank: 10 years of 3 month follow-up visits from 2014 to 2023. Frontiers in Medicine, 12:1577936. https://doi.org/10.3389/fmed.2025.1577936</w:t>
      </w:r>
    </w:p>
    <w:p>
      <w:pPr>
        <w:pStyle w:val="Heading2"/>
      </w:pPr>
      <w:r>
        <w:t>John Aucott</w:t>
      </w:r>
    </w:p>
    <w:p>
      <w:r>
        <w:t>Consider a separate claims-based medical-cost layer after verifying definitions, follow-up window and comparison group.</w:t>
      </w:r>
    </w:p>
    <w:p>
      <w:r>
        <w:t>Relevant source: Adrion ER, Aucott JN, Lemke KW, Weiner JP. (2015). Health care costs, utilization and patterns of care following Lyme disease. PLOS ONE, 10(2):e0116767. https://doi.org/10.1371/journal.pone.0116767</w:t>
      </w:r>
    </w:p>
    <w:p>
      <w:pPr>
        <w:pStyle w:val="Heading2"/>
      </w:pPr>
      <w:r>
        <w:t>Alison Rebman</w:t>
      </w:r>
    </w:p>
    <w:p>
      <w:r>
        <w:t>Search for prospective studies connecting Lyme symptoms with functional limitations and duration.</w:t>
      </w:r>
    </w:p>
    <w:p>
      <w:r>
        <w:t>Current paper or article requires verification; no citation assigned.</w:t>
      </w:r>
    </w:p>
    <w:p>
      <w:pPr>
        <w:pStyle w:val="Heading2"/>
      </w:pPr>
      <w:r>
        <w:t>Brian Fallon</w:t>
      </w:r>
    </w:p>
    <w:p>
      <w:r>
        <w:t>Seek validated measures of cognitive symptoms and functional impact; verify current publications before selecting a measure.</w:t>
      </w:r>
    </w:p>
    <w:p>
      <w:r>
        <w:t>Current paper or article requires verification; no citation assigned.</w:t>
      </w:r>
    </w:p>
    <w:p>
      <w:pPr>
        <w:pStyle w:val="Heading2"/>
      </w:pPr>
      <w:r>
        <w:t>Elizabeth Maloney</w:t>
      </w:r>
    </w:p>
    <w:p>
      <w:r>
        <w:t>Keep initial illness, follow-up symptoms and clinical classifications distinct.</w:t>
      </w:r>
    </w:p>
    <w:p>
      <w:r>
        <w:t>Relevant source: Horn EJ et al. (2025). Lyme Disease Biobank: 10 years of 3 month follow-up visits from 2014 to 2023. Frontiers in Medicine, 12:1577936. https://doi.org/10.3389/fmed.2025.1577936</w:t>
      </w:r>
    </w:p>
    <w:p>
      <w:pPr>
        <w:pStyle w:val="Heading2"/>
      </w:pPr>
      <w:r>
        <w:t>Monica Embers</w:t>
      </w:r>
    </w:p>
    <w:p>
      <w:r>
        <w:t>Review relevant original research; do not transfer laboratory findings into county disability probabilities.</w:t>
      </w:r>
    </w:p>
    <w:p>
      <w:r>
        <w:t>Current paper or article requires verification; no citation assigned.</w:t>
      </w:r>
    </w:p>
    <w:p>
      <w:pPr>
        <w:pStyle w:val="Heading2"/>
      </w:pPr>
      <w:r>
        <w:t>Bonnie Crum</w:t>
      </w:r>
    </w:p>
    <w:p>
      <w:r>
        <w:t>Patient-support feedback and usability testing may be a better outreach request than a paper-based methods request.</w:t>
      </w:r>
    </w:p>
    <w:p>
      <w:r>
        <w:t>Current paper or article requires verification; no citation assigned.</w:t>
      </w:r>
    </w:p>
    <w:p>
      <w:pPr>
        <w:pStyle w:val="Heading2"/>
      </w:pPr>
      <w:r>
        <w:t>Richard Horowitz</w:t>
      </w:r>
    </w:p>
    <w:p>
      <w:r>
        <w:t>Ask about patient-reported burden and care preparation; assess sampling and study design before adopting numerical claims.</w:t>
      </w:r>
    </w:p>
    <w:p>
      <w:r>
        <w:t>Current paper or article requires verification; no citation assigned.</w:t>
      </w:r>
    </w:p>
    <w:p>
      <w:pPr>
        <w:pStyle w:val="Heading2"/>
      </w:pPr>
      <w:r>
        <w:t>Peter Neumann</w:t>
      </w:r>
    </w:p>
    <w:p>
      <w:r>
        <w:t>Create an impact inventory: medical costs, nonmedical costs, work loss and unpaid care, with overlaps identified.</w:t>
      </w:r>
    </w:p>
    <w:p>
      <w:r>
        <w:t>Relevant source: Sanders GD et al. (2016). Recommendations for conduct, methodological practices, and reporting of cost-effectiveness analyses: Second Panel on Cost-Effectiveness in Health and Medicine. JAMA, 316(10):1093–1103. https://doi.org/10.1001/jama.2016.12195</w:t>
      </w:r>
    </w:p>
    <w:p>
      <w:pPr>
        <w:pStyle w:val="Heading2"/>
      </w:pPr>
      <w:r>
        <w:t>Anirban Basu</w:t>
      </w:r>
    </w:p>
    <w:p>
      <w:r>
        <w:t>Separate measurement from modeling and distinguish scenario ranges from statistical uncertainty.</w:t>
      </w:r>
    </w:p>
    <w:p>
      <w:r>
        <w:t>Relevant source: Sanders GD et al. (2016). Recommendations for conduct, methodological practices, and reporting of cost-effectiveness analyses: Second Panel on Cost-Effectiveness in Health and Medicine. JAMA, 316(10):1093–1103. https://doi.org/10.1001/jama.2016.12195</w:t>
      </w:r>
    </w:p>
    <w:p>
      <w:pPr>
        <w:pStyle w:val="Heading2"/>
      </w:pPr>
      <w:r>
        <w:t>David Cutler</w:t>
      </w:r>
    </w:p>
    <w:p>
      <w:r>
        <w:t>Seek methods separating medical spending, labor-market effects, mortality and quality-of-life losses.</w:t>
      </w:r>
    </w:p>
    <w:p>
      <w:r>
        <w:t>Current paper or article requires verification; no citation assigned.</w:t>
      </w:r>
    </w:p>
    <w:p>
      <w:pPr>
        <w:pStyle w:val="Heading2"/>
      </w:pPr>
      <w:r>
        <w:t>Amitabh Chandra</w:t>
      </w:r>
    </w:p>
    <w:p>
      <w:r>
        <w:t>Seek evidence on resource allocation; do not infer savings from illness-stage cost differences alone.</w:t>
      </w:r>
    </w:p>
    <w:p>
      <w:r>
        <w:t>Current paper or article requires verification; no citation assigned.</w:t>
      </w:r>
    </w:p>
    <w:p>
      <w:pPr>
        <w:pStyle w:val="Heading2"/>
      </w:pPr>
      <w:r>
        <w:t>Stacie Dusetzina</w:t>
      </w:r>
    </w:p>
    <w:p>
      <w:r>
        <w:t>Seek current affordability studies; distinguish patient out-of-pocket payments, nonadherence and payer spending.</w:t>
      </w:r>
    </w:p>
    <w:p>
      <w:r>
        <w:t>Current paper or article requires verification; no citation assigned.</w:t>
      </w:r>
    </w:p>
    <w:p>
      <w:pPr>
        <w:pStyle w:val="Heading2"/>
      </w:pPr>
      <w:r>
        <w:t>Rena Conti</w:t>
      </w:r>
    </w:p>
    <w:p>
      <w:r>
        <w:t>Seek current methods for medication prices and actual payments; list prices are not patient-paid costs.</w:t>
      </w:r>
    </w:p>
    <w:p>
      <w:r>
        <w:t>Current paper or article requires verification; no citation assigned.</w:t>
      </w:r>
    </w:p>
    <w:p>
      <w:pPr>
        <w:pStyle w:val="Heading2"/>
      </w:pPr>
      <w:r>
        <w:t>Cynthia Cox</w:t>
      </w:r>
    </w:p>
    <w:p>
      <w:r>
        <w:t>Review dated Health System Tracker analyses for visual communication of costs and population coverage.</w:t>
      </w:r>
    </w:p>
    <w:p>
      <w:r>
        <w:t>Current paper or article requires verification; no citation assigned.</w:t>
      </w:r>
    </w:p>
    <w:p>
      <w:pPr>
        <w:pStyle w:val="Heading2"/>
      </w:pPr>
      <w:r>
        <w:t>Larry Levitt</w:t>
      </w:r>
    </w:p>
    <w:p>
      <w:r>
        <w:t>Review dated KFF policy analyses for clear explanations of insurance barriers and coverage gaps.</w:t>
      </w:r>
    </w:p>
    <w:p>
      <w:r>
        <w:t>Current paper or article requires verification; no citation assigned.</w:t>
      </w:r>
    </w:p>
    <w:p>
      <w:pPr>
        <w:pStyle w:val="Heading2"/>
      </w:pPr>
      <w:r>
        <w:t>Elisabeth Rosenthal</w:t>
      </w:r>
    </w:p>
    <w:p>
      <w:r>
        <w:t>Review dated reporting on billing navigation; use applicable official rules for app guidance.</w:t>
      </w:r>
    </w:p>
    <w:p>
      <w:r>
        <w:t>Current paper or article requires verification; no citation assigned.</w:t>
      </w:r>
    </w:p>
    <w:p>
      <w:pPr>
        <w:pStyle w:val="Heading2"/>
      </w:pPr>
      <w:r>
        <w:t>Sarah Kliff</w:t>
      </w:r>
    </w:p>
    <w:p>
      <w:r>
        <w:t>Review dated medical-billing reporting to identify usability questions; reporting anecdotes are not population estimates.</w:t>
      </w:r>
    </w:p>
    <w:p>
      <w:r>
        <w:t>Current paper or article requires verification; no citation assigned.</w:t>
      </w:r>
    </w:p>
    <w:p>
      <w:pPr>
        <w:pStyle w:val="Heading1"/>
      </w:pPr>
      <w:r>
        <w:t>Immediate app priorities</w:t>
      </w:r>
    </w:p>
    <w:p>
      <w:pPr>
        <w:pStyle w:val="ListBullet"/>
      </w:pPr>
      <w:r>
        <w:t>Add dated function and work-status records, not only missed workdays.</w:t>
      </w:r>
    </w:p>
    <w:p>
      <w:pPr>
        <w:pStyle w:val="ListBullet"/>
      </w:pPr>
      <w:r>
        <w:t>Define separate acute-episode, annual population and longer-term burden models.</w:t>
      </w:r>
    </w:p>
    <w:p>
      <w:pPr>
        <w:pStyle w:val="ListBullet"/>
      </w:pPr>
      <w:r>
        <w:t>Create an impact inventory to identify included and unmeasured components and prevent double counting.</w:t>
      </w:r>
    </w:p>
    <w:p>
      <w:pPr>
        <w:pStyle w:val="ListBullet"/>
      </w:pPr>
      <w:r>
        <w:t>Keep county all-cause disability separate from modeled Lyme-attributable disability.</w:t>
      </w:r>
    </w:p>
    <w:p>
      <w:pPr>
        <w:pStyle w:val="ListBullet"/>
      </w:pPr>
      <w:r>
        <w:t>Do not label the 55/253 three-month symptom result as long-term disability.</w:t>
      </w:r>
    </w:p>
    <w:p>
      <w:pPr>
        <w:pStyle w:val="ListBullet"/>
      </w:pPr>
      <w:r>
        <w:t>Distinguish current measurements, source-transfer assumptions and future consented reporting.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