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r>
        <w:t>Let’s look at how it works.</w:t>
      </w:r>
    </w:p>
    <w:p>
      <w:r>
        <w:t>Choose the situation that fits you. Use “Quick and easy” for shorter steps.</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r>
        <w:t>In Care &amp; Support, people can find community health centers and questions to ask about financial assistance. Patients should check available services, interpreter support, and costs with the provider before their appointment.</w:t>
      </w:r>
    </w:p>
    <w:p>
      <w:r>
        <w:t>Next, they can put their story into words.</w:t>
      </w:r>
    </w:p>
    <w:p>
      <w:r>
        <w:t>They can write in their preferred language, or mix languages while keeping English place names and medical terms.</w:t>
      </w:r>
    </w:p>
    <w:p>
      <w:r>
        <w:t>If they choose, the app’s built-in AI helps organize their notes into an English summary alongside the original. They review and correct it before sharing.</w:t>
      </w:r>
    </w:p>
    <w:p>
      <w:r>
        <w:t>The summary lays out exposure, symptoms, tests, and care received. Then they select “Download my visit summary.”</w:t>
      </w:r>
    </w:p>
    <w:p>
      <w:r>
        <w:t>Here’s the PDF they can bring to an appointment, alongside their original test reports. Keeping dated records can also help them prepare for future support or disability-benefits conversations.</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r>
        <w:t>So, what can a community do with this?</w:t>
      </w:r>
    </w:p>
    <w:p>
      <w:r>
        <w:t>The community view combines CDC, Census, HRSA, and CMS open data with New York Lyme surveillance. It shows reported illness alongside healthcare resources and local access barriers.</w:t>
      </w:r>
    </w:p>
    <w:p>
      <w:r>
        <w:t>Dutchess County reported 1,060 Lyme cases in 2024. Multiplying that count by the Hook study’s average societal cost gives an illustration of about 2.15 million dollars, in 2016 dollars—not measured county spending.</w:t>
      </w:r>
    </w:p>
    <w:p>
      <w:r>
        <w:t>County teams can compare the data, explore a support topic, and download a planning template.</w:t>
      </w:r>
    </w:p>
    <w:p>
      <w:r>
        <w:t>Next, we want to work with a county health department in an area with high Lyme rates and a community organization to design a secure, consent-based reporting pilot.</w:t>
      </w:r>
    </w:p>
    <w:p>
      <w:r>
        <w:t>Feedback from people affected by Lyme disease, experts, and a county health department has helped shape the app. We also thank our English-, Mandarin-, and Spanish-speaking testers for helping make it easier to use.</w:t>
      </w:r>
    </w:p>
    <w:p>
      <w:r>
        <w:t>We plan to keep patient access free through grants and community partnerships.</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