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PathwayAI: What the Uploaded Studies Can Improve</w:t>
      </w:r>
    </w:p>
    <w:p>
      <w:r>
        <w:t>Primary sources reviewed: peerj-322.pdf and HECOST.pdf. Findings support feature design and separately labeled evidence layers; no new county estimates or app outcomes are claimed.</w:t>
      </w:r>
    </w:p>
    <w:p>
      <w:pPr>
        <w:pStyle w:val="Heading1"/>
      </w:pPr>
      <w:r>
        <w:t>Patient functioning and disability</w:t>
      </w:r>
    </w:p>
    <w:p>
      <w:r>
        <w:t>Johnson L, Wilcox S, Mankoff J, Stricker RB (2014). Severity of chronic Lyme disease compared to other chronic conditions: a quality of life survey. PeerJ 2:e322.</w:t>
      </w:r>
    </w:p>
    <w:p>
      <w:r>
        <w:t>https://doi.org/10.7717/peerj.322</w:t>
      </w:r>
    </w:p>
    <w:p>
      <w:r>
        <w:t>Selected online respondents reporting persistent symptoms &gt;6 months after antibiotic treatment; diagnoses and outcomes self-reported, not independently confirmed. Not representative county incident Lyme cases.</w:t>
      </w:r>
    </w:p>
    <w:p>
      <w:r>
        <w:t>{"measure": "Stopped working", "value": 41.3, "unit": "percent", "source": "PDF page 7, Table 4, full working sample column", "note": "Narrative page 12 says approximately 42%; retain table and narrative distinction."}</w:t>
      </w:r>
    </w:p>
    <w:p>
      <w:r>
        <w:t>{"measure": "Changed work hours or role", "value": 29.2, "unit": "percent", "source": "PDF page 7, Table 4", "note": "Narrative page 12 gives 25%; do not silently reconcile."}</w:t>
      </w:r>
    </w:p>
    <w:p>
      <w:r>
        <w:t>{"measure": "At least $5,000 annual Lyme-related out-of-pocket expenses", "value": 43.2, "unit": "percent", "source": "PDF page 7, Table 4", "note": "Narrative page 11 approximately 43%; discussion gives 46%. Table 4 is used for this extraction."}</w:t>
      </w:r>
    </w:p>
    <w:p>
      <w:r>
        <w:t>{"measure": "Reported receiving disability as a result of CLD", "value": 24, "unit": "percent", "source": "PDF page 12, narrative", "note": "Self-reported; does not establish adjudicated SSA eligibility or disability risk among all Lyme cases."}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Self-selected online sample enriched for persistent illness</w:t>
      </w:r>
    </w:p>
    <w:p>
      <w:pPr>
        <w:pStyle w:val="ListBullet"/>
      </w:pPr>
      <w:r>
        <w:t>Cross-sectional, self-reported; comorbidities not addressed</w:t>
      </w:r>
    </w:p>
    <w:p>
      <w:pPr>
        <w:pStyle w:val="ListBullet"/>
      </w:pPr>
      <w:r>
        <w:t>Cannot estimate the probability of chronic disability among newly diagnosed county cases</w:t>
      </w:r>
    </w:p>
    <w:p>
      <w:pPr>
        <w:pStyle w:val="ListBullet"/>
      </w:pPr>
      <w:r>
        <w:t>Does not quantify total societal costs; annual spending bands are not means</w:t>
      </w:r>
    </w:p>
    <w:p>
      <w:pPr>
        <w:pStyle w:val="ListBullet"/>
      </w:pPr>
      <w:r>
        <w:t>Some table/narrative values differ; do not combine them as consistent estimates</w:t>
      </w:r>
    </w:p>
    <w:p>
      <w:pPr>
        <w:pStyle w:val="Heading1"/>
      </w:pPr>
      <w:r>
        <w:t>Medical costs and utilization</w:t>
      </w:r>
    </w:p>
    <w:p>
      <w:r>
        <w:t>Adrion ER, Aucott J, Lemke KW, Weiner JP (2015). Health Care Costs, Utilization and Patterns of Care following Lyme Disease. PLOS ONE 10(2):e0116767.</w:t>
      </w:r>
    </w:p>
    <w:p>
      <w:r>
        <w:t>https://doi.org/10.1371/journal.pone.0116767</w:t>
      </w:r>
    </w:p>
    <w:p>
      <w:r>
        <w:t>Commercially insured ages 0–64, continuous enrollment required</w:t>
      </w:r>
    </w:p>
    <w:p>
      <w:r>
        <w:t>{"measure": "Adjusted excess total medical cost: Lyme group vs matched controls", "usd": 2968, "ci95_usd": [2807, 3128], "source": "PDF page 7/Table 2 page 8"}</w:t>
      </w:r>
    </w:p>
    <w:p>
      <w:r>
        <w:t>{"measure": "Adjusted excess cost within Lyme group: &gt;=1 PTLDS-related code vs none", "usd": 3798, "ci95_usd": [3542, 4055], "source": "Abstract and Table 4 PDF page 10"}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Symptom-related diagnosis codes are not a validated PTLDS diagnosis or demonstrated functional decline</w:t>
      </w:r>
    </w:p>
    <w:p>
      <w:pPr>
        <w:pStyle w:val="ListBullet"/>
      </w:pPr>
      <w:r>
        <w:t>No medical-record confirmation of each Lyme case</w:t>
      </w:r>
    </w:p>
    <w:p>
      <w:pPr>
        <w:pStyle w:val="ListBullet"/>
      </w:pPr>
      <w:r>
        <w:t>Excludes uninsured people, Medicare-age adults and many people with interrupted coverage</w:t>
      </w:r>
    </w:p>
    <w:p>
      <w:pPr>
        <w:pStyle w:val="ListBullet"/>
      </w:pPr>
      <w:r>
        <w:t>Only 12-month costs; no lifetime economic burden or work-loss valuation</w:t>
      </w:r>
    </w:p>
    <w:p>
      <w:pPr>
        <w:pStyle w:val="ListBullet"/>
      </w:pPr>
      <w:r>
        <w:t>Two adjusted differences use different comparison groups; do not add them or combine with Hook societal totals</w:t>
      </w:r>
    </w:p>
    <w:p>
      <w:pPr>
        <w:pStyle w:val="ListBullet"/>
      </w:pPr>
      <w:r>
        <w:t>Historical associations do not establish app savings or causal treatment-delay effects</w:t>
      </w:r>
    </w:p>
    <w:p>
      <w:pPr>
        <w:pStyle w:val="Heading1"/>
      </w:pPr>
      <w:r>
        <w:t>Recommended PathwayAI improvements</w:t>
      </w:r>
    </w:p>
    <w:p>
      <w:pPr>
        <w:pStyle w:val="ListBullet"/>
      </w:pPr>
      <w:r>
        <w:t>Separate work outcomes: days absent, reduced hours, changed duties, stopped work, and reduced effectiveness while working. Do not count the same lost time twice.</w:t>
      </w:r>
    </w:p>
    <w:p>
      <w:pPr>
        <w:pStyle w:val="ListBullet"/>
      </w:pPr>
      <w:r>
        <w:t>Keep receiving disability benefits separate from symptom severity or inability to work; record program and stage only when needed, without identifiers.</w:t>
      </w:r>
    </w:p>
    <w:p>
      <w:pPr>
        <w:pStyle w:val="ListBullet"/>
      </w:pPr>
      <w:r>
        <w:t>Use a consistent reporting period for days affected and spending; preserve missing values.</w:t>
      </w:r>
    </w:p>
    <w:p>
      <w:pPr>
        <w:pStyle w:val="ListBullet"/>
      </w:pPr>
      <w:r>
        <w:t>Add a dated daily-function record and optional follow-up questions. Adapted questions should not be labeled a validated scale unless used and scored as specified.</w:t>
      </w:r>
    </w:p>
    <w:p>
      <w:pPr>
        <w:pStyle w:val="ListBullet"/>
      </w:pPr>
      <w:r>
        <w:t>Present claims-based medical costs as a separate literature reference, with population, horizon, allowed-amount metric, and unresolved dollar-year note.</w:t>
      </w:r>
    </w:p>
    <w:p>
      <w:pPr>
        <w:pStyle w:val="ListBullet"/>
      </w:pPr>
      <w:r>
        <w:t>Keep HRSA all-cause disability, selected Lyme survey findings, and modeled Lyme burden in distinct panels.</w:t>
      </w:r>
    </w:p>
    <w:p>
      <w:pPr>
        <w:pStyle w:val="ListBullet"/>
      </w:pPr>
      <w:r>
        <w:t>For county modeling, first obtain a defensible probability and duration of functional limitation after incident Lyme. Neither uploaded paper provides a directly transportable county disability probability.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