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PathwayAI: County Economic Burden Evidence Review</w:t>
      </w:r>
    </w:p>
    <w:p>
      <w:r>
        <w:t>Review date: October 23, 2026.</w:t>
      </w:r>
    </w:p>
    <w:p>
      <w:r>
        <w:t>Access status: Fresh requests to CDC, NYSDOH, the Hook article and BLS failed through the workspace network proxy. This review uses previously supplied source files and their verification records. Candidate papers below have not been freshly retrieved or independently verified in this review. No new data have been incorporated into the app.</w:t>
      </w:r>
    </w:p>
    <w:p>
      <w:pPr>
        <w:pStyle w:val="Heading1"/>
      </w:pPr>
      <w:r>
        <w:t>Evidence available for immediate use</w:t>
      </w:r>
    </w:p>
    <w:p>
      <w:r>
        <w:t>1. NYSDOH 2024 reported Lyme cases and incidence. Official supplied PDFs were previously checked, page 5. Counts describe residence, not exposure location or all infections.</w:t>
        <w:br/>
        <w:t>Cases: https://www.health.ny.gov/statistics/diseases/communicable/2024/docs/cases.pdf</w:t>
        <w:br/>
        <w:t>Rates: https://www.health.ny.gov/statistics/diseases/communicable/2024/docs/rates.pdf</w:t>
      </w:r>
    </w:p>
    <w:p>
      <w:r>
        <w:t>2. Hook et al. (2022), Economic Burden of Reported Lyme Disease in High-Incidence Areas, United States, 2014–2016. Previously checked article text. Weighted mean societal cost: $2,032 per participant; medical component: $1,333; all in 2016 dollars. Societal analysis n=613. Localized mean $1,307 and disseminated mean $3,251 are observed study-group differences, not causal savings from early treatment. Societal totals include medical, nonmedical and productivity costs: do not add those components again. Non-English speakers and nonacute disease were excluded. This is especially relevant to PathwayAI's language-access goals: the source does not establish representative costs for those excluded groups.</w:t>
        <w:br/>
        <w:t>https://wwwnc.cdc.gov/eid/article/28/6/21-1335_article</w:t>
      </w:r>
    </w:p>
    <w:p>
      <w:r>
        <w:t>3. Horn et al. (2025), Lyme Disease Biobank: 10 years of 3 month follow-up visits from 2014 to 2023. Previously checked supplied PDF. Of 253 returners, 55 reported ongoing symptoms at roughly three months. This supports follow-up questions, not a county long-term disability probability, PTLDS diagnosis, or monetary unit cost. Follow-up nonresponse limits interpretation.</w:t>
        <w:br/>
        <w:t>https://www.frontiersin.org/journals/medicine/articles/10.3389/fmed.2025.1577936/full</w:t>
      </w:r>
    </w:p>
    <w:p>
      <w:pPr>
        <w:pStyle w:val="Heading1"/>
      </w:pPr>
      <w:r>
        <w:t>Reproducible reported-case illustrations</w:t>
      </w:r>
    </w:p>
    <w:p>
      <w:r>
        <w:t>Formula: reported 2024 cases × Hook societal mean of $2,032 (2016 USD).</w:t>
        <w:br/>
        <w:t>These are transfer-based planning illustrations, not measured spending or confidence intervals.</w:t>
      </w:r>
    </w:p>
    <w:p>
      <w:r>
        <w:t>- Dutchess: 1,060 reported cases; 355.5 cases per 100,000; 1,060 × $2,032 = $2,153,920.</w:t>
      </w:r>
    </w:p>
    <w:p>
      <w:r>
        <w:t>- Orange: 964 reported cases; 237 cases per 100,000; 964 × $2,032 = $1,958,848.</w:t>
      </w:r>
    </w:p>
    <w:p>
      <w:pPr>
        <w:pStyle w:val="Heading1"/>
      </w:pPr>
      <w:r>
        <w:t>Priority sources to retrieve and review next</w:t>
      </w:r>
    </w:p>
    <w:p>
      <w:r>
        <w:t>These are identified primary-source leads, not newly verified numerical inputs.</w:t>
      </w:r>
    </w:p>
    <w:p>
      <w:r>
        <w:t>- Adrion et al. (2015): Health Care Costs, Utilization and Patterns of Care following Lyme Disease. Review methods, claims population, comparison group, cost horizon, dollar year and residual confounding before importing costs. Claims outcomes and post-treatment symptom codes should not be treated as verified long-term disability.</w:t>
        <w:br/>
        <w:t>https://journals.plos.org/plosone/article?id=10.1371/journal.pone.0116767</w:t>
      </w:r>
    </w:p>
    <w:p>
      <w:r>
        <w:t>- Johnson et al. (2014): Severity of chronic Lyme disease compared to other chronic conditions: a quality of life survey. Potential functional-impact evidence. Selected survey participants cannot establish county prevalence or the fraction of all incident cases becoming disabled.</w:t>
        <w:br/>
        <w:t>https://peerj.com/articles/322/</w:t>
      </w:r>
    </w:p>
    <w:p>
      <w:r>
        <w:t>- Kugeler et al. (2021): Estimating the Frequency of Lyme Disease Diagnoses, United States, 2010–2018. Review national diagnosis-estimation methods. A national diagnosis-to-report ratio is not automatically a county underreporting multiplier.</w:t>
        <w:br/>
        <w:t>https://wwwnc.cdc.gov/eid/article/27/2/20-2731_article</w:t>
      </w:r>
    </w:p>
    <w:p>
      <w:r>
        <w:t>- BLS CPI: Select and document an appropriate inflation series, base-year and target-year averages. General CPI and medical CPI answer different questions; neither fixes study-population transferability.</w:t>
        <w:br/>
        <w:t>https://www.bls.gov/cpi/data.htm</w:t>
      </w:r>
    </w:p>
    <w:p>
      <w:pPr>
        <w:pStyle w:val="Heading1"/>
      </w:pPr>
      <w:r>
        <w:t>What the county model should deliver next</w:t>
      </w:r>
    </w:p>
    <w:p>
      <w:r>
        <w:t>- Reported cases and incidence, with consistent geography and year.</w:t>
        <w:br/>
        <w:t>- A source-based cost illustration, labeled with study population, included categories and original dollar year.</w:t>
        <w:br/>
        <w:t>- Optional inflation-adjusted values after the index and annual values are verified.</w:t>
        <w:br/>
        <w:t>- Separately labeled stage-mix and under-ascertainment scenarios only when defensible parameters are available. Alternative scenarios are not components to add to the baseline.</w:t>
        <w:br/>
        <w:t>- Long-term costs only after verifying compatible probabilities, duration and incremental costs not already included in the baseline. Do not multiply three-month symptoms or selected registry disability percentages by all county incident cases.</w:t>
        <w:br/>
        <w:t>- A plain-language evidence-gap panel for unpaid caregiving, persistent functional limitations, non-English speakers and undiagnosed illness.</w:t>
        <w:br/>
        <w:t>- Downloadable results with formulas, provenance, assumptions and sensitivity ranges. Label ranges as scenarios unless statistical uncertainty has actually been estimated.</w:t>
      </w:r>
    </w:p>
    <w:p>
      <w:pPr>
        <w:pStyle w:val="Heading1"/>
      </w:pPr>
      <w:r>
        <w:t>Local, state and federal relevance</w:t>
      </w:r>
    </w:p>
    <w:p>
      <w:r>
        <w:t>A consistent county reporting method could support comparisons and discussions about resources. Federal relevance comes from reproducible methods, comparable years and populations, and transparent gaps—not from treating a local illustration as an official national estimate. Annual incident-case burden and burden among people living with persistent symptoms are different estimands and need separate models. No verified public county-level Lyme-attributable long-term disability dataset has been established in the reviewed materials.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