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PathwayAI: Research to App Improvements</w:t>
      </w:r>
    </w:p>
    <w:p>
      <w:r>
        <w:t>Evidence framework version 0.2.0</w:t>
      </w:r>
    </w:p>
    <w:p>
      <w:pPr>
        <w:pStyle w:val="Heading2"/>
      </w:pPr>
      <w:r>
        <w:t>hook2022</w:t>
      </w:r>
    </w:p>
    <w:p>
      <w:r>
        <w:t>Hook SA et al. (2022). Economic Burden of Reported Lyme Disease in High-Incidence Areas, United States, 2014–2016. Emerging Infectious Diseases, 28(6).</w:t>
      </w:r>
    </w:p>
    <w:p>
      <w:r>
        <w:t>https://wwwnc.cdc.gov/eid/article/28/6/21-1335_article</w:t>
      </w:r>
    </w:p>
    <w:p>
      <w:r>
        <w:t>Used for: Societal cost components and county illustrations, with study population and dollar year preserved.</w:t>
      </w:r>
    </w:p>
    <w:p>
      <w:r>
        <w:t>Review status: Previously reviewed supplied article text; linked tables not separately retrieved.</w:t>
      </w:r>
    </w:p>
    <w:p>
      <w:pPr>
        <w:pStyle w:val="Heading2"/>
      </w:pPr>
      <w:r>
        <w:t>adrion2015</w:t>
      </w:r>
    </w:p>
    <w:p>
      <w:r>
        <w:t>Adrion ER, Aucott J, Lemke KW, Weiner JP. (2015). Health Care Costs, Utilization and Patterns of Care following Lyme Disease. PLOS ONE, 10(2):e0116767.</w:t>
      </w:r>
    </w:p>
    <w:p>
      <w:r>
        <w:t>https://doi.org/10.1371/journal.pone.0116767</w:t>
      </w:r>
    </w:p>
    <w:p>
      <w:r>
        <w:t>Used for: A separate 12-month medical-spending reference; never added to societal totals.</w:t>
      </w:r>
    </w:p>
    <w:p>
      <w:r>
        <w:t>Review status: Uploaded full PDF reviewed.</w:t>
      </w:r>
    </w:p>
    <w:p>
      <w:pPr>
        <w:pStyle w:val="Heading2"/>
      </w:pPr>
      <w:r>
        <w:t>johnson2014</w:t>
      </w:r>
    </w:p>
    <w:p>
      <w:r>
        <w:t>Johnson L, Wilcox S, Mankoff J, Stricker RB. (2014). Severity of chronic Lyme disease compared to other chronic conditions: a quality of life survey. PeerJ, 2:e322.</w:t>
      </w:r>
    </w:p>
    <w:p>
      <w:r>
        <w:t>https://doi.org/10.7717/peerj.322</w:t>
      </w:r>
    </w:p>
    <w:p>
      <w:r>
        <w:t>Used for: Work changes and daily-activity topics in optional dated personal records; selected-survey percentages are not county disability probabilities.</w:t>
      </w:r>
    </w:p>
    <w:p>
      <w:r>
        <w:t>Review status: Uploaded full PDF reviewed; table/narrative discrepancies recorded.</w:t>
      </w:r>
    </w:p>
    <w:p>
      <w:pPr>
        <w:pStyle w:val="Heading2"/>
      </w:pPr>
      <w:r>
        <w:t>horn2025</w:t>
      </w:r>
    </w:p>
    <w:p>
      <w:r>
        <w:t>Horn EJ et al. (2025). Lyme Disease Biobank: 10 years of 3 month follow-up visits from 2014 to 2023. Frontiers in Medicine, 12:1577936.</w:t>
      </w:r>
    </w:p>
    <w:p>
      <w:r>
        <w:t>https://doi.org/10.3389/fmed.2025.1577936</w:t>
      </w:r>
    </w:p>
    <w:p>
      <w:r>
        <w:t>Used for: Dated follow-up preparation and questions about continuing needs; three-month symptoms are not long-term disability.</w:t>
      </w:r>
    </w:p>
    <w:p>
      <w:r>
        <w:t>Review status: Uploaded full PDF reviewed.</w:t>
      </w:r>
    </w:p>
    <w:p>
      <w:pPr>
        <w:pStyle w:val="Heading2"/>
      </w:pPr>
      <w:r>
        <w:t>panel2016</w:t>
      </w:r>
    </w:p>
    <w:p>
      <w:r>
        <w:t>Sanders GD et al. (2016). Recommendations for Conduct, Methodological Practices, and Reporting of Cost-effectiveness Analyses: Second Panel on Cost-Effectiveness in Health and Medicine. JAMA, 316(10):1093–1103.</w:t>
      </w:r>
    </w:p>
    <w:p>
      <w:r>
        <w:t>https://doi.org/10.1001/jama.2016.12195</w:t>
      </w:r>
    </w:p>
    <w:p>
      <w:r>
        <w:t>Used for: Impact inventory and explicit perspectives, assumptions, uncertainty and provenance; adapted from the supplied summary rather than a claim of full cost-effectiveness analysis.</w:t>
      </w:r>
    </w:p>
    <w:p>
      <w:r>
        <w:t>Review status: Bibliographic reference and supplied summary; full article not retrieved. Framework is adapted, not a claim of complete Panel compliance.</w:t>
      </w:r>
    </w:p>
    <w:p>
      <w:pPr>
        <w:pStyle w:val="Heading1"/>
      </w:pPr>
      <w:r>
        <w:t>What patients can use</w:t>
      </w:r>
    </w:p>
    <w:p>
      <w:r>
        <w:t>Care &amp; Support → Bills and costs → Add a dated daily-life observation. Add dates, reporting periods, work changes, difficult activities, unpaid care and next support needs. Review, remove or download observations. They are session-only and optional in personal downloads; overlapping periods are not added to cumulative fields.</w:t>
      </w:r>
    </w:p>
    <w:p>
      <w:pPr>
        <w:pStyle w:val="Heading1"/>
      </w:pPr>
      <w:r>
        <w:t>What community teams can inspect</w:t>
      </w:r>
    </w:p>
    <w:p>
      <w:r>
        <w:t>County illustrations and CSVs distinguish reported cases, published cost, calculation assumptions, and additional burden to measure. Source-file provenance accompanies each row. Public methods exclude personal observations.</w:t>
      </w:r>
    </w:p>
    <w:p>
      <w:r>
        <w:t>Broad ecological claims in pasted notes are not numerical inputs without identified and reviewed primary sources. The framework does not infer county disability probabilities, causal savings or treatment recommendations from the cited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