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B0C" w:rsidRDefault="00D26B0C" w:rsidP="00D26B0C">
      <w:pPr>
        <w:pStyle w:val="ListParagraph"/>
      </w:pPr>
    </w:p>
    <w:p w:rsidR="00EA789F" w:rsidRDefault="00EA789F" w:rsidP="008E51BB">
      <w:r w:rsidRPr="00D26B0C">
        <w:rPr>
          <w:b/>
        </w:rPr>
        <w:t>Group Information:</w:t>
      </w: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2700"/>
      </w:tblGrid>
      <w:tr w:rsidR="00EA789F" w:rsidTr="00EA789F">
        <w:tc>
          <w:tcPr>
            <w:tcW w:w="805" w:type="dxa"/>
          </w:tcPr>
          <w:p w:rsidR="00EA789F" w:rsidRDefault="00EA789F" w:rsidP="00EA789F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2700" w:type="dxa"/>
          </w:tcPr>
          <w:p w:rsidR="00EA789F" w:rsidRDefault="00EA789F" w:rsidP="00EA789F">
            <w:pPr>
              <w:pStyle w:val="ListParagraph"/>
              <w:ind w:left="0"/>
            </w:pPr>
            <w:r>
              <w:t>Student’s Name</w:t>
            </w:r>
          </w:p>
        </w:tc>
      </w:tr>
      <w:tr w:rsidR="00EA789F" w:rsidTr="00EA789F">
        <w:tc>
          <w:tcPr>
            <w:tcW w:w="805" w:type="dxa"/>
          </w:tcPr>
          <w:p w:rsidR="00EA789F" w:rsidRDefault="006215D0" w:rsidP="00EA789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EA789F" w:rsidRDefault="006215D0" w:rsidP="00EA789F">
            <w:pPr>
              <w:pStyle w:val="ListParagraph"/>
              <w:ind w:left="0"/>
            </w:pPr>
            <w:proofErr w:type="spellStart"/>
            <w:r>
              <w:t>Ameya</w:t>
            </w:r>
            <w:proofErr w:type="spellEnd"/>
            <w:r>
              <w:t xml:space="preserve"> </w:t>
            </w:r>
            <w:proofErr w:type="spellStart"/>
            <w:r>
              <w:t>Marathe</w:t>
            </w:r>
            <w:proofErr w:type="spellEnd"/>
          </w:p>
        </w:tc>
      </w:tr>
      <w:tr w:rsidR="00EA789F" w:rsidTr="00EA789F">
        <w:tc>
          <w:tcPr>
            <w:tcW w:w="805" w:type="dxa"/>
          </w:tcPr>
          <w:p w:rsidR="00EA789F" w:rsidRDefault="006215D0" w:rsidP="00EA789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EA789F" w:rsidRDefault="006215D0" w:rsidP="00EA789F">
            <w:pPr>
              <w:pStyle w:val="ListParagraph"/>
              <w:ind w:left="0"/>
            </w:pPr>
            <w:r>
              <w:t>Abhishek Gaikwad</w:t>
            </w:r>
          </w:p>
        </w:tc>
      </w:tr>
    </w:tbl>
    <w:p w:rsidR="00EA789F" w:rsidRDefault="00EA789F" w:rsidP="00EA789F">
      <w:pPr>
        <w:pStyle w:val="ListParagraph"/>
        <w:ind w:left="1440"/>
      </w:pPr>
    </w:p>
    <w:p w:rsidR="00EA789F" w:rsidRPr="00D26B0C" w:rsidRDefault="00EA789F" w:rsidP="00EA789F">
      <w:pPr>
        <w:pStyle w:val="ListParagraph"/>
        <w:numPr>
          <w:ilvl w:val="0"/>
          <w:numId w:val="1"/>
        </w:numPr>
        <w:rPr>
          <w:b/>
        </w:rPr>
      </w:pPr>
      <w:r w:rsidRPr="00D26B0C">
        <w:rPr>
          <w:b/>
        </w:rPr>
        <w:t xml:space="preserve">Topic: </w:t>
      </w:r>
      <w:r w:rsidR="00AC2AB2">
        <w:t xml:space="preserve">Control Approaches in Cellular Networks </w:t>
      </w:r>
    </w:p>
    <w:p w:rsidR="00EA789F" w:rsidRPr="00AC2AB2" w:rsidRDefault="00EA789F" w:rsidP="00AC2AB2">
      <w:pPr>
        <w:pStyle w:val="ListParagraph"/>
        <w:numPr>
          <w:ilvl w:val="0"/>
          <w:numId w:val="1"/>
        </w:numPr>
      </w:pPr>
      <w:r w:rsidRPr="00D26B0C">
        <w:rPr>
          <w:b/>
        </w:rPr>
        <w:t>Sub-topic:</w:t>
      </w:r>
      <w:r>
        <w:t xml:space="preserve"> </w:t>
      </w:r>
      <w:r w:rsidR="00AC2AB2">
        <w:t xml:space="preserve">A literature review on the current state-of-art congestion control approaches for </w:t>
      </w:r>
      <w:r w:rsidR="00AC2AB2">
        <w:t>high throughput and low delay</w:t>
      </w:r>
      <w:r w:rsidR="00AC2AB2">
        <w:t xml:space="preserve"> </w:t>
      </w:r>
      <w:r w:rsidR="00AC2AB2">
        <w:t>in 4G/5G cellular networks</w:t>
      </w:r>
      <w:r w:rsidR="00AC2AB2">
        <w:t>.</w:t>
      </w:r>
    </w:p>
    <w:p w:rsidR="00AC2AB2" w:rsidRPr="00AC2AB2" w:rsidRDefault="00EA789F" w:rsidP="00AC2AB2">
      <w:pPr>
        <w:pStyle w:val="ListParagraph"/>
        <w:numPr>
          <w:ilvl w:val="0"/>
          <w:numId w:val="1"/>
        </w:numPr>
        <w:rPr>
          <w:color w:val="3333FF"/>
        </w:rPr>
      </w:pPr>
      <w:r w:rsidRPr="00D26B0C">
        <w:rPr>
          <w:b/>
        </w:rPr>
        <w:t>Problem statement:</w:t>
      </w:r>
      <w:r>
        <w:t xml:space="preserve"> </w:t>
      </w:r>
      <w:r w:rsidR="00AC2AB2">
        <w:t>To compare and evaluate current solutions to utilize the cellular network channels efficiently without creating large queuing delays.</w:t>
      </w:r>
    </w:p>
    <w:p w:rsidR="00CC5513" w:rsidRPr="00CC5513" w:rsidRDefault="00EA789F" w:rsidP="00CC5513">
      <w:pPr>
        <w:pStyle w:val="ListParagraph"/>
        <w:numPr>
          <w:ilvl w:val="0"/>
          <w:numId w:val="1"/>
        </w:numPr>
        <w:rPr>
          <w:color w:val="3333FF"/>
        </w:rPr>
      </w:pPr>
      <w:r w:rsidRPr="00D26B0C">
        <w:rPr>
          <w:b/>
        </w:rPr>
        <w:t>Motivation:</w:t>
      </w:r>
      <w:r>
        <w:t xml:space="preserve"> </w:t>
      </w:r>
      <w:r w:rsidR="00D65B1F">
        <w:t xml:space="preserve">The omnipresence of technology in form of smartphones has led to a constant research in improving the communication worldwide. There has been a rapid growth in the amount of data being transferred over cellular networks. </w:t>
      </w:r>
      <w:r w:rsidR="00CC5513">
        <w:t xml:space="preserve">With newer technologies like 4G and 5G being continuously improved to </w:t>
      </w:r>
      <w:r w:rsidR="00CC5513" w:rsidRPr="00CC5513">
        <w:t xml:space="preserve">meet </w:t>
      </w:r>
      <w:r w:rsidR="00CC5513">
        <w:t xml:space="preserve">the current </w:t>
      </w:r>
      <w:r w:rsidR="00CC5513" w:rsidRPr="00CC5513">
        <w:t>societal and industrial needs</w:t>
      </w:r>
      <w:r w:rsidR="00CC5513">
        <w:t>, it is necessary to accommodate the high throughput and low latency requirements of end mobile applications and users.</w:t>
      </w:r>
      <w:r w:rsidR="00CC5513" w:rsidRPr="00CC5513">
        <w:t xml:space="preserve"> </w:t>
      </w:r>
      <w:r w:rsidR="00CC5513">
        <w:t>To meet this demand, we try to survey the latest state-of-the-art Congestion Control Algorithms (CCAs) and how they play a role in current and future of communication through cellular medium.</w:t>
      </w:r>
    </w:p>
    <w:p w:rsidR="00EA789F" w:rsidRDefault="00EA789F" w:rsidP="00EA789F">
      <w:pPr>
        <w:pStyle w:val="ListParagraph"/>
        <w:numPr>
          <w:ilvl w:val="0"/>
          <w:numId w:val="1"/>
        </w:numPr>
      </w:pPr>
      <w:r w:rsidRPr="00D26B0C">
        <w:rPr>
          <w:b/>
        </w:rPr>
        <w:t>Objective:</w:t>
      </w:r>
      <w:r>
        <w:t xml:space="preserve"> </w:t>
      </w:r>
      <w:r w:rsidR="00E777E7">
        <w:rPr>
          <w:color w:val="3333FF"/>
        </w:rPr>
        <w:t>C</w:t>
      </w:r>
      <w:r w:rsidRPr="00D26B0C">
        <w:rPr>
          <w:color w:val="3333FF"/>
        </w:rPr>
        <w:t xml:space="preserve">learly state your objectives here – bullets are preferred. Use figures to further explain your objectives clearly. </w:t>
      </w:r>
    </w:p>
    <w:p w:rsidR="00EA789F" w:rsidRDefault="00EA789F" w:rsidP="00EA789F">
      <w:pPr>
        <w:pStyle w:val="ListParagraph"/>
        <w:numPr>
          <w:ilvl w:val="0"/>
          <w:numId w:val="1"/>
        </w:numPr>
      </w:pPr>
      <w:r w:rsidRPr="00D26B0C">
        <w:rPr>
          <w:b/>
        </w:rPr>
        <w:t>Timeline:</w:t>
      </w:r>
      <w:r>
        <w:t xml:space="preserve"> </w:t>
      </w:r>
    </w:p>
    <w:tbl>
      <w:tblPr>
        <w:tblStyle w:val="TableGrid"/>
        <w:tblW w:w="8550" w:type="dxa"/>
        <w:tblInd w:w="-95" w:type="dxa"/>
        <w:tblLook w:val="04A0" w:firstRow="1" w:lastRow="0" w:firstColumn="1" w:lastColumn="0" w:noHBand="0" w:noVBand="1"/>
      </w:tblPr>
      <w:tblGrid>
        <w:gridCol w:w="3150"/>
        <w:gridCol w:w="1080"/>
        <w:gridCol w:w="1080"/>
        <w:gridCol w:w="1080"/>
        <w:gridCol w:w="1080"/>
        <w:gridCol w:w="1080"/>
      </w:tblGrid>
      <w:tr w:rsidR="003E4340" w:rsidTr="003E4340">
        <w:tc>
          <w:tcPr>
            <w:tcW w:w="3150" w:type="dxa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</w:tcPr>
          <w:p w:rsidR="003E4340" w:rsidRPr="008E51BB" w:rsidRDefault="003E4340" w:rsidP="009A7101">
            <w:pPr>
              <w:spacing w:after="60"/>
              <w:jc w:val="center"/>
              <w:rPr>
                <w:rFonts w:ascii="Arial" w:eastAsia="Times New Roman" w:hAnsi="Arial" w:cs="Arial"/>
                <w:color w:val="3333FF"/>
              </w:rPr>
            </w:pPr>
            <w:r>
              <w:rPr>
                <w:rFonts w:ascii="Arial" w:eastAsia="Times New Roman" w:hAnsi="Arial" w:cs="Arial"/>
                <w:color w:val="3333FF"/>
              </w:rPr>
              <w:t>April 11</w:t>
            </w:r>
          </w:p>
          <w:p w:rsidR="003E4340" w:rsidRPr="008E51BB" w:rsidRDefault="003E4340" w:rsidP="009A7101">
            <w:pPr>
              <w:spacing w:after="60"/>
              <w:jc w:val="center"/>
              <w:rPr>
                <w:rFonts w:ascii="Arial" w:eastAsia="Times New Roman" w:hAnsi="Arial" w:cs="Arial"/>
                <w:color w:val="3333FF"/>
              </w:rPr>
            </w:pPr>
            <w:r>
              <w:rPr>
                <w:rFonts w:ascii="Arial" w:eastAsia="Times New Roman" w:hAnsi="Arial" w:cs="Arial"/>
                <w:color w:val="3333FF"/>
              </w:rPr>
              <w:t>2021</w:t>
            </w:r>
          </w:p>
        </w:tc>
        <w:tc>
          <w:tcPr>
            <w:tcW w:w="1080" w:type="dxa"/>
          </w:tcPr>
          <w:p w:rsidR="003E4340" w:rsidRPr="008E51BB" w:rsidRDefault="003E4340" w:rsidP="00F40080">
            <w:pPr>
              <w:spacing w:after="60"/>
              <w:jc w:val="center"/>
              <w:rPr>
                <w:rFonts w:ascii="Arial" w:eastAsia="Times New Roman" w:hAnsi="Arial" w:cs="Arial"/>
                <w:color w:val="3333FF"/>
              </w:rPr>
            </w:pPr>
            <w:r>
              <w:rPr>
                <w:rFonts w:ascii="Arial" w:eastAsia="Times New Roman" w:hAnsi="Arial" w:cs="Arial"/>
                <w:color w:val="3333FF"/>
              </w:rPr>
              <w:t>April 1</w:t>
            </w:r>
            <w:r>
              <w:rPr>
                <w:rFonts w:ascii="Arial" w:eastAsia="Times New Roman" w:hAnsi="Arial" w:cs="Arial"/>
                <w:color w:val="3333FF"/>
              </w:rPr>
              <w:t>8</w:t>
            </w:r>
          </w:p>
          <w:p w:rsidR="003E4340" w:rsidRPr="008E51BB" w:rsidRDefault="003E4340" w:rsidP="009A7101">
            <w:pPr>
              <w:spacing w:after="60"/>
              <w:jc w:val="center"/>
              <w:rPr>
                <w:rFonts w:ascii="Arial" w:eastAsia="Times New Roman" w:hAnsi="Arial" w:cs="Arial"/>
                <w:color w:val="3333FF"/>
              </w:rPr>
            </w:pPr>
            <w:r>
              <w:rPr>
                <w:rFonts w:ascii="Arial" w:eastAsia="Times New Roman" w:hAnsi="Arial" w:cs="Arial"/>
                <w:color w:val="3333FF"/>
              </w:rPr>
              <w:t>2021</w:t>
            </w:r>
          </w:p>
        </w:tc>
        <w:tc>
          <w:tcPr>
            <w:tcW w:w="1080" w:type="dxa"/>
          </w:tcPr>
          <w:p w:rsidR="003E4340" w:rsidRPr="008E51BB" w:rsidRDefault="003E4340" w:rsidP="00F40080">
            <w:pPr>
              <w:spacing w:after="60"/>
              <w:jc w:val="center"/>
              <w:rPr>
                <w:rFonts w:ascii="Arial" w:eastAsia="Times New Roman" w:hAnsi="Arial" w:cs="Arial"/>
                <w:color w:val="3333FF"/>
              </w:rPr>
            </w:pPr>
            <w:r>
              <w:rPr>
                <w:rFonts w:ascii="Arial" w:eastAsia="Times New Roman" w:hAnsi="Arial" w:cs="Arial"/>
                <w:color w:val="3333FF"/>
              </w:rPr>
              <w:t>April</w:t>
            </w:r>
            <w:r>
              <w:rPr>
                <w:rFonts w:ascii="Arial" w:eastAsia="Times New Roman" w:hAnsi="Arial" w:cs="Arial"/>
                <w:color w:val="3333FF"/>
              </w:rPr>
              <w:t xml:space="preserve"> 25</w:t>
            </w:r>
            <w:r>
              <w:rPr>
                <w:rFonts w:ascii="Arial" w:eastAsia="Times New Roman" w:hAnsi="Arial" w:cs="Arial"/>
                <w:color w:val="3333FF"/>
              </w:rPr>
              <w:t xml:space="preserve"> </w:t>
            </w:r>
          </w:p>
          <w:p w:rsidR="003E4340" w:rsidRPr="008E51BB" w:rsidRDefault="003E4340" w:rsidP="00D26B0C">
            <w:pPr>
              <w:spacing w:after="60"/>
              <w:jc w:val="center"/>
              <w:rPr>
                <w:rFonts w:ascii="Arial" w:eastAsia="Times New Roman" w:hAnsi="Arial" w:cs="Arial"/>
                <w:color w:val="3333FF"/>
              </w:rPr>
            </w:pPr>
            <w:r w:rsidRPr="008E51BB">
              <w:rPr>
                <w:rFonts w:ascii="Arial" w:eastAsia="Times New Roman" w:hAnsi="Arial" w:cs="Arial"/>
                <w:color w:val="3333FF"/>
              </w:rPr>
              <w:t>202</w:t>
            </w:r>
            <w:r>
              <w:rPr>
                <w:rFonts w:ascii="Arial" w:eastAsia="Times New Roman" w:hAnsi="Arial" w:cs="Arial"/>
                <w:color w:val="3333FF"/>
              </w:rPr>
              <w:t>1</w:t>
            </w:r>
          </w:p>
        </w:tc>
        <w:tc>
          <w:tcPr>
            <w:tcW w:w="1080" w:type="dxa"/>
          </w:tcPr>
          <w:p w:rsidR="003E4340" w:rsidRPr="008E51BB" w:rsidRDefault="003E4340" w:rsidP="009A7101">
            <w:pPr>
              <w:spacing w:after="60"/>
              <w:jc w:val="center"/>
              <w:rPr>
                <w:rFonts w:ascii="Arial" w:eastAsia="Times New Roman" w:hAnsi="Arial" w:cs="Arial"/>
                <w:color w:val="3333FF"/>
              </w:rPr>
            </w:pPr>
            <w:r>
              <w:rPr>
                <w:rFonts w:ascii="Arial" w:eastAsia="Times New Roman" w:hAnsi="Arial" w:cs="Arial"/>
                <w:color w:val="3333FF"/>
              </w:rPr>
              <w:t>May 02</w:t>
            </w:r>
          </w:p>
          <w:p w:rsidR="003E4340" w:rsidRPr="008E51BB" w:rsidRDefault="003E4340" w:rsidP="009A7101">
            <w:pPr>
              <w:spacing w:after="60"/>
              <w:jc w:val="center"/>
              <w:rPr>
                <w:rFonts w:ascii="Arial" w:eastAsia="Times New Roman" w:hAnsi="Arial" w:cs="Arial"/>
                <w:color w:val="3333FF"/>
              </w:rPr>
            </w:pPr>
            <w:r>
              <w:rPr>
                <w:rFonts w:ascii="Arial" w:eastAsia="Times New Roman" w:hAnsi="Arial" w:cs="Arial"/>
                <w:color w:val="3333FF"/>
              </w:rPr>
              <w:t>2021</w:t>
            </w:r>
          </w:p>
        </w:tc>
        <w:tc>
          <w:tcPr>
            <w:tcW w:w="1080" w:type="dxa"/>
          </w:tcPr>
          <w:p w:rsidR="003E4340" w:rsidRPr="008E51BB" w:rsidRDefault="003E4340" w:rsidP="009A7101">
            <w:pPr>
              <w:spacing w:after="60"/>
              <w:jc w:val="center"/>
              <w:rPr>
                <w:rFonts w:ascii="Arial" w:eastAsia="Times New Roman" w:hAnsi="Arial" w:cs="Arial"/>
                <w:color w:val="3333FF"/>
              </w:rPr>
            </w:pPr>
            <w:r>
              <w:rPr>
                <w:rFonts w:ascii="Arial" w:eastAsia="Times New Roman" w:hAnsi="Arial" w:cs="Arial"/>
                <w:color w:val="3333FF"/>
              </w:rPr>
              <w:t>May 05</w:t>
            </w:r>
          </w:p>
          <w:p w:rsidR="003E4340" w:rsidRPr="008E51BB" w:rsidRDefault="003E4340" w:rsidP="009A7101">
            <w:pPr>
              <w:spacing w:after="60"/>
              <w:jc w:val="center"/>
              <w:rPr>
                <w:rFonts w:ascii="Arial" w:eastAsia="Times New Roman" w:hAnsi="Arial" w:cs="Arial"/>
                <w:color w:val="3333FF"/>
              </w:rPr>
            </w:pPr>
            <w:r>
              <w:rPr>
                <w:rFonts w:ascii="Arial" w:eastAsia="Times New Roman" w:hAnsi="Arial" w:cs="Arial"/>
                <w:color w:val="3333FF"/>
              </w:rPr>
              <w:t>2021</w:t>
            </w:r>
          </w:p>
        </w:tc>
      </w:tr>
      <w:tr w:rsidR="003E4340" w:rsidTr="003E4340">
        <w:tc>
          <w:tcPr>
            <w:tcW w:w="3150" w:type="dxa"/>
          </w:tcPr>
          <w:p w:rsidR="003E4340" w:rsidRPr="008E51BB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FF"/>
              </w:rPr>
            </w:pPr>
            <w:r w:rsidRPr="008E51BB">
              <w:rPr>
                <w:rFonts w:ascii="Arial" w:eastAsia="Times New Roman" w:hAnsi="Arial" w:cs="Arial"/>
                <w:color w:val="3333FF"/>
              </w:rPr>
              <w:t>Reading review paper [x]</w:t>
            </w:r>
          </w:p>
        </w:tc>
        <w:tc>
          <w:tcPr>
            <w:tcW w:w="1080" w:type="dxa"/>
            <w:shd w:val="clear" w:color="auto" w:fill="833C0B" w:themeFill="accent2" w:themeFillShade="80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</w:tr>
      <w:tr w:rsidR="003E4340" w:rsidTr="003E4340">
        <w:tc>
          <w:tcPr>
            <w:tcW w:w="3150" w:type="dxa"/>
          </w:tcPr>
          <w:p w:rsidR="003E4340" w:rsidRPr="008E51BB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FF"/>
              </w:rPr>
            </w:pPr>
            <w:r w:rsidRPr="008E51BB">
              <w:rPr>
                <w:rFonts w:ascii="Arial" w:eastAsia="Times New Roman" w:hAnsi="Arial" w:cs="Arial"/>
                <w:color w:val="3333FF"/>
              </w:rPr>
              <w:t>Reading journal paper [y]</w:t>
            </w:r>
          </w:p>
        </w:tc>
        <w:tc>
          <w:tcPr>
            <w:tcW w:w="1080" w:type="dxa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  <w:shd w:val="clear" w:color="auto" w:fill="FFC000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  <w:shd w:val="clear" w:color="auto" w:fill="FFC000" w:themeFill="accent4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</w:tr>
      <w:tr w:rsidR="003E4340" w:rsidTr="003E4340">
        <w:tc>
          <w:tcPr>
            <w:tcW w:w="3150" w:type="dxa"/>
          </w:tcPr>
          <w:p w:rsidR="003E4340" w:rsidRPr="008E51BB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FF"/>
              </w:rPr>
            </w:pPr>
            <w:r w:rsidRPr="008E51BB">
              <w:rPr>
                <w:rFonts w:ascii="Arial" w:eastAsia="Times New Roman" w:hAnsi="Arial" w:cs="Arial"/>
                <w:color w:val="3333FF"/>
              </w:rPr>
              <w:t>Reading journal paper [z]</w:t>
            </w:r>
          </w:p>
        </w:tc>
        <w:tc>
          <w:tcPr>
            <w:tcW w:w="1080" w:type="dxa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  <w:shd w:val="clear" w:color="auto" w:fill="538135" w:themeFill="accent6" w:themeFillShade="BF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  <w:shd w:val="clear" w:color="auto" w:fill="538135" w:themeFill="accent6" w:themeFillShade="BF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</w:tr>
      <w:tr w:rsidR="003E4340" w:rsidTr="003E4340">
        <w:tc>
          <w:tcPr>
            <w:tcW w:w="3150" w:type="dxa"/>
          </w:tcPr>
          <w:p w:rsidR="003E4340" w:rsidRPr="008E51BB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FF"/>
              </w:rPr>
            </w:pPr>
            <w:r w:rsidRPr="008E51BB">
              <w:rPr>
                <w:rFonts w:ascii="Arial" w:eastAsia="Times New Roman" w:hAnsi="Arial" w:cs="Arial"/>
                <w:color w:val="3333FF"/>
              </w:rPr>
              <w:t>Making the presentation</w:t>
            </w:r>
          </w:p>
        </w:tc>
        <w:tc>
          <w:tcPr>
            <w:tcW w:w="1080" w:type="dxa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  <w:shd w:val="clear" w:color="auto" w:fill="9CC2E5" w:themeFill="accent1" w:themeFillTint="99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</w:tr>
      <w:tr w:rsidR="003E4340" w:rsidTr="003E4340">
        <w:tc>
          <w:tcPr>
            <w:tcW w:w="3150" w:type="dxa"/>
          </w:tcPr>
          <w:p w:rsidR="003E4340" w:rsidRPr="008E51BB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FF"/>
              </w:rPr>
            </w:pPr>
            <w:r w:rsidRPr="008E51BB">
              <w:rPr>
                <w:rFonts w:ascii="Arial" w:eastAsia="Times New Roman" w:hAnsi="Arial" w:cs="Arial"/>
                <w:color w:val="3333FF"/>
              </w:rPr>
              <w:t>Finalizing the presentation and talk</w:t>
            </w:r>
          </w:p>
        </w:tc>
        <w:tc>
          <w:tcPr>
            <w:tcW w:w="1080" w:type="dxa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  <w:shd w:val="clear" w:color="auto" w:fill="F4B083" w:themeFill="accent2" w:themeFillTint="99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1080" w:type="dxa"/>
            <w:shd w:val="clear" w:color="auto" w:fill="F4B083" w:themeFill="accent2" w:themeFillTint="99"/>
          </w:tcPr>
          <w:p w:rsidR="003E4340" w:rsidRPr="00D96BD7" w:rsidRDefault="003E4340" w:rsidP="009A7101">
            <w:pPr>
              <w:spacing w:after="60"/>
              <w:jc w:val="both"/>
              <w:rPr>
                <w:rFonts w:ascii="Arial" w:eastAsia="Times New Roman" w:hAnsi="Arial" w:cs="Arial"/>
                <w:color w:val="333333"/>
              </w:rPr>
            </w:pPr>
          </w:p>
        </w:tc>
      </w:tr>
    </w:tbl>
    <w:p w:rsidR="00EA789F" w:rsidRDefault="00EA789F" w:rsidP="00EA789F">
      <w:pPr>
        <w:pStyle w:val="ListParagraph"/>
      </w:pPr>
    </w:p>
    <w:p w:rsidR="00D26B0C" w:rsidRDefault="00D26B0C" w:rsidP="00D26B0C">
      <w:pPr>
        <w:pStyle w:val="ListParagraph"/>
        <w:numPr>
          <w:ilvl w:val="0"/>
          <w:numId w:val="1"/>
        </w:numPr>
        <w:rPr>
          <w:color w:val="3333FF"/>
        </w:rPr>
      </w:pPr>
      <w:r w:rsidRPr="00D26B0C">
        <w:rPr>
          <w:b/>
        </w:rPr>
        <w:t>References:</w:t>
      </w: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"/>
        <w:gridCol w:w="8527"/>
      </w:tblGrid>
      <w:tr w:rsidR="003E4340" w:rsidTr="006E0286">
        <w:tc>
          <w:tcPr>
            <w:tcW w:w="463" w:type="dxa"/>
          </w:tcPr>
          <w:p w:rsidR="003E4340" w:rsidRDefault="006E0286" w:rsidP="003E4340">
            <w:pPr>
              <w:rPr>
                <w:color w:val="3333FF"/>
              </w:rPr>
            </w:pPr>
            <w:r>
              <w:t>[1]</w:t>
            </w:r>
          </w:p>
        </w:tc>
        <w:tc>
          <w:tcPr>
            <w:tcW w:w="8527" w:type="dxa"/>
          </w:tcPr>
          <w:p w:rsidR="003E4340" w:rsidRPr="003E4340" w:rsidRDefault="006E0286" w:rsidP="003E4340">
            <w:r w:rsidRPr="006E0286">
              <w:t xml:space="preserve">H. Haile, K.-J. </w:t>
            </w:r>
            <w:proofErr w:type="spellStart"/>
            <w:r w:rsidRPr="006E0286">
              <w:t>Grinnemo</w:t>
            </w:r>
            <w:proofErr w:type="spellEnd"/>
            <w:r w:rsidRPr="006E0286">
              <w:t xml:space="preserve">, S. Ferlin, P. </w:t>
            </w:r>
            <w:proofErr w:type="spellStart"/>
            <w:r w:rsidRPr="006E0286">
              <w:t>Hurtig</w:t>
            </w:r>
            <w:proofErr w:type="spellEnd"/>
            <w:r w:rsidRPr="006E0286">
              <w:t xml:space="preserve">, and A. </w:t>
            </w:r>
            <w:proofErr w:type="spellStart"/>
            <w:r w:rsidRPr="006E0286">
              <w:t>Brunstrom</w:t>
            </w:r>
            <w:proofErr w:type="spellEnd"/>
            <w:r w:rsidRPr="006E0286">
              <w:t xml:space="preserve">, “End-to-end congestion control approaches for high throughput and low delay in 4G/5G cellular networks,” vol. 186, p. 1, 2021, </w:t>
            </w:r>
            <w:proofErr w:type="spellStart"/>
            <w:r w:rsidRPr="006E0286">
              <w:t>doi</w:t>
            </w:r>
            <w:proofErr w:type="spellEnd"/>
            <w:r w:rsidRPr="006E0286">
              <w:t>: 10.1016/j.comnet.2020.107692</w:t>
            </w:r>
            <w:r w:rsidRPr="003E4340">
              <w:rPr>
                <w:color w:val="3333FF"/>
              </w:rPr>
              <w:t xml:space="preserve"> </w:t>
            </w:r>
          </w:p>
        </w:tc>
      </w:tr>
      <w:tr w:rsidR="006E0286" w:rsidTr="006E0286">
        <w:tc>
          <w:tcPr>
            <w:tcW w:w="463" w:type="dxa"/>
          </w:tcPr>
          <w:p w:rsidR="006E0286" w:rsidRDefault="006E0286" w:rsidP="006E0286">
            <w:pPr>
              <w:rPr>
                <w:color w:val="3333FF"/>
              </w:rPr>
            </w:pPr>
            <w:r>
              <w:t>[</w:t>
            </w:r>
            <w:r>
              <w:t>2</w:t>
            </w:r>
            <w:r>
              <w:t>]</w:t>
            </w:r>
          </w:p>
        </w:tc>
        <w:tc>
          <w:tcPr>
            <w:tcW w:w="8527" w:type="dxa"/>
          </w:tcPr>
          <w:p w:rsidR="006E0286" w:rsidRDefault="006E0286" w:rsidP="006E0286">
            <w:pPr>
              <w:rPr>
                <w:color w:val="3333FF"/>
              </w:rPr>
            </w:pPr>
          </w:p>
        </w:tc>
      </w:tr>
      <w:tr w:rsidR="006E0286" w:rsidTr="006E0286">
        <w:tc>
          <w:tcPr>
            <w:tcW w:w="463" w:type="dxa"/>
          </w:tcPr>
          <w:p w:rsidR="006E0286" w:rsidRDefault="006E0286" w:rsidP="006E0286">
            <w:pPr>
              <w:rPr>
                <w:color w:val="3333FF"/>
              </w:rPr>
            </w:pPr>
            <w:r>
              <w:t>[</w:t>
            </w:r>
            <w:r>
              <w:t>3</w:t>
            </w:r>
            <w:r>
              <w:t>]</w:t>
            </w:r>
          </w:p>
        </w:tc>
        <w:tc>
          <w:tcPr>
            <w:tcW w:w="8527" w:type="dxa"/>
          </w:tcPr>
          <w:p w:rsidR="006E0286" w:rsidRDefault="006E0286" w:rsidP="006E0286">
            <w:pPr>
              <w:rPr>
                <w:color w:val="3333FF"/>
              </w:rPr>
            </w:pPr>
          </w:p>
        </w:tc>
      </w:tr>
      <w:tr w:rsidR="006E0286" w:rsidTr="006E0286">
        <w:tc>
          <w:tcPr>
            <w:tcW w:w="463" w:type="dxa"/>
          </w:tcPr>
          <w:p w:rsidR="006E0286" w:rsidRDefault="006E0286" w:rsidP="006E0286">
            <w:pPr>
              <w:rPr>
                <w:color w:val="3333FF"/>
              </w:rPr>
            </w:pPr>
            <w:r>
              <w:t>[</w:t>
            </w:r>
            <w:r>
              <w:t>4</w:t>
            </w:r>
            <w:r>
              <w:t>]</w:t>
            </w:r>
          </w:p>
        </w:tc>
        <w:tc>
          <w:tcPr>
            <w:tcW w:w="8527" w:type="dxa"/>
          </w:tcPr>
          <w:p w:rsidR="006E0286" w:rsidRDefault="006E0286" w:rsidP="006E0286">
            <w:pPr>
              <w:rPr>
                <w:color w:val="3333FF"/>
              </w:rPr>
            </w:pPr>
          </w:p>
        </w:tc>
      </w:tr>
      <w:tr w:rsidR="006E0286" w:rsidTr="006E0286">
        <w:tc>
          <w:tcPr>
            <w:tcW w:w="463" w:type="dxa"/>
          </w:tcPr>
          <w:p w:rsidR="006E0286" w:rsidRDefault="006E0286" w:rsidP="006E0286">
            <w:pPr>
              <w:rPr>
                <w:color w:val="3333FF"/>
              </w:rPr>
            </w:pPr>
            <w:r>
              <w:t>[</w:t>
            </w:r>
            <w:r>
              <w:t>5</w:t>
            </w:r>
            <w:bookmarkStart w:id="0" w:name="_GoBack"/>
            <w:bookmarkEnd w:id="0"/>
            <w:r>
              <w:t>]</w:t>
            </w:r>
          </w:p>
        </w:tc>
        <w:tc>
          <w:tcPr>
            <w:tcW w:w="8527" w:type="dxa"/>
          </w:tcPr>
          <w:p w:rsidR="006E0286" w:rsidRDefault="006E0286" w:rsidP="006E0286">
            <w:pPr>
              <w:rPr>
                <w:color w:val="3333FF"/>
              </w:rPr>
            </w:pPr>
          </w:p>
        </w:tc>
      </w:tr>
      <w:tr w:rsidR="006E0286" w:rsidTr="006E0286">
        <w:tc>
          <w:tcPr>
            <w:tcW w:w="463" w:type="dxa"/>
          </w:tcPr>
          <w:p w:rsidR="006E0286" w:rsidRDefault="006E0286" w:rsidP="006E0286">
            <w:pPr>
              <w:rPr>
                <w:color w:val="3333FF"/>
              </w:rPr>
            </w:pPr>
          </w:p>
        </w:tc>
        <w:tc>
          <w:tcPr>
            <w:tcW w:w="8527" w:type="dxa"/>
          </w:tcPr>
          <w:p w:rsidR="006E0286" w:rsidRDefault="006E0286" w:rsidP="006E0286">
            <w:pPr>
              <w:rPr>
                <w:color w:val="3333FF"/>
              </w:rPr>
            </w:pPr>
          </w:p>
        </w:tc>
      </w:tr>
    </w:tbl>
    <w:p w:rsidR="003E4340" w:rsidRPr="003E4340" w:rsidRDefault="003E4340" w:rsidP="003E4340">
      <w:pPr>
        <w:ind w:left="360"/>
        <w:rPr>
          <w:color w:val="3333FF"/>
        </w:rPr>
      </w:pPr>
    </w:p>
    <w:sectPr w:rsidR="003E4340" w:rsidRPr="003E43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87B" w:rsidRDefault="0048587B" w:rsidP="00D26B0C">
      <w:pPr>
        <w:spacing w:after="0" w:line="240" w:lineRule="auto"/>
      </w:pPr>
      <w:r>
        <w:separator/>
      </w:r>
    </w:p>
  </w:endnote>
  <w:endnote w:type="continuationSeparator" w:id="0">
    <w:p w:rsidR="0048587B" w:rsidRDefault="0048587B" w:rsidP="00D2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55831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6B0C" w:rsidRDefault="00D26B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26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6B0C" w:rsidRDefault="00D26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87B" w:rsidRDefault="0048587B" w:rsidP="00D26B0C">
      <w:pPr>
        <w:spacing w:after="0" w:line="240" w:lineRule="auto"/>
      </w:pPr>
      <w:r>
        <w:separator/>
      </w:r>
    </w:p>
  </w:footnote>
  <w:footnote w:type="continuationSeparator" w:id="0">
    <w:p w:rsidR="0048587B" w:rsidRDefault="0048587B" w:rsidP="00D26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B0C" w:rsidRPr="00D26B0C" w:rsidRDefault="00AD262E" w:rsidP="00D26B0C">
    <w:pPr>
      <w:jc w:val="center"/>
      <w:rPr>
        <w:b/>
      </w:rPr>
    </w:pPr>
    <w:r>
      <w:rPr>
        <w:b/>
      </w:rPr>
      <w:t>CS 25</w:t>
    </w:r>
    <w:r w:rsidR="00D26B0C" w:rsidRPr="00D26B0C">
      <w:rPr>
        <w:b/>
      </w:rPr>
      <w:t xml:space="preserve">8-01 </w:t>
    </w:r>
    <w:r>
      <w:rPr>
        <w:b/>
      </w:rPr>
      <w:t>Data Communication System</w:t>
    </w:r>
  </w:p>
  <w:p w:rsidR="00D26B0C" w:rsidRPr="00D26B0C" w:rsidRDefault="00D26B0C" w:rsidP="00D26B0C">
    <w:pPr>
      <w:jc w:val="center"/>
      <w:rPr>
        <w:b/>
      </w:rPr>
    </w:pPr>
    <w:r w:rsidRPr="00D26B0C">
      <w:rPr>
        <w:b/>
      </w:rPr>
      <w:t>END-TERM RESEAECH PLAN</w:t>
    </w:r>
    <w:r>
      <w:rPr>
        <w:b/>
      </w:rPr>
      <w:t xml:space="preserve"> </w:t>
    </w:r>
    <w:r>
      <w:rPr>
        <w:b/>
      </w:rPr>
      <w:tab/>
    </w:r>
    <w:r w:rsidRPr="00D26B0C">
      <w:rPr>
        <w:b/>
      </w:rPr>
      <w:t xml:space="preserve">DUE: </w:t>
    </w:r>
    <w:r w:rsidR="00AD262E">
      <w:rPr>
        <w:b/>
      </w:rPr>
      <w:t>April 07</w:t>
    </w:r>
    <w:r w:rsidRPr="00D26B0C">
      <w:rPr>
        <w:b/>
      </w:rPr>
      <w:t>, 202</w:t>
    </w:r>
    <w:r w:rsidR="00AD262E">
      <w:rPr>
        <w:b/>
      </w:rPr>
      <w:t>1</w:t>
    </w:r>
    <w:r w:rsidRPr="00D26B0C">
      <w:rPr>
        <w:b/>
      </w:rPr>
      <w:tab/>
    </w:r>
    <w:r w:rsidRPr="00D26B0C">
      <w:rPr>
        <w:b/>
      </w:rPr>
      <w:tab/>
      <w:t>Points: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B4B21"/>
    <w:multiLevelType w:val="hybridMultilevel"/>
    <w:tmpl w:val="2826BD3C"/>
    <w:lvl w:ilvl="0" w:tplc="4AE0D8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89F"/>
    <w:rsid w:val="000E4EC4"/>
    <w:rsid w:val="003E4340"/>
    <w:rsid w:val="0048587B"/>
    <w:rsid w:val="004B7A17"/>
    <w:rsid w:val="0052333D"/>
    <w:rsid w:val="006215D0"/>
    <w:rsid w:val="006E0286"/>
    <w:rsid w:val="007426F3"/>
    <w:rsid w:val="008C4E4A"/>
    <w:rsid w:val="008E51BB"/>
    <w:rsid w:val="00AC2AB2"/>
    <w:rsid w:val="00AD262E"/>
    <w:rsid w:val="00BD04B4"/>
    <w:rsid w:val="00CC5513"/>
    <w:rsid w:val="00D26B0C"/>
    <w:rsid w:val="00D65B1F"/>
    <w:rsid w:val="00E777E7"/>
    <w:rsid w:val="00EA789F"/>
    <w:rsid w:val="00F073E6"/>
    <w:rsid w:val="00F4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7649"/>
  <w15:chartTrackingRefBased/>
  <w15:docId w15:val="{D6938A45-8D68-4E5C-9E13-DFD65EA4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89F"/>
    <w:pPr>
      <w:ind w:left="720"/>
      <w:contextualSpacing/>
    </w:pPr>
  </w:style>
  <w:style w:type="table" w:styleId="TableGrid">
    <w:name w:val="Table Grid"/>
    <w:basedOn w:val="TableNormal"/>
    <w:uiPriority w:val="39"/>
    <w:rsid w:val="00EA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B0C"/>
  </w:style>
  <w:style w:type="paragraph" w:styleId="Footer">
    <w:name w:val="footer"/>
    <w:basedOn w:val="Normal"/>
    <w:link w:val="FooterChar"/>
    <w:uiPriority w:val="99"/>
    <w:unhideWhenUsed/>
    <w:rsid w:val="00D2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16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073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43342">
                                      <w:marLeft w:val="45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12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DAD9D6"/>
                                            <w:left w:val="single" w:sz="6" w:space="9" w:color="DAD9D6"/>
                                            <w:bottom w:val="single" w:sz="6" w:space="9" w:color="DAD9D6"/>
                                            <w:right w:val="single" w:sz="6" w:space="9" w:color="DAD9D6"/>
                                          </w:divBdr>
                                          <w:divsChild>
                                            <w:div w:id="10263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49853">
                                                      <w:marLeft w:val="450"/>
                                                      <w:marRight w:val="0"/>
                                                      <w:marTop w:val="0"/>
                                                      <w:marBottom w:val="17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94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Abhishek Prakash Gaikwad</cp:lastModifiedBy>
  <cp:revision>5</cp:revision>
  <dcterms:created xsi:type="dcterms:W3CDTF">2021-03-22T03:56:00Z</dcterms:created>
  <dcterms:modified xsi:type="dcterms:W3CDTF">2022-04-12T22:01:00Z</dcterms:modified>
</cp:coreProperties>
</file>