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423E2" w14:textId="77777777" w:rsidR="00844A94" w:rsidRDefault="002C4335">
      <w:r>
        <w:rPr>
          <w:noProof/>
        </w:rPr>
        <mc:AlternateContent>
          <mc:Choice Requires="wps">
            <w:drawing>
              <wp:anchor distT="0" distB="0" distL="114300" distR="114300" simplePos="0" relativeHeight="251659264" behindDoc="0" locked="0" layoutInCell="1" allowOverlap="1" wp14:anchorId="221320F3" wp14:editId="6A5B1180">
                <wp:simplePos x="0" y="0"/>
                <wp:positionH relativeFrom="margin">
                  <wp:align>center</wp:align>
                </wp:positionH>
                <wp:positionV relativeFrom="paragraph">
                  <wp:posOffset>-2540</wp:posOffset>
                </wp:positionV>
                <wp:extent cx="6889750" cy="342900"/>
                <wp:effectExtent l="0" t="0" r="44450" b="57150"/>
                <wp:wrapNone/>
                <wp:docPr id="3" nam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89750" cy="342900"/>
                        </a:xfrm>
                        <a:prstGeom prst="rect">
                          <a:avLst/>
                        </a:prstGeom>
                        <a:solidFill>
                          <a:srgbClr val="CFCDCD"/>
                        </a:solidFill>
                        <a:ln w="12700">
                          <a:solidFill>
                            <a:srgbClr val="000000"/>
                          </a:solidFill>
                          <a:miter lim="800000"/>
                          <a:headEnd/>
                          <a:tailEnd/>
                        </a:ln>
                        <a:effectLst>
                          <a:outerShdw dist="28398" dir="3806097" algn="ctr" rotWithShape="0">
                            <a:srgbClr val="823B0B"/>
                          </a:outerShdw>
                        </a:effectLst>
                      </wps:spPr>
                      <wps:txbx>
                        <w:txbxContent>
                          <w:p w14:paraId="5CC4E381" w14:textId="77777777" w:rsidR="002C4335" w:rsidRPr="00D46EBF" w:rsidRDefault="009B22D0" w:rsidP="002C4335">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Original Research Article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1320F3" id="_x0000_t202" coordsize="21600,21600" o:spt="202" path="m,l,21600r21600,l21600,xe">
                <v:stroke joinstyle="miter"/>
                <v:path gradientshapeok="t" o:connecttype="rect"/>
              </v:shapetype>
              <v:shape id=" 4" o:spid="_x0000_s1026" type="#_x0000_t202" style="position:absolute;margin-left:0;margin-top:-.2pt;width:542.5pt;height:27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" fillcolor="#cfcdcd" strokeweight="1pt">
                <v:shadow on="t" color="#823b0b" offset="1pt"/>
                <v:path arrowok="t"/>
                <v:textbox>
                  <w:txbxContent>
                    <w:p w14:paraId="5CC4E381" w14:textId="77777777" w:rsidR="002C4335" w:rsidRPr="00D46EBF" w:rsidRDefault="009B22D0" w:rsidP="002C4335">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Original Research Article</w:t>
                      </w:r>
                    </w:p>
                  </w:txbxContent>
                </v:textbox>
                <w10:wrap anchorx="margin"/>
              </v:shape>
            </w:pict>
          </mc:Fallback>
        </mc:AlternateContent>
      </w:r>
    </w:p>
    <w:p w14:paraId="3F215ED5" w14:textId="77777777" w:rsidR="002C4335" w:rsidRDefault="002C4335" w:rsidP="002C4335"/>
    <w:p w14:paraId="7E3FE106" w14:textId="77777777" w:rsidR="00C617DD" w:rsidRPr="00DC5A51" w:rsidRDefault="00C617DD" w:rsidP="00C617DD">
      <w:pPr>
        <w:jc w:val="center"/>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Efficacy of Platelet-Rich Plasma (PRP) in Androgenetic Alopecia, Acne Scars, and Non-Healing Ulcers: A Prospective Interventional Study</w:t>
      </w:r>
    </w:p>
    <w:p w14:paraId="5DBB76A5" w14:textId="77777777" w:rsidR="006708EF" w:rsidRDefault="00C617DD" w:rsidP="00C617DD">
      <w:pPr>
        <w:spacing w:after="0" w:line="240" w:lineRule="auto"/>
        <w:jc w:val="center"/>
        <w:rPr>
          <w:rFonts w:ascii="Times New Roman" w:eastAsia="Times New Roman" w:hAnsi="Times New Roman" w:cs="Times New Roman"/>
          <w:bCs/>
          <w:color w:val="111111"/>
          <w:sz w:val="24"/>
          <w:szCs w:val="24"/>
          <w:lang w:eastAsia="en-IN"/>
        </w:rPr>
      </w:pPr>
      <w:r>
        <w:rPr>
          <w:rFonts w:ascii="Times New Roman" w:eastAsia="Times New Roman" w:hAnsi="Times New Roman" w:cs="Times New Roman"/>
          <w:bCs/>
          <w:color w:val="111111"/>
          <w:sz w:val="24"/>
          <w:szCs w:val="24"/>
          <w:lang w:eastAsia="en-IN"/>
        </w:rPr>
        <w:t>Krunal</w:t>
      </w:r>
      <w:r w:rsidR="00B870EC">
        <w:rPr>
          <w:rFonts w:ascii="Times New Roman" w:eastAsia="Times New Roman" w:hAnsi="Times New Roman" w:cs="Times New Roman"/>
          <w:bCs/>
          <w:color w:val="111111"/>
          <w:sz w:val="24"/>
          <w:szCs w:val="24"/>
          <w:lang w:eastAsia="en-IN"/>
        </w:rPr>
        <w:t xml:space="preserve"> </w:t>
      </w:r>
      <w:r>
        <w:rPr>
          <w:rFonts w:ascii="Times New Roman" w:eastAsia="Times New Roman" w:hAnsi="Times New Roman" w:cs="Times New Roman"/>
          <w:bCs/>
          <w:color w:val="111111"/>
          <w:sz w:val="24"/>
          <w:szCs w:val="24"/>
          <w:lang w:eastAsia="en-IN"/>
        </w:rPr>
        <w:t>Dudhatra</w:t>
      </w:r>
      <w:r>
        <w:rPr>
          <w:rFonts w:ascii="Times New Roman" w:eastAsia="Times New Roman" w:hAnsi="Times New Roman" w:cs="Times New Roman"/>
          <w:bCs/>
          <w:color w:val="111111"/>
          <w:sz w:val="24"/>
          <w:szCs w:val="24"/>
          <w:vertAlign w:val="superscript"/>
          <w:lang w:eastAsia="en-IN"/>
        </w:rPr>
        <w:t>1</w:t>
      </w:r>
      <w:r>
        <w:rPr>
          <w:rFonts w:ascii="Times New Roman" w:eastAsia="Times New Roman" w:hAnsi="Times New Roman" w:cs="Times New Roman"/>
          <w:bCs/>
          <w:color w:val="111111"/>
          <w:sz w:val="24"/>
          <w:szCs w:val="24"/>
          <w:lang w:eastAsia="en-IN"/>
        </w:rPr>
        <w:t>, Jui Shah</w:t>
      </w:r>
      <w:r>
        <w:rPr>
          <w:rFonts w:ascii="Times New Roman" w:eastAsia="Times New Roman" w:hAnsi="Times New Roman" w:cs="Times New Roman"/>
          <w:bCs/>
          <w:color w:val="111111"/>
          <w:sz w:val="24"/>
          <w:szCs w:val="24"/>
          <w:vertAlign w:val="superscript"/>
          <w:lang w:eastAsia="en-IN"/>
        </w:rPr>
        <w:t>2</w:t>
      </w:r>
      <w:r w:rsidR="00DB4C66">
        <w:rPr>
          <w:rFonts w:ascii="Times New Roman" w:eastAsia="Times New Roman" w:hAnsi="Times New Roman" w:cs="Times New Roman"/>
          <w:sz w:val="24"/>
          <w:szCs w:val="24"/>
        </w:rPr>
        <w:t>*</w:t>
      </w:r>
      <w:r>
        <w:rPr>
          <w:rFonts w:ascii="Times New Roman" w:eastAsia="Times New Roman" w:hAnsi="Times New Roman" w:cs="Times New Roman"/>
          <w:bCs/>
          <w:color w:val="111111"/>
          <w:sz w:val="24"/>
          <w:szCs w:val="24"/>
          <w:lang w:eastAsia="en-IN"/>
        </w:rPr>
        <w:t>, Mansi Pithadia</w:t>
      </w:r>
      <w:r>
        <w:rPr>
          <w:rFonts w:ascii="Times New Roman" w:eastAsia="Times New Roman" w:hAnsi="Times New Roman" w:cs="Times New Roman"/>
          <w:bCs/>
          <w:color w:val="111111"/>
          <w:sz w:val="24"/>
          <w:szCs w:val="24"/>
          <w:vertAlign w:val="superscript"/>
          <w:lang w:eastAsia="en-IN"/>
        </w:rPr>
        <w:t>3</w:t>
      </w:r>
      <w:r>
        <w:rPr>
          <w:rFonts w:ascii="Times New Roman" w:eastAsia="Times New Roman" w:hAnsi="Times New Roman" w:cs="Times New Roman"/>
          <w:bCs/>
          <w:color w:val="111111"/>
          <w:sz w:val="24"/>
          <w:szCs w:val="24"/>
          <w:lang w:eastAsia="en-IN"/>
        </w:rPr>
        <w:t>, Devendra Parmar</w:t>
      </w:r>
      <w:r w:rsidR="00964073">
        <w:rPr>
          <w:rFonts w:ascii="Times New Roman" w:eastAsia="Times New Roman" w:hAnsi="Times New Roman" w:cs="Times New Roman"/>
          <w:bCs/>
          <w:color w:val="111111"/>
          <w:sz w:val="24"/>
          <w:szCs w:val="24"/>
          <w:vertAlign w:val="superscript"/>
          <w:lang w:eastAsia="en-IN"/>
        </w:rPr>
        <w:t>2</w:t>
      </w:r>
      <w:r>
        <w:rPr>
          <w:rFonts w:ascii="Times New Roman" w:eastAsia="Times New Roman" w:hAnsi="Times New Roman" w:cs="Times New Roman"/>
          <w:bCs/>
          <w:color w:val="111111"/>
          <w:sz w:val="24"/>
          <w:szCs w:val="24"/>
          <w:lang w:eastAsia="en-IN"/>
        </w:rPr>
        <w:t>, Meera</w:t>
      </w:r>
      <w:r w:rsidR="00964073">
        <w:rPr>
          <w:rFonts w:ascii="Times New Roman" w:eastAsia="Times New Roman" w:hAnsi="Times New Roman" w:cs="Times New Roman"/>
          <w:bCs/>
          <w:color w:val="111111"/>
          <w:sz w:val="24"/>
          <w:szCs w:val="24"/>
          <w:lang w:eastAsia="en-IN"/>
        </w:rPr>
        <w:t xml:space="preserve"> </w:t>
      </w:r>
      <w:r>
        <w:rPr>
          <w:rFonts w:ascii="Times New Roman" w:eastAsia="Times New Roman" w:hAnsi="Times New Roman" w:cs="Times New Roman"/>
          <w:bCs/>
          <w:color w:val="111111"/>
          <w:sz w:val="24"/>
          <w:szCs w:val="24"/>
          <w:lang w:eastAsia="en-IN"/>
        </w:rPr>
        <w:t>Patel</w:t>
      </w:r>
      <w:r w:rsidR="00964073">
        <w:rPr>
          <w:rFonts w:ascii="Times New Roman" w:eastAsia="Times New Roman" w:hAnsi="Times New Roman" w:cs="Times New Roman"/>
          <w:bCs/>
          <w:color w:val="111111"/>
          <w:sz w:val="24"/>
          <w:szCs w:val="24"/>
          <w:vertAlign w:val="superscript"/>
          <w:lang w:eastAsia="en-IN"/>
        </w:rPr>
        <w:t>4</w:t>
      </w:r>
      <w:r>
        <w:rPr>
          <w:rFonts w:ascii="Times New Roman" w:eastAsia="Times New Roman" w:hAnsi="Times New Roman" w:cs="Times New Roman"/>
          <w:bCs/>
          <w:color w:val="111111"/>
          <w:sz w:val="24"/>
          <w:szCs w:val="24"/>
          <w:lang w:eastAsia="en-IN"/>
        </w:rPr>
        <w:t xml:space="preserve">, </w:t>
      </w:r>
    </w:p>
    <w:p w14:paraId="73A8A69A" w14:textId="48436D0D" w:rsidR="00C617DD" w:rsidRPr="00F54BA0" w:rsidRDefault="00C617DD" w:rsidP="00C617DD">
      <w:pPr>
        <w:spacing w:after="0" w:line="240" w:lineRule="auto"/>
        <w:jc w:val="center"/>
        <w:rPr>
          <w:rFonts w:ascii="Times New Roman" w:eastAsia="Calibri" w:hAnsi="Times New Roman" w:cs="Times New Roman"/>
          <w:sz w:val="24"/>
          <w:szCs w:val="24"/>
          <w:lang w:val="en-IN"/>
        </w:rPr>
      </w:pPr>
      <w:r>
        <w:rPr>
          <w:rFonts w:ascii="Times New Roman" w:eastAsia="Times New Roman" w:hAnsi="Times New Roman" w:cs="Times New Roman"/>
          <w:bCs/>
          <w:color w:val="111111"/>
          <w:sz w:val="24"/>
          <w:szCs w:val="24"/>
          <w:lang w:eastAsia="en-IN"/>
        </w:rPr>
        <w:t>Prerakkumar Kathiriya</w:t>
      </w:r>
      <w:r w:rsidR="00964073">
        <w:rPr>
          <w:rFonts w:ascii="Times New Roman" w:eastAsia="Times New Roman" w:hAnsi="Times New Roman" w:cs="Times New Roman"/>
          <w:bCs/>
          <w:color w:val="111111"/>
          <w:sz w:val="24"/>
          <w:szCs w:val="24"/>
          <w:vertAlign w:val="superscript"/>
          <w:lang w:eastAsia="en-IN"/>
        </w:rPr>
        <w:t>5</w:t>
      </w:r>
    </w:p>
    <w:p w14:paraId="280C52DD" w14:textId="77777777" w:rsidR="00C617DD" w:rsidRDefault="00C617DD" w:rsidP="002C4335">
      <w:pPr>
        <w:spacing w:after="0" w:line="240" w:lineRule="auto"/>
        <w:jc w:val="center"/>
        <w:rPr>
          <w:rFonts w:ascii="Times New Roman" w:eastAsia="Calibri" w:hAnsi="Times New Roman" w:cs="Times New Roman"/>
          <w:sz w:val="24"/>
          <w:szCs w:val="24"/>
          <w:lang w:val="en-IN"/>
        </w:rPr>
      </w:pPr>
    </w:p>
    <w:p w14:paraId="7BD3B7EE" w14:textId="3FC8B707" w:rsidR="00C617DD" w:rsidRDefault="00C617DD" w:rsidP="00DB4C66">
      <w:pPr>
        <w:spacing w:after="0" w:line="240" w:lineRule="auto"/>
        <w:jc w:val="both"/>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Assure Clinic, Ahmedabad, Gujarat, India</w:t>
      </w:r>
    </w:p>
    <w:p w14:paraId="044428E4" w14:textId="31D749AB" w:rsidR="00C617DD" w:rsidRDefault="00C617DD" w:rsidP="00DB4C66">
      <w:pPr>
        <w:spacing w:after="0" w:line="240" w:lineRule="auto"/>
        <w:jc w:val="both"/>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Department of Dermatology, Venereology &amp; Leprosy, Gujarat Adani Institute of Medical Sciences (GAIMS), GK General Hospital, Bhuj, Kutch, Gujarat, India</w:t>
      </w:r>
    </w:p>
    <w:p w14:paraId="45E15705" w14:textId="43C91B17" w:rsidR="00C617DD" w:rsidRDefault="00C617DD" w:rsidP="00DB4C66">
      <w:pPr>
        <w:spacing w:after="0" w:line="240" w:lineRule="auto"/>
        <w:jc w:val="both"/>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Divine Hospital, Jamnagar, Gujarat, India</w:t>
      </w:r>
    </w:p>
    <w:p w14:paraId="166B146C" w14:textId="5AEAF6E1" w:rsidR="00C617DD" w:rsidRDefault="00964073" w:rsidP="00DB4C66">
      <w:pPr>
        <w:spacing w:after="0" w:line="240" w:lineRule="auto"/>
        <w:jc w:val="both"/>
      </w:pPr>
      <w:r>
        <w:rPr>
          <w:rFonts w:ascii="Times New Roman" w:eastAsia="Times New Roman" w:hAnsi="Times New Roman" w:cs="Times New Roman"/>
          <w:sz w:val="24"/>
          <w:szCs w:val="24"/>
          <w:vertAlign w:val="superscript"/>
        </w:rPr>
        <w:t>4</w:t>
      </w:r>
      <w:r w:rsidR="00C617DD">
        <w:rPr>
          <w:rFonts w:ascii="Times New Roman" w:eastAsia="Times New Roman" w:hAnsi="Times New Roman" w:cs="Times New Roman"/>
          <w:sz w:val="24"/>
          <w:szCs w:val="24"/>
        </w:rPr>
        <w:t>Vcare Centre of Excellence, Bengaluru, India</w:t>
      </w:r>
    </w:p>
    <w:p w14:paraId="24FB41D6" w14:textId="78EF4CF5" w:rsidR="00C617DD" w:rsidRDefault="00964073" w:rsidP="00DB4C66">
      <w:pPr>
        <w:spacing w:after="0" w:line="240" w:lineRule="auto"/>
        <w:jc w:val="both"/>
      </w:pPr>
      <w:r>
        <w:rPr>
          <w:rFonts w:ascii="Times New Roman" w:eastAsia="Times New Roman" w:hAnsi="Times New Roman" w:cs="Times New Roman"/>
          <w:sz w:val="24"/>
          <w:szCs w:val="24"/>
          <w:vertAlign w:val="superscript"/>
        </w:rPr>
        <w:t>5</w:t>
      </w:r>
      <w:r w:rsidR="00C617DD">
        <w:rPr>
          <w:rFonts w:ascii="Times New Roman" w:eastAsia="Times New Roman" w:hAnsi="Times New Roman" w:cs="Times New Roman"/>
          <w:sz w:val="24"/>
          <w:szCs w:val="24"/>
        </w:rPr>
        <w:t>Serenity Skin &amp; Aesthetic Clinic, Rajkot, Gujarat, India</w:t>
      </w:r>
    </w:p>
    <w:p w14:paraId="561976F9" w14:textId="77777777" w:rsidR="002C4335" w:rsidRPr="00937F83" w:rsidRDefault="002C4335" w:rsidP="002C4335">
      <w:pPr>
        <w:spacing w:after="0" w:line="240" w:lineRule="auto"/>
        <w:jc w:val="center"/>
        <w:rPr>
          <w:rFonts w:ascii="Times New Roman" w:eastAsia="Calibri" w:hAnsi="Times New Roman" w:cs="Times New Roman"/>
          <w:sz w:val="24"/>
          <w:szCs w:val="24"/>
          <w:lang w:val="en-GB"/>
        </w:rPr>
      </w:pPr>
    </w:p>
    <w:p w14:paraId="29F60C32" w14:textId="77777777" w:rsidR="00C617DD" w:rsidRDefault="00C617DD" w:rsidP="00C617DD">
      <w:pPr>
        <w:jc w:val="center"/>
        <w:rPr>
          <w:rFonts w:ascii="Times New Roman" w:eastAsia="Times New Roman" w:hAnsi="Times New Roman" w:cs="Times New Roman"/>
          <w:bCs/>
          <w:sz w:val="24"/>
          <w:szCs w:val="24"/>
        </w:rPr>
      </w:pPr>
      <w:r>
        <w:rPr>
          <w:rFonts w:ascii="Calibri" w:eastAsia="Times New Roman" w:hAnsi="Calibri" w:cs="Times New Roman"/>
          <w:noProof/>
        </w:rPr>
        <mc:AlternateContent>
          <mc:Choice Requires="wps">
            <w:drawing>
              <wp:anchor distT="45720" distB="45720" distL="114300" distR="114300" simplePos="0" relativeHeight="251661312" behindDoc="0" locked="0" layoutInCell="1" allowOverlap="1" wp14:anchorId="5D5B8092" wp14:editId="544EDEAC">
                <wp:simplePos x="0" y="0"/>
                <wp:positionH relativeFrom="margin">
                  <wp:posOffset>-419100</wp:posOffset>
                </wp:positionH>
                <wp:positionV relativeFrom="paragraph">
                  <wp:posOffset>374015</wp:posOffset>
                </wp:positionV>
                <wp:extent cx="6819900" cy="3795395"/>
                <wp:effectExtent l="0" t="0" r="19050" b="146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3795395"/>
                        </a:xfrm>
                        <a:prstGeom prst="rect">
                          <a:avLst/>
                        </a:prstGeom>
                        <a:solidFill>
                          <a:srgbClr val="E7E6E6"/>
                        </a:solidFill>
                        <a:ln w="9525">
                          <a:solidFill>
                            <a:srgbClr val="000000"/>
                          </a:solidFill>
                          <a:miter lim="800000"/>
                          <a:headEnd/>
                          <a:tailEnd/>
                        </a:ln>
                      </wps:spPr>
                      <wps:txbx>
                        <w:txbxContent>
                          <w:p w14:paraId="4DBF8635" w14:textId="77777777" w:rsidR="00C617DD" w:rsidRPr="00D6036C" w:rsidRDefault="00C617DD" w:rsidP="00C617DD">
                            <w:pPr>
                              <w:jc w:val="both"/>
                              <w:rPr>
                                <w:rFonts w:ascii="Times New Roman" w:hAnsi="Times New Roman" w:cs="Times New Roman"/>
                                <w:b/>
                                <w:sz w:val="20"/>
                                <w:szCs w:val="20"/>
                              </w:rPr>
                            </w:pPr>
                            <w:r>
                              <w:rPr>
                                <w:rFonts w:ascii="Times New Roman" w:hAnsi="Times New Roman" w:cs="Times New Roman"/>
                                <w:b/>
                                <w:sz w:val="20"/>
                                <w:szCs w:val="20"/>
                              </w:rPr>
                              <w:t>ABSTRACT</w:t>
                            </w:r>
                          </w:p>
                          <w:p w14:paraId="478C72B9" w14:textId="77777777" w:rsidR="00C617DD" w:rsidRDefault="00C617DD" w:rsidP="00C617DD">
                            <w:pPr>
                              <w:spacing w:after="0"/>
                              <w:jc w:val="both"/>
                              <w:rPr>
                                <w:rFonts w:ascii="Times New Roman" w:hAnsi="Times New Roman" w:cs="Times New Roman"/>
                                <w:bCs/>
                                <w:sz w:val="20"/>
                                <w:szCs w:val="20"/>
                              </w:rPr>
                            </w:pPr>
                            <w:r>
                              <w:rPr>
                                <w:rFonts w:ascii="Times New Roman" w:hAnsi="Times New Roman" w:cs="Times New Roman"/>
                                <w:b/>
                                <w:bCs/>
                                <w:sz w:val="20"/>
                                <w:szCs w:val="20"/>
                              </w:rPr>
                              <w:t>Background:</w:t>
                            </w:r>
                            <w:r>
                              <w:rPr>
                                <w:rFonts w:ascii="Times New Roman" w:hAnsi="Times New Roman" w:cs="Times New Roman"/>
                                <w:bCs/>
                                <w:sz w:val="20"/>
                                <w:szCs w:val="20"/>
                              </w:rPr>
                              <w:t xml:space="preserve"> Platelet-rich plasma (PRP) is an autologous concentrate obtained by differential centrifugation of whole blood, yielding platelets 4–7 times the baseline concentration with an attendant payload of growth factors including PDGF, VEGF, EGF, FGF, TGF-β, and IGF-1, which promote cellular proliferation, collagen synthesis, and tissue regeneration.</w:t>
                            </w:r>
                          </w:p>
                          <w:p w14:paraId="721A0A61" w14:textId="77777777" w:rsidR="00C617DD" w:rsidRDefault="00C617DD" w:rsidP="00C617DD">
                            <w:pPr>
                              <w:spacing w:after="0"/>
                              <w:jc w:val="both"/>
                              <w:rPr>
                                <w:rFonts w:ascii="Times New Roman" w:hAnsi="Times New Roman" w:cs="Times New Roman"/>
                                <w:bCs/>
                                <w:sz w:val="20"/>
                                <w:szCs w:val="20"/>
                              </w:rPr>
                            </w:pPr>
                            <w:r>
                              <w:rPr>
                                <w:rFonts w:ascii="Times New Roman" w:hAnsi="Times New Roman" w:cs="Times New Roman"/>
                                <w:bCs/>
                                <w:sz w:val="20"/>
                                <w:szCs w:val="20"/>
                              </w:rPr>
                              <w:t xml:space="preserve">  </w:t>
                            </w:r>
                          </w:p>
                          <w:p w14:paraId="6C0D3002" w14:textId="77777777" w:rsidR="00C617DD" w:rsidRDefault="00C617DD" w:rsidP="00C617DD">
                            <w:pPr>
                              <w:spacing w:after="0"/>
                              <w:jc w:val="both"/>
                              <w:rPr>
                                <w:rFonts w:ascii="Times New Roman" w:hAnsi="Times New Roman" w:cs="Times New Roman"/>
                                <w:bCs/>
                                <w:sz w:val="20"/>
                                <w:szCs w:val="20"/>
                              </w:rPr>
                            </w:pPr>
                            <w:r>
                              <w:rPr>
                                <w:rFonts w:ascii="Times New Roman" w:hAnsi="Times New Roman" w:cs="Times New Roman"/>
                                <w:b/>
                                <w:bCs/>
                                <w:sz w:val="20"/>
                                <w:szCs w:val="20"/>
                              </w:rPr>
                              <w:t>Material and methods:</w:t>
                            </w:r>
                            <w:r>
                              <w:rPr>
                                <w:rFonts w:ascii="Times New Roman" w:hAnsi="Times New Roman" w:cs="Times New Roman"/>
                                <w:bCs/>
                                <w:sz w:val="20"/>
                                <w:szCs w:val="20"/>
                              </w:rPr>
                              <w:t xml:space="preserve"> A prospective interventional study enrolling 50 patients (20 androgenetic alopecia [AGA], 15 acne scars, 15 non-healing ulcers) was conducted at the Department of DVL, in a tertiary care Centre of western India, from December 2020 to September 2022. PRP was prepared by the manual double-spin method and administered at 15-day intervals for 3 months (6 sessions), with monthly follow-up until 6 months. Outcomes were assessed by physician's global assessment (7-point scale), Hamilton-Norwood/Ludwig grading (AGA), Goodman and Baron's scale (acne scars), and wound area and volume measurements.</w:t>
                            </w:r>
                          </w:p>
                          <w:p w14:paraId="50F7B7D5" w14:textId="77777777" w:rsidR="00C617DD" w:rsidRDefault="00C617DD" w:rsidP="00C617DD">
                            <w:pPr>
                              <w:spacing w:after="0"/>
                              <w:jc w:val="both"/>
                              <w:rPr>
                                <w:rFonts w:ascii="Times New Roman" w:hAnsi="Times New Roman" w:cs="Times New Roman"/>
                                <w:bCs/>
                                <w:sz w:val="20"/>
                                <w:szCs w:val="20"/>
                              </w:rPr>
                            </w:pPr>
                          </w:p>
                          <w:p w14:paraId="4A545100" w14:textId="77777777" w:rsidR="00C617DD" w:rsidRDefault="00C617DD" w:rsidP="00C617DD">
                            <w:pPr>
                              <w:spacing w:after="0"/>
                              <w:jc w:val="both"/>
                              <w:rPr>
                                <w:rFonts w:ascii="Times New Roman" w:hAnsi="Times New Roman" w:cs="Times New Roman"/>
                                <w:bCs/>
                                <w:sz w:val="20"/>
                                <w:szCs w:val="20"/>
                              </w:rPr>
                            </w:pPr>
                            <w:r>
                              <w:rPr>
                                <w:rFonts w:ascii="Times New Roman" w:hAnsi="Times New Roman" w:cs="Times New Roman"/>
                                <w:b/>
                                <w:bCs/>
                                <w:sz w:val="20"/>
                                <w:szCs w:val="20"/>
                              </w:rPr>
                              <w:t>Results:</w:t>
                            </w:r>
                            <w:r>
                              <w:rPr>
                                <w:rFonts w:ascii="Times New Roman" w:hAnsi="Times New Roman" w:cs="Times New Roman"/>
                                <w:bCs/>
                                <w:sz w:val="20"/>
                                <w:szCs w:val="20"/>
                              </w:rPr>
                              <w:t xml:space="preserve"> In AGA, 85% showed improvement (mild 45%, moderate 30%, excellent 10%). In acne scars, 73.3% achieved a good-to-excellent response (reduction of at least one Goodman and Baron grade); 26–50% improvement was most frequent (53.3%). In non-healing ulcers, mean wound area reduced by 57.4% (14.09 cm² to 6.01 cm²) and volume by 66.0% (4.74 cm³ to 1.61 cm³), and 46.7% of patients rated their response as excellent. No serious adverse events were recorded in any group.</w:t>
                            </w:r>
                          </w:p>
                          <w:p w14:paraId="1FB4590D" w14:textId="77777777" w:rsidR="00C617DD" w:rsidRDefault="00C617DD" w:rsidP="00C617DD">
                            <w:pPr>
                              <w:spacing w:after="0"/>
                              <w:jc w:val="both"/>
                              <w:rPr>
                                <w:rFonts w:ascii="Times New Roman" w:hAnsi="Times New Roman" w:cs="Times New Roman"/>
                                <w:bCs/>
                                <w:sz w:val="20"/>
                                <w:szCs w:val="20"/>
                              </w:rPr>
                            </w:pPr>
                          </w:p>
                          <w:p w14:paraId="64C8F859" w14:textId="77777777" w:rsidR="00C617DD" w:rsidRDefault="00C617DD" w:rsidP="00C617DD">
                            <w:pPr>
                              <w:spacing w:after="0"/>
                              <w:jc w:val="both"/>
                              <w:rPr>
                                <w:rFonts w:ascii="Times New Roman" w:hAnsi="Times New Roman" w:cs="Times New Roman"/>
                                <w:bCs/>
                                <w:sz w:val="20"/>
                                <w:szCs w:val="20"/>
                              </w:rPr>
                            </w:pPr>
                            <w:r>
                              <w:rPr>
                                <w:rFonts w:ascii="Times New Roman" w:hAnsi="Times New Roman" w:cs="Times New Roman"/>
                                <w:b/>
                                <w:bCs/>
                                <w:sz w:val="20"/>
                                <w:szCs w:val="20"/>
                              </w:rPr>
                              <w:t>Conclusion:</w:t>
                            </w:r>
                            <w:r>
                              <w:rPr>
                                <w:rFonts w:ascii="Times New Roman" w:hAnsi="Times New Roman" w:cs="Times New Roman"/>
                                <w:bCs/>
                                <w:sz w:val="20"/>
                                <w:szCs w:val="20"/>
                              </w:rPr>
                              <w:t xml:space="preserve"> PRP is a safe, cost-effective, and efficacious autologous treatment for androgenetic alopecia, acne scars, and non-healing ulcers with a favorable side-effect profile.</w:t>
                            </w:r>
                          </w:p>
                          <w:p w14:paraId="0CEC6A1E" w14:textId="77777777" w:rsidR="00C617DD" w:rsidRPr="005736D2" w:rsidRDefault="00C617DD" w:rsidP="00C617DD">
                            <w:pPr>
                              <w:spacing w:after="0"/>
                              <w:jc w:val="both"/>
                              <w:rPr>
                                <w:rFonts w:ascii="Times New Roman" w:hAnsi="Times New Roman" w:cs="Times New Roman"/>
                                <w:bCs/>
                                <w:sz w:val="20"/>
                                <w:szCs w:val="20"/>
                              </w:rPr>
                            </w:pPr>
                          </w:p>
                          <w:p w14:paraId="64AFB712" w14:textId="77777777" w:rsidR="00C617DD" w:rsidRPr="00780EFD" w:rsidRDefault="00C617DD" w:rsidP="00C617DD">
                            <w:pPr>
                              <w:spacing w:after="0"/>
                              <w:jc w:val="both"/>
                              <w:rPr>
                                <w:rFonts w:ascii="Times New Roman" w:hAnsi="Times New Roman" w:cs="Times New Roman"/>
                                <w:bCs/>
                                <w:sz w:val="20"/>
                                <w:szCs w:val="20"/>
                                <w:lang w:val="en-IN" w:eastAsia="en-IN"/>
                              </w:rPr>
                            </w:pPr>
                            <w:r>
                              <w:rPr>
                                <w:rFonts w:ascii="Times New Roman" w:hAnsi="Times New Roman" w:cs="Times New Roman"/>
                                <w:b/>
                                <w:bCs/>
                                <w:sz w:val="20"/>
                                <w:szCs w:val="20"/>
                              </w:rPr>
                              <w:t>Keywords:</w:t>
                            </w:r>
                            <w:r>
                              <w:rPr>
                                <w:rFonts w:ascii="Times New Roman" w:hAnsi="Times New Roman" w:cs="Times New Roman"/>
                                <w:bCs/>
                                <w:sz w:val="20"/>
                                <w:szCs w:val="20"/>
                              </w:rPr>
                              <w:t xml:space="preserve"> Platelet-rich plasma, androgenetic alopecia, acne scars, non-healing ulcer, growth factors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5B8092" id="Text Box 2" o:spid="_x0000_s1027" type="#_x0000_t202" style="position:absolute;left:0;text-align:left;margin-left:-33pt;margin-top:29.45pt;width:537pt;height:298.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" fillcolor="#e7e6e6">
                <v:textbox>
                  <w:txbxContent>
                    <w:p w14:paraId="4DBF8635" w14:textId="77777777" w:rsidR="00C617DD" w:rsidRPr="00D6036C" w:rsidRDefault="00C617DD" w:rsidP="00C617DD">
                      <w:pPr>
                        <w:jc w:val="both"/>
                        <w:rPr>
                          <w:rFonts w:ascii="Times New Roman" w:hAnsi="Times New Roman" w:cs="Times New Roman"/>
                          <w:b/>
                          <w:sz w:val="20"/>
                          <w:szCs w:val="20"/>
                        </w:rPr>
                      </w:pPr>
                      <w:r>
                        <w:rPr>
                          <w:rFonts w:ascii="Times New Roman" w:hAnsi="Times New Roman" w:cs="Times New Roman"/>
                          <w:b/>
                          <w:sz w:val="20"/>
                          <w:szCs w:val="20"/>
                        </w:rPr>
                        <w:t>ABSTRACT</w:t>
                      </w:r>
                    </w:p>
                    <w:p w14:paraId="478C72B9" w14:textId="77777777" w:rsidR="00C617DD" w:rsidRDefault="00C617DD" w:rsidP="00C617DD">
                      <w:pPr>
                        <w:spacing w:after="0"/>
                        <w:jc w:val="both"/>
                        <w:rPr>
                          <w:rFonts w:ascii="Times New Roman" w:hAnsi="Times New Roman" w:cs="Times New Roman"/>
                          <w:bCs/>
                          <w:sz w:val="20"/>
                          <w:szCs w:val="20"/>
                        </w:rPr>
                      </w:pPr>
                      <w:r>
                        <w:rPr>
                          <w:rFonts w:ascii="Times New Roman" w:hAnsi="Times New Roman" w:cs="Times New Roman"/>
                          <w:b/>
                          <w:bCs/>
                          <w:sz w:val="20"/>
                          <w:szCs w:val="20"/>
                        </w:rPr>
                        <w:t>Background:</w:t>
                      </w:r>
                      <w:r>
                        <w:rPr>
                          <w:rFonts w:ascii="Times New Roman" w:hAnsi="Times New Roman" w:cs="Times New Roman"/>
                          <w:bCs/>
                          <w:sz w:val="20"/>
                          <w:szCs w:val="20"/>
                        </w:rPr>
                        <w:t xml:space="preserve"> Platelet-rich plasma (PRP) is an autologous concentrate obtained by differential centrifugation of whole blood, yielding platelets 4–7 times the baseline concentration with an attendant payload of growth factors including PDGF, VEGF, EGF, FGF, TGF-β, and IGF-1, which promote cellular proliferation, collagen synthesis, and tissue regeneration.</w:t>
                      </w:r>
                    </w:p>
                    <w:p w14:paraId="721A0A61" w14:textId="77777777" w:rsidR="00C617DD" w:rsidRDefault="00C617DD" w:rsidP="00C617DD">
                      <w:pPr>
                        <w:spacing w:after="0"/>
                        <w:jc w:val="both"/>
                        <w:rPr>
                          <w:rFonts w:ascii="Times New Roman" w:hAnsi="Times New Roman" w:cs="Times New Roman"/>
                          <w:bCs/>
                          <w:sz w:val="20"/>
                          <w:szCs w:val="20"/>
                        </w:rPr>
                      </w:pPr>
                      <w:r>
                        <w:rPr>
                          <w:rFonts w:ascii="Times New Roman" w:hAnsi="Times New Roman" w:cs="Times New Roman"/>
                          <w:bCs/>
                          <w:sz w:val="20"/>
                          <w:szCs w:val="20"/>
                        </w:rPr>
                        <w:t xml:space="preserve">  </w:t>
                      </w:r>
                    </w:p>
                    <w:p w14:paraId="6C0D3002" w14:textId="77777777" w:rsidR="00C617DD" w:rsidRDefault="00C617DD" w:rsidP="00C617DD">
                      <w:pPr>
                        <w:spacing w:after="0"/>
                        <w:jc w:val="both"/>
                        <w:rPr>
                          <w:rFonts w:ascii="Times New Roman" w:hAnsi="Times New Roman" w:cs="Times New Roman"/>
                          <w:bCs/>
                          <w:sz w:val="20"/>
                          <w:szCs w:val="20"/>
                        </w:rPr>
                      </w:pPr>
                      <w:r>
                        <w:rPr>
                          <w:rFonts w:ascii="Times New Roman" w:hAnsi="Times New Roman" w:cs="Times New Roman"/>
                          <w:b/>
                          <w:bCs/>
                          <w:sz w:val="20"/>
                          <w:szCs w:val="20"/>
                        </w:rPr>
                        <w:t>Material and methods:</w:t>
                      </w:r>
                      <w:r>
                        <w:rPr>
                          <w:rFonts w:ascii="Times New Roman" w:hAnsi="Times New Roman" w:cs="Times New Roman"/>
                          <w:bCs/>
                          <w:sz w:val="20"/>
                          <w:szCs w:val="20"/>
                        </w:rPr>
                        <w:t xml:space="preserve"> A prospective interventional study enrolling 50 patients (20 androgenetic alopecia [AGA], 15 acne scars, 15 non-healing ulcers) was conducted at the Department of DVL, in a tertiary care Centre of western India, from December 2020 to September 2022. PRP was prepared by the manual double-spin method and administered at 15-day intervals for 3 months (6 sessions), with monthly follow-up until 6 months. Outcomes were assessed by physician's global assessment (7-point scale), Hamilton-Norwood/Ludwig grading (AGA), Goodman and Baron's scale (acne scars), and wound area and volume measurements.</w:t>
                      </w:r>
                    </w:p>
                    <w:p w14:paraId="50F7B7D5" w14:textId="77777777" w:rsidR="00C617DD" w:rsidRDefault="00C617DD" w:rsidP="00C617DD">
                      <w:pPr>
                        <w:spacing w:after="0"/>
                        <w:jc w:val="both"/>
                        <w:rPr>
                          <w:rFonts w:ascii="Times New Roman" w:hAnsi="Times New Roman" w:cs="Times New Roman"/>
                          <w:bCs/>
                          <w:sz w:val="20"/>
                          <w:szCs w:val="20"/>
                        </w:rPr>
                      </w:pPr>
                    </w:p>
                    <w:p w14:paraId="4A545100" w14:textId="77777777" w:rsidR="00C617DD" w:rsidRDefault="00C617DD" w:rsidP="00C617DD">
                      <w:pPr>
                        <w:spacing w:after="0"/>
                        <w:jc w:val="both"/>
                        <w:rPr>
                          <w:rFonts w:ascii="Times New Roman" w:hAnsi="Times New Roman" w:cs="Times New Roman"/>
                          <w:bCs/>
                          <w:sz w:val="20"/>
                          <w:szCs w:val="20"/>
                        </w:rPr>
                      </w:pPr>
                      <w:r>
                        <w:rPr>
                          <w:rFonts w:ascii="Times New Roman" w:hAnsi="Times New Roman" w:cs="Times New Roman"/>
                          <w:b/>
                          <w:bCs/>
                          <w:sz w:val="20"/>
                          <w:szCs w:val="20"/>
                        </w:rPr>
                        <w:t>Results:</w:t>
                      </w:r>
                      <w:r>
                        <w:rPr>
                          <w:rFonts w:ascii="Times New Roman" w:hAnsi="Times New Roman" w:cs="Times New Roman"/>
                          <w:bCs/>
                          <w:sz w:val="20"/>
                          <w:szCs w:val="20"/>
                        </w:rPr>
                        <w:t xml:space="preserve"> In AGA, 85% showed improvement (mild 45%, moderate 30%, excellent 10%). In acne scars, 73.3% achieved a good-to-excellent response (reduction of at least one Goodman and Baron grade); 26–50% improvement was most frequent (53.3%). In non-healing ulcers, mean wound area reduced by 57.4% (14.09 cm² to 6.01 cm²) and volume by 66.0% (4.74 cm³ to 1.61 cm³), and 46.7% of patients rated their response as excellent. No serious adverse events were recorded in any group.</w:t>
                      </w:r>
                    </w:p>
                    <w:p w14:paraId="1FB4590D" w14:textId="77777777" w:rsidR="00C617DD" w:rsidRDefault="00C617DD" w:rsidP="00C617DD">
                      <w:pPr>
                        <w:spacing w:after="0"/>
                        <w:jc w:val="both"/>
                        <w:rPr>
                          <w:rFonts w:ascii="Times New Roman" w:hAnsi="Times New Roman" w:cs="Times New Roman"/>
                          <w:bCs/>
                          <w:sz w:val="20"/>
                          <w:szCs w:val="20"/>
                        </w:rPr>
                      </w:pPr>
                    </w:p>
                    <w:p w14:paraId="64C8F859" w14:textId="77777777" w:rsidR="00C617DD" w:rsidRDefault="00C617DD" w:rsidP="00C617DD">
                      <w:pPr>
                        <w:spacing w:after="0"/>
                        <w:jc w:val="both"/>
                        <w:rPr>
                          <w:rFonts w:ascii="Times New Roman" w:hAnsi="Times New Roman" w:cs="Times New Roman"/>
                          <w:bCs/>
                          <w:sz w:val="20"/>
                          <w:szCs w:val="20"/>
                        </w:rPr>
                      </w:pPr>
                      <w:r>
                        <w:rPr>
                          <w:rFonts w:ascii="Times New Roman" w:hAnsi="Times New Roman" w:cs="Times New Roman"/>
                          <w:b/>
                          <w:bCs/>
                          <w:sz w:val="20"/>
                          <w:szCs w:val="20"/>
                        </w:rPr>
                        <w:t>Conclusion:</w:t>
                      </w:r>
                      <w:r>
                        <w:rPr>
                          <w:rFonts w:ascii="Times New Roman" w:hAnsi="Times New Roman" w:cs="Times New Roman"/>
                          <w:bCs/>
                          <w:sz w:val="20"/>
                          <w:szCs w:val="20"/>
                        </w:rPr>
                        <w:t xml:space="preserve"> PRP is a safe, cost-effective, and efficacious autologous treatment for androgenetic alopecia, acne scars, and non-healing ulcers with a favorable side-effect profile.</w:t>
                      </w:r>
                    </w:p>
                    <w:p w14:paraId="0CEC6A1E" w14:textId="77777777" w:rsidR="00C617DD" w:rsidRPr="005736D2" w:rsidRDefault="00C617DD" w:rsidP="00C617DD">
                      <w:pPr>
                        <w:spacing w:after="0"/>
                        <w:jc w:val="both"/>
                        <w:rPr>
                          <w:rFonts w:ascii="Times New Roman" w:hAnsi="Times New Roman" w:cs="Times New Roman"/>
                          <w:bCs/>
                          <w:sz w:val="20"/>
                          <w:szCs w:val="20"/>
                        </w:rPr>
                      </w:pPr>
                    </w:p>
                    <w:p w14:paraId="64AFB712" w14:textId="77777777" w:rsidR="00C617DD" w:rsidRPr="00780EFD" w:rsidRDefault="00C617DD" w:rsidP="00C617DD">
                      <w:pPr>
                        <w:spacing w:after="0"/>
                        <w:jc w:val="both"/>
                        <w:rPr>
                          <w:rFonts w:ascii="Times New Roman" w:hAnsi="Times New Roman" w:cs="Times New Roman"/>
                          <w:bCs/>
                          <w:sz w:val="20"/>
                          <w:szCs w:val="20"/>
                          <w:lang w:val="en-IN" w:eastAsia="en-IN"/>
                        </w:rPr>
                      </w:pPr>
                      <w:r>
                        <w:rPr>
                          <w:rFonts w:ascii="Times New Roman" w:hAnsi="Times New Roman" w:cs="Times New Roman"/>
                          <w:b/>
                          <w:bCs/>
                          <w:sz w:val="20"/>
                          <w:szCs w:val="20"/>
                        </w:rPr>
                        <w:t>Keywords:</w:t>
                      </w:r>
                      <w:r>
                        <w:rPr>
                          <w:rFonts w:ascii="Times New Roman" w:hAnsi="Times New Roman" w:cs="Times New Roman"/>
                          <w:bCs/>
                          <w:sz w:val="20"/>
                          <w:szCs w:val="20"/>
                        </w:rPr>
                        <w:t xml:space="preserve"> Platelet-rich plasma, androgenetic alopecia, acne scars, non-healing ulcer, growth factors</w:t>
                      </w:r>
                    </w:p>
                  </w:txbxContent>
                </v:textbox>
                <w10:wrap type="square" anchorx="margin"/>
              </v:shape>
            </w:pict>
          </mc:Fallback>
        </mc:AlternateContent>
      </w:r>
      <w:r>
        <w:rPr>
          <w:rFonts w:ascii="Times New Roman" w:eastAsia="Times New Roman" w:hAnsi="Times New Roman" w:cs="Times New Roman"/>
          <w:sz w:val="24"/>
          <w:szCs w:val="24"/>
        </w:rPr>
        <w:t xml:space="preserve">* </w:t>
      </w:r>
      <w:r w:rsidRPr="00694ED9">
        <w:rPr>
          <w:rFonts w:ascii="Times New Roman" w:eastAsia="Times New Roman" w:hAnsi="Times New Roman" w:cs="Times New Roman"/>
          <w:b/>
          <w:bCs/>
          <w:sz w:val="24"/>
          <w:szCs w:val="24"/>
        </w:rPr>
        <w:t>Correspondence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GB"/>
        </w:rPr>
        <w:t xml:space="preserve">Dr. </w:t>
      </w:r>
      <w:r>
        <w:rPr>
          <w:rFonts w:ascii="Times New Roman" w:hAnsi="Times New Roman" w:cs="Times New Roman"/>
          <w:sz w:val="24"/>
          <w:szCs w:val="24"/>
        </w:rPr>
        <w:t>Jui Shah</w:t>
      </w:r>
      <w:r>
        <w:rPr>
          <w:rFonts w:ascii="Times New Roman" w:eastAsia="Times New Roman" w:hAnsi="Times New Roman" w:cs="Times New Roman"/>
          <w:bCs/>
          <w:sz w:val="24"/>
          <w:szCs w:val="24"/>
        </w:rPr>
        <w:t xml:space="preserve"> (</w:t>
      </w:r>
      <w:hyperlink r:id="rId7" w:history="1">
        <w:r>
          <w:rPr>
            <w:rStyle w:val="Hyperlink"/>
            <w:rFonts w:ascii="Times New Roman" w:eastAsia="Times New Roman" w:hAnsi="Times New Roman" w:cs="Times New Roman"/>
            <w:bCs/>
            <w:color w:val="auto"/>
            <w:sz w:val="24"/>
            <w:szCs w:val="24"/>
            <w:u w:val="none"/>
          </w:rPr>
          <w:t>juishah13@gmail.com</w:t>
        </w:r>
      </w:hyperlink>
      <w:r>
        <w:rPr>
          <w:rFonts w:ascii="Times New Roman" w:eastAsia="Times New Roman" w:hAnsi="Times New Roman" w:cs="Times New Roman"/>
          <w:bCs/>
          <w:sz w:val="24"/>
          <w:szCs w:val="24"/>
        </w:rPr>
        <w:t>)</w:t>
      </w:r>
    </w:p>
    <w:p w14:paraId="5F3E968E" w14:textId="77777777" w:rsidR="00C617DD" w:rsidRDefault="00C617DD" w:rsidP="00C617DD">
      <w:pPr>
        <w:tabs>
          <w:tab w:val="left" w:pos="225"/>
        </w:tabs>
        <w:rPr>
          <w:rFonts w:ascii="Times New Roman" w:eastAsia="Times New Roman" w:hAnsi="Times New Roman" w:cs="Times New Roman"/>
          <w:bCs/>
          <w:sz w:val="24"/>
          <w:szCs w:val="24"/>
        </w:rPr>
      </w:pPr>
    </w:p>
    <w:p w14:paraId="7F22AEDB" w14:textId="77777777" w:rsidR="00C617DD" w:rsidRPr="00C617DD" w:rsidRDefault="00C617DD" w:rsidP="00C617DD">
      <w:pPr>
        <w:rPr>
          <w:rFonts w:ascii="Times New Roman" w:eastAsia="Times New Roman" w:hAnsi="Times New Roman" w:cs="Times New Roman"/>
          <w:sz w:val="24"/>
          <w:szCs w:val="24"/>
        </w:rPr>
        <w:sectPr w:rsidR="00C617DD" w:rsidRPr="00C617DD" w:rsidSect="00DB4C66">
          <w:headerReference w:type="default" r:id="rId8"/>
          <w:footerReference w:type="default" r:id="rId9"/>
          <w:pgSz w:w="12240" w:h="15840"/>
          <w:pgMar w:top="1440" w:right="1440" w:bottom="1440" w:left="1440" w:header="720" w:footer="720" w:gutter="0"/>
          <w:pgNumType w:start="33"/>
          <w:cols w:space="720"/>
          <w:docGrid w:linePitch="360"/>
        </w:sectPr>
      </w:pPr>
    </w:p>
    <w:p w14:paraId="709B0FA0" w14:textId="77777777" w:rsidR="00C617DD" w:rsidRDefault="00C617DD" w:rsidP="00C617DD">
      <w:pPr>
        <w:keepNext/>
        <w:spacing w:after="120"/>
      </w:pPr>
      <w:r>
        <w:rPr>
          <w:rFonts w:ascii="Times New Roman" w:eastAsia="Times New Roman" w:hAnsi="Times New Roman" w:cs="Times New Roman"/>
          <w:b/>
          <w:bCs/>
          <w:sz w:val="24"/>
          <w:szCs w:val="24"/>
        </w:rPr>
        <w:lastRenderedPageBreak/>
        <w:t>INTRODUCTION</w:t>
      </w:r>
    </w:p>
    <w:p w14:paraId="07B367F0" w14:textId="77777777" w:rsidR="00C617DD" w:rsidRDefault="00C617DD" w:rsidP="00C617DD">
      <w:pPr>
        <w:spacing w:after="160"/>
        <w:jc w:val="both"/>
      </w:pPr>
      <w:r>
        <w:rPr>
          <w:rFonts w:ascii="Times New Roman" w:eastAsia="Times New Roman" w:hAnsi="Times New Roman" w:cs="Times New Roman"/>
          <w:sz w:val="20"/>
          <w:szCs w:val="20"/>
        </w:rPr>
        <w:t>Platelet-rich plasma (PRP) is an autologous concentrate obtained by differential centrifugation of whole blood in which the platelet count is raised to 4–7 times the physiological baseline. The platelets carry a diverse payload of biologically active molecules within their α-granules, including platelet-derived growth factor (PDGF), vascular endothelial growth factor (VEGF), epidermal growth factor (EGF), basic fibroblast growth factor (</w:t>
      </w:r>
      <w:proofErr w:type="spellStart"/>
      <w:r>
        <w:rPr>
          <w:rFonts w:ascii="Times New Roman" w:eastAsia="Times New Roman" w:hAnsi="Times New Roman" w:cs="Times New Roman"/>
          <w:sz w:val="20"/>
          <w:szCs w:val="20"/>
        </w:rPr>
        <w:t>bFGF</w:t>
      </w:r>
      <w:proofErr w:type="spellEnd"/>
      <w:r>
        <w:rPr>
          <w:rFonts w:ascii="Times New Roman" w:eastAsia="Times New Roman" w:hAnsi="Times New Roman" w:cs="Times New Roman"/>
          <w:sz w:val="20"/>
          <w:szCs w:val="20"/>
        </w:rPr>
        <w:t>), transforming growth factor-β (TGF-β), and insulin-like growth factor-1 (IGF-1).</w:t>
      </w:r>
      <w:r>
        <w:rPr>
          <w:rFonts w:ascii="Times New Roman" w:eastAsia="Times New Roman" w:hAnsi="Times New Roman" w:cs="Times New Roman"/>
          <w:sz w:val="20"/>
          <w:szCs w:val="20"/>
          <w:vertAlign w:val="superscript"/>
        </w:rPr>
        <w:t>1,2</w:t>
      </w:r>
      <w:r>
        <w:rPr>
          <w:rFonts w:ascii="Times New Roman" w:eastAsia="Times New Roman" w:hAnsi="Times New Roman" w:cs="Times New Roman"/>
          <w:sz w:val="20"/>
          <w:szCs w:val="20"/>
        </w:rPr>
        <w:t xml:space="preserve"> Upon activation — achieved here by calcium chloride — these growth factors are released and bind specific transmembrane receptors on mesenchymal stem cells, fibroblasts, keratinocytes, and endothelial cells, triggering intracellular signal transduction cascades that drive cellular proliferation, differentiation, chemotaxis, angiogenesis, and extracellular matrix synthesis.</w:t>
      </w:r>
      <w:r>
        <w:rPr>
          <w:rFonts w:ascii="Times New Roman" w:eastAsia="Times New Roman" w:hAnsi="Times New Roman" w:cs="Times New Roman"/>
          <w:sz w:val="20"/>
          <w:szCs w:val="20"/>
          <w:vertAlign w:val="superscript"/>
        </w:rPr>
        <w:t>3</w:t>
      </w:r>
      <w:r>
        <w:rPr>
          <w:rFonts w:ascii="Times New Roman" w:eastAsia="Times New Roman" w:hAnsi="Times New Roman" w:cs="Times New Roman"/>
          <w:sz w:val="20"/>
          <w:szCs w:val="20"/>
        </w:rPr>
        <w:t xml:space="preserve"> Because PRP is derived from the patient's own blood, it carries no risk of immunological rejection or cross-contamination, and its preparation is simple, inexpensive, and office-based.</w:t>
      </w:r>
    </w:p>
    <w:p w14:paraId="08A70A94" w14:textId="77777777" w:rsidR="00C617DD" w:rsidRDefault="00C617DD" w:rsidP="00C617DD">
      <w:pPr>
        <w:spacing w:after="160"/>
        <w:jc w:val="both"/>
      </w:pPr>
      <w:r>
        <w:rPr>
          <w:rFonts w:ascii="Times New Roman" w:eastAsia="Times New Roman" w:hAnsi="Times New Roman" w:cs="Times New Roman"/>
          <w:sz w:val="20"/>
          <w:szCs w:val="20"/>
        </w:rPr>
        <w:t>Androgenetic alopecia (AGA) is the commonest form of hair loss worldwide, affecting up to 50% of men by the age of 50 years</w:t>
      </w:r>
      <w:r>
        <w:rPr>
          <w:rFonts w:ascii="Times New Roman" w:eastAsia="Times New Roman" w:hAnsi="Times New Roman" w:cs="Times New Roman"/>
          <w:sz w:val="20"/>
          <w:szCs w:val="20"/>
          <w:vertAlign w:val="superscript"/>
        </w:rPr>
        <w:t>4</w:t>
      </w:r>
      <w:r>
        <w:rPr>
          <w:rFonts w:ascii="Times New Roman" w:eastAsia="Times New Roman" w:hAnsi="Times New Roman" w:cs="Times New Roman"/>
          <w:sz w:val="20"/>
          <w:szCs w:val="20"/>
        </w:rPr>
        <w:t xml:space="preserve"> and approximately 30–40% of women by the age of 70.</w:t>
      </w:r>
      <w:r>
        <w:rPr>
          <w:rFonts w:ascii="Times New Roman" w:eastAsia="Times New Roman" w:hAnsi="Times New Roman" w:cs="Times New Roman"/>
          <w:sz w:val="20"/>
          <w:szCs w:val="20"/>
          <w:vertAlign w:val="superscript"/>
        </w:rPr>
        <w:t>5</w:t>
      </w:r>
      <w:r>
        <w:rPr>
          <w:rFonts w:ascii="Times New Roman" w:eastAsia="Times New Roman" w:hAnsi="Times New Roman" w:cs="Times New Roman"/>
          <w:sz w:val="20"/>
          <w:szCs w:val="20"/>
        </w:rPr>
        <w:t xml:space="preserve"> Conventional therapies require long-term compliance and carry </w:t>
      </w:r>
      <w:proofErr w:type="spellStart"/>
      <w:r>
        <w:rPr>
          <w:rFonts w:ascii="Times New Roman" w:eastAsia="Times New Roman" w:hAnsi="Times New Roman" w:cs="Times New Roman"/>
          <w:sz w:val="20"/>
          <w:szCs w:val="20"/>
        </w:rPr>
        <w:t>recognised</w:t>
      </w:r>
      <w:proofErr w:type="spellEnd"/>
      <w:r>
        <w:rPr>
          <w:rFonts w:ascii="Times New Roman" w:eastAsia="Times New Roman" w:hAnsi="Times New Roman" w:cs="Times New Roman"/>
          <w:sz w:val="20"/>
          <w:szCs w:val="20"/>
        </w:rPr>
        <w:t xml:space="preserve"> side-effect profiles, creating clinical demand for safe adjunct or alternative treatments.</w:t>
      </w:r>
    </w:p>
    <w:p w14:paraId="0B4D7F93" w14:textId="77777777" w:rsidR="00C617DD" w:rsidRDefault="00C617DD" w:rsidP="00C617DD">
      <w:pPr>
        <w:spacing w:after="160"/>
        <w:jc w:val="both"/>
      </w:pPr>
      <w:r>
        <w:rPr>
          <w:rFonts w:ascii="Times New Roman" w:eastAsia="Times New Roman" w:hAnsi="Times New Roman" w:cs="Times New Roman"/>
          <w:sz w:val="20"/>
          <w:szCs w:val="20"/>
        </w:rPr>
        <w:t>Acne vulgaris produces atrophic scarring with significant psychosocial consequences in young adults.</w:t>
      </w:r>
      <w:r>
        <w:rPr>
          <w:rFonts w:ascii="Times New Roman" w:eastAsia="Times New Roman" w:hAnsi="Times New Roman" w:cs="Times New Roman"/>
          <w:sz w:val="20"/>
          <w:szCs w:val="20"/>
          <w:vertAlign w:val="superscript"/>
        </w:rPr>
        <w:t>6</w:t>
      </w:r>
      <w:r>
        <w:rPr>
          <w:rFonts w:ascii="Times New Roman" w:eastAsia="Times New Roman" w:hAnsi="Times New Roman" w:cs="Times New Roman"/>
          <w:sz w:val="20"/>
          <w:szCs w:val="20"/>
        </w:rPr>
        <w:t xml:space="preserve"> Standard scar therapies — dermabrasion, laser resurfacing, and chemical peels — are variably effective, expensive, and carry risks of post-inflammatory hyperpigmentation particularly in darker skin phototypes, which predominate in the Indian subcontinent.</w:t>
      </w:r>
    </w:p>
    <w:p w14:paraId="3723D988" w14:textId="77777777" w:rsidR="00C617DD" w:rsidRDefault="00C617DD" w:rsidP="00C617DD">
      <w:pPr>
        <w:spacing w:after="160"/>
        <w:jc w:val="both"/>
      </w:pPr>
      <w:r>
        <w:rPr>
          <w:rFonts w:ascii="Times New Roman" w:eastAsia="Times New Roman" w:hAnsi="Times New Roman" w:cs="Times New Roman"/>
          <w:sz w:val="20"/>
          <w:szCs w:val="20"/>
        </w:rPr>
        <w:t xml:space="preserve">Chronic non-healing ulcers are </w:t>
      </w:r>
      <w:proofErr w:type="spellStart"/>
      <w:r>
        <w:rPr>
          <w:rFonts w:ascii="Times New Roman" w:eastAsia="Times New Roman" w:hAnsi="Times New Roman" w:cs="Times New Roman"/>
          <w:sz w:val="20"/>
          <w:szCs w:val="20"/>
        </w:rPr>
        <w:t>characterised</w:t>
      </w:r>
      <w:proofErr w:type="spellEnd"/>
      <w:r>
        <w:rPr>
          <w:rFonts w:ascii="Times New Roman" w:eastAsia="Times New Roman" w:hAnsi="Times New Roman" w:cs="Times New Roman"/>
          <w:sz w:val="20"/>
          <w:szCs w:val="20"/>
        </w:rPr>
        <w:t xml:space="preserve"> by proteolytic wound-bed degradation, persistent inflammation, and growth-factor depletion.</w:t>
      </w:r>
      <w:r>
        <w:rPr>
          <w:rFonts w:ascii="Times New Roman" w:eastAsia="Times New Roman" w:hAnsi="Times New Roman" w:cs="Times New Roman"/>
          <w:sz w:val="20"/>
          <w:szCs w:val="20"/>
          <w:vertAlign w:val="superscript"/>
        </w:rPr>
        <w:t>7</w:t>
      </w:r>
      <w:r>
        <w:rPr>
          <w:rFonts w:ascii="Times New Roman" w:eastAsia="Times New Roman" w:hAnsi="Times New Roman" w:cs="Times New Roman"/>
          <w:sz w:val="20"/>
          <w:szCs w:val="20"/>
        </w:rPr>
        <w:t xml:space="preserve"> PRP's multi-factorial regenerative mechanism makes it uniquely suited to address these deficits.</w:t>
      </w:r>
    </w:p>
    <w:p w14:paraId="755D19E8" w14:textId="77777777" w:rsidR="00C617DD" w:rsidRDefault="00C617DD" w:rsidP="00C617DD">
      <w:pPr>
        <w:spacing w:after="160"/>
        <w:jc w:val="both"/>
      </w:pPr>
      <w:r>
        <w:rPr>
          <w:rFonts w:ascii="Times New Roman" w:eastAsia="Times New Roman" w:hAnsi="Times New Roman" w:cs="Times New Roman"/>
          <w:sz w:val="20"/>
          <w:szCs w:val="20"/>
        </w:rPr>
        <w:t xml:space="preserve">While individual studies have examined PRP in each condition, simultaneous prospective evaluation across three dermatological indications in a single Indian tertiary care cohort is lacking. This study prospectively assessed the clinical efficacy, safety, and patient satisfaction of PRP in patients with AGA, acne scars, and non-healing ulcers at a tertiary care </w:t>
      </w:r>
      <w:proofErr w:type="spellStart"/>
      <w:r>
        <w:rPr>
          <w:rFonts w:ascii="Times New Roman" w:eastAsia="Times New Roman" w:hAnsi="Times New Roman" w:cs="Times New Roman"/>
          <w:sz w:val="20"/>
          <w:szCs w:val="20"/>
        </w:rPr>
        <w:t>centre</w:t>
      </w:r>
      <w:proofErr w:type="spellEnd"/>
      <w:r>
        <w:rPr>
          <w:rFonts w:ascii="Times New Roman" w:eastAsia="Times New Roman" w:hAnsi="Times New Roman" w:cs="Times New Roman"/>
          <w:sz w:val="20"/>
          <w:szCs w:val="20"/>
        </w:rPr>
        <w:t xml:space="preserve"> in western India.</w:t>
      </w:r>
    </w:p>
    <w:p w14:paraId="0FB7E1E1" w14:textId="77777777" w:rsidR="00C617DD" w:rsidRDefault="00C617DD" w:rsidP="00C617DD">
      <w:pPr>
        <w:keepNext/>
        <w:spacing w:before="280" w:after="120"/>
      </w:pPr>
      <w:r>
        <w:rPr>
          <w:rFonts w:ascii="Times New Roman" w:eastAsia="Times New Roman" w:hAnsi="Times New Roman" w:cs="Times New Roman"/>
          <w:b/>
          <w:bCs/>
          <w:sz w:val="24"/>
          <w:szCs w:val="24"/>
        </w:rPr>
        <w:t>MATERIAL AND METHODS</w:t>
      </w:r>
    </w:p>
    <w:p w14:paraId="1C612D50" w14:textId="77777777" w:rsidR="00C617DD" w:rsidRDefault="00C617DD" w:rsidP="00C617DD">
      <w:pPr>
        <w:spacing w:after="160"/>
        <w:jc w:val="both"/>
      </w:pPr>
      <w:r>
        <w:rPr>
          <w:rFonts w:ascii="Times New Roman" w:eastAsia="Times New Roman" w:hAnsi="Times New Roman" w:cs="Times New Roman"/>
          <w:sz w:val="20"/>
          <w:szCs w:val="20"/>
        </w:rPr>
        <w:t xml:space="preserve">This was a prospective interventional study conducted at the Department of DVL, in a tertiary care </w:t>
      </w:r>
      <w:proofErr w:type="spellStart"/>
      <w:r>
        <w:rPr>
          <w:rFonts w:ascii="Times New Roman" w:eastAsia="Times New Roman" w:hAnsi="Times New Roman" w:cs="Times New Roman"/>
          <w:sz w:val="20"/>
          <w:szCs w:val="20"/>
        </w:rPr>
        <w:t>centre</w:t>
      </w:r>
      <w:proofErr w:type="spellEnd"/>
      <w:r>
        <w:rPr>
          <w:rFonts w:ascii="Times New Roman" w:eastAsia="Times New Roman" w:hAnsi="Times New Roman" w:cs="Times New Roman"/>
          <w:sz w:val="20"/>
          <w:szCs w:val="20"/>
        </w:rPr>
        <w:t xml:space="preserve"> of western India, over a period of approximately 22 months from December 2020 to September 2022. The study protocol was approved by the Institutional Ethics Committee (IEC approval reference: IEC/RESCH/2021/28). Written informed consent was obtained from all participants before enrolment, in accordance with the Declaration of Helsinki.</w:t>
      </w:r>
    </w:p>
    <w:p w14:paraId="57140EDB"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t>Study Population</w:t>
      </w:r>
    </w:p>
    <w:p w14:paraId="378ADBA0" w14:textId="77777777" w:rsidR="00C617DD" w:rsidRDefault="00C617DD" w:rsidP="00C617DD">
      <w:pPr>
        <w:spacing w:after="160"/>
        <w:jc w:val="both"/>
      </w:pPr>
      <w:r>
        <w:rPr>
          <w:rFonts w:ascii="Times New Roman" w:eastAsia="Times New Roman" w:hAnsi="Times New Roman" w:cs="Times New Roman"/>
          <w:sz w:val="20"/>
          <w:szCs w:val="20"/>
        </w:rPr>
        <w:t>Fifty patients attending the DVL outpatient department who fulfilled the inclusion criteria were enrolled: 20 with androgenetic alopecia, 15 with atrophic acne scars, and 15 with chronic non-healing ulcers.</w:t>
      </w:r>
    </w:p>
    <w:p w14:paraId="65184A76"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t>Inclusion Criteria</w:t>
      </w:r>
    </w:p>
    <w:p w14:paraId="6FED79B0" w14:textId="77777777" w:rsidR="00C617DD" w:rsidRDefault="00C617DD" w:rsidP="00C617DD">
      <w:pPr>
        <w:spacing w:after="160"/>
        <w:jc w:val="both"/>
      </w:pPr>
      <w:r>
        <w:rPr>
          <w:rFonts w:ascii="Times New Roman" w:eastAsia="Times New Roman" w:hAnsi="Times New Roman" w:cs="Times New Roman"/>
          <w:sz w:val="20"/>
          <w:szCs w:val="20"/>
        </w:rPr>
        <w:t>Patients aged 18–80 years who provided written informed consent and were willing to complete the full treatment schedule; AGA of Hamilton-Norwood grade 3 or 4 in males or Ludwig grade 2 or 3 in females; atrophic acne scars of rolling and/or box morphology of any Goodman and Baron qualitative grade; non-healing leg ulcers persisting despite treatment for at least six months.</w:t>
      </w:r>
    </w:p>
    <w:p w14:paraId="04625991" w14:textId="77777777" w:rsidR="007F3D50" w:rsidRDefault="007F3D50" w:rsidP="00C617DD">
      <w:pPr>
        <w:spacing w:before="160" w:after="80"/>
        <w:jc w:val="both"/>
        <w:rPr>
          <w:rFonts w:ascii="Times New Roman" w:eastAsia="Times New Roman" w:hAnsi="Times New Roman" w:cs="Times New Roman"/>
          <w:b/>
          <w:bCs/>
          <w:i/>
          <w:iCs/>
          <w:sz w:val="20"/>
          <w:szCs w:val="20"/>
        </w:rPr>
      </w:pPr>
    </w:p>
    <w:p w14:paraId="4C12B045"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lastRenderedPageBreak/>
        <w:t>Exclusion Criteria</w:t>
      </w:r>
    </w:p>
    <w:p w14:paraId="0401216F" w14:textId="77777777" w:rsidR="00C617DD" w:rsidRDefault="00C617DD" w:rsidP="00C617DD">
      <w:pPr>
        <w:spacing w:after="160"/>
        <w:jc w:val="both"/>
      </w:pPr>
      <w:r>
        <w:rPr>
          <w:rFonts w:ascii="Times New Roman" w:eastAsia="Times New Roman" w:hAnsi="Times New Roman" w:cs="Times New Roman"/>
          <w:sz w:val="20"/>
          <w:szCs w:val="20"/>
        </w:rPr>
        <w:t xml:space="preserve">Patients with a keloidal tendency; </w:t>
      </w:r>
      <w:proofErr w:type="spellStart"/>
      <w:r>
        <w:rPr>
          <w:rFonts w:ascii="Times New Roman" w:eastAsia="Times New Roman" w:hAnsi="Times New Roman" w:cs="Times New Roman"/>
          <w:sz w:val="20"/>
          <w:szCs w:val="20"/>
        </w:rPr>
        <w:t>ice-pick</w:t>
      </w:r>
      <w:proofErr w:type="spellEnd"/>
      <w:r>
        <w:rPr>
          <w:rFonts w:ascii="Times New Roman" w:eastAsia="Times New Roman" w:hAnsi="Times New Roman" w:cs="Times New Roman"/>
          <w:sz w:val="20"/>
          <w:szCs w:val="20"/>
        </w:rPr>
        <w:t xml:space="preserve"> acne scars; bleeding tendency or bleeding disorders; patients on anticoagulant medication; active infection at the local site; and a history of psoriasis or lichen planus (risk of </w:t>
      </w:r>
      <w:proofErr w:type="spellStart"/>
      <w:r>
        <w:rPr>
          <w:rFonts w:ascii="Times New Roman" w:eastAsia="Times New Roman" w:hAnsi="Times New Roman" w:cs="Times New Roman"/>
          <w:sz w:val="20"/>
          <w:szCs w:val="20"/>
        </w:rPr>
        <w:t>Köbner's</w:t>
      </w:r>
      <w:proofErr w:type="spellEnd"/>
      <w:r>
        <w:rPr>
          <w:rFonts w:ascii="Times New Roman" w:eastAsia="Times New Roman" w:hAnsi="Times New Roman" w:cs="Times New Roman"/>
          <w:sz w:val="20"/>
          <w:szCs w:val="20"/>
        </w:rPr>
        <w:t xml:space="preserve"> phenomenon).</w:t>
      </w:r>
    </w:p>
    <w:p w14:paraId="3A6C550C"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t>Baseline Investigations</w:t>
      </w:r>
    </w:p>
    <w:p w14:paraId="69079043" w14:textId="77777777" w:rsidR="00C617DD" w:rsidRDefault="00C617DD" w:rsidP="00C617DD">
      <w:pPr>
        <w:spacing w:after="160"/>
        <w:jc w:val="both"/>
      </w:pPr>
      <w:r>
        <w:rPr>
          <w:rFonts w:ascii="Times New Roman" w:eastAsia="Times New Roman" w:hAnsi="Times New Roman" w:cs="Times New Roman"/>
          <w:sz w:val="20"/>
          <w:szCs w:val="20"/>
        </w:rPr>
        <w:t>All participants underwent complete blood count, serum iron and ferritin, bleeding time, clotting time, prothrombin time, activated partial thromboplastin time (APTT), random blood sugar, HIV and HBsAg prior to the first treatment session.</w:t>
      </w:r>
    </w:p>
    <w:p w14:paraId="6236518D"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t>PRP Preparation</w:t>
      </w:r>
    </w:p>
    <w:p w14:paraId="58E367B0" w14:textId="77777777" w:rsidR="00C617DD" w:rsidRDefault="00C617DD" w:rsidP="00C617DD">
      <w:pPr>
        <w:spacing w:after="160"/>
        <w:jc w:val="both"/>
      </w:pPr>
      <w:r>
        <w:rPr>
          <w:rFonts w:ascii="Times New Roman" w:eastAsia="Times New Roman" w:hAnsi="Times New Roman" w:cs="Times New Roman"/>
          <w:sz w:val="20"/>
          <w:szCs w:val="20"/>
        </w:rPr>
        <w:t>PRP was prepared using the manual double-spin technique as recommended by the National IADVL PRP Taskforce.</w:t>
      </w:r>
      <w:r>
        <w:rPr>
          <w:rFonts w:ascii="Times New Roman" w:eastAsia="Times New Roman" w:hAnsi="Times New Roman" w:cs="Times New Roman"/>
          <w:sz w:val="20"/>
          <w:szCs w:val="20"/>
          <w:vertAlign w:val="superscript"/>
        </w:rPr>
        <w:t>8</w:t>
      </w:r>
      <w:r>
        <w:rPr>
          <w:rFonts w:ascii="Times New Roman" w:eastAsia="Times New Roman" w:hAnsi="Times New Roman" w:cs="Times New Roman"/>
          <w:sz w:val="20"/>
          <w:szCs w:val="20"/>
        </w:rPr>
        <w:t xml:space="preserve"> Under strict aseptic precautions, 20–30 mL of venous blood was collected into sodium citrate vacutainers. A soft spin (2000 rpm, 5–10 min) separated the buffy coat and plasma from red cells; this fraction was then transferred to a plain vacutainer and subjected to a hard spin (3500–4000 rpm, 10–15 min). The lower platelet-rich layer was retained; the platelet-poor upper fraction was discarded. Immediately before injection, PRP was activated by adding 10% calcium chloride solution at 0.3 mL per 1 mL of PRP.</w:t>
      </w:r>
    </w:p>
    <w:p w14:paraId="270DA022"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t>Treatment Protocol</w:t>
      </w:r>
    </w:p>
    <w:p w14:paraId="50C4FFFB" w14:textId="77777777" w:rsidR="00C617DD" w:rsidRDefault="00C617DD" w:rsidP="00C617DD">
      <w:pPr>
        <w:spacing w:after="160"/>
        <w:jc w:val="both"/>
      </w:pPr>
      <w:r>
        <w:rPr>
          <w:rFonts w:ascii="Times New Roman" w:eastAsia="Times New Roman" w:hAnsi="Times New Roman" w:cs="Times New Roman"/>
          <w:sz w:val="20"/>
          <w:szCs w:val="20"/>
        </w:rPr>
        <w:t xml:space="preserve">For AGA, the scalp was prepared with povidone-iodine and normal saline following application of topical </w:t>
      </w:r>
      <w:proofErr w:type="spellStart"/>
      <w:r>
        <w:rPr>
          <w:rFonts w:ascii="Times New Roman" w:eastAsia="Times New Roman" w:hAnsi="Times New Roman" w:cs="Times New Roman"/>
          <w:sz w:val="20"/>
          <w:szCs w:val="20"/>
        </w:rPr>
        <w:t>anaesthesia</w:t>
      </w:r>
      <w:proofErr w:type="spellEnd"/>
      <w:r>
        <w:rPr>
          <w:rFonts w:ascii="Times New Roman" w:eastAsia="Times New Roman" w:hAnsi="Times New Roman" w:cs="Times New Roman"/>
          <w:sz w:val="20"/>
          <w:szCs w:val="20"/>
        </w:rPr>
        <w:t xml:space="preserve">. Activated PRP was injected with insulin syringes at 0.1 mL/cm² in a retrograde fashion, from deep to superficial, at every centimeter over the treatment area. In acne scars and non-healing ulcers, activated PRP was injected; in some acne scar patients, PRP was combined with </w:t>
      </w:r>
      <w:proofErr w:type="spellStart"/>
      <w:r>
        <w:rPr>
          <w:rFonts w:ascii="Times New Roman" w:eastAsia="Times New Roman" w:hAnsi="Times New Roman" w:cs="Times New Roman"/>
          <w:sz w:val="20"/>
          <w:szCs w:val="20"/>
        </w:rPr>
        <w:t>dermaroller</w:t>
      </w:r>
      <w:proofErr w:type="spellEnd"/>
      <w:r>
        <w:rPr>
          <w:rFonts w:ascii="Times New Roman" w:eastAsia="Times New Roman" w:hAnsi="Times New Roman" w:cs="Times New Roman"/>
          <w:sz w:val="20"/>
          <w:szCs w:val="20"/>
        </w:rPr>
        <w:t xml:space="preserve"> microneedling (Figure 2). Six sessions were given at 15-day intervals over three months; patients were assessed every 15 days for the first 3 months and monthly for the next 3 months.</w:t>
      </w:r>
    </w:p>
    <w:p w14:paraId="309D32E6"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t>Outcome Assessment</w:t>
      </w:r>
    </w:p>
    <w:p w14:paraId="19B67EEB" w14:textId="77777777" w:rsidR="00C617DD" w:rsidRDefault="004640BB" w:rsidP="00C617DD">
      <w:pPr>
        <w:spacing w:after="160"/>
        <w:jc w:val="both"/>
      </w:pPr>
      <w:r>
        <w:rPr>
          <w:rFonts w:ascii="Times New Roman" w:eastAsia="Times New Roman" w:hAnsi="Times New Roman" w:cs="Times New Roman"/>
          <w:sz w:val="20"/>
          <w:szCs w:val="20"/>
        </w:rPr>
        <w:t>Standardized photographs were obtained at baseline, 3 months, and 6 months with fixed position, angle, lighting, magnification and distance. In AGA, the physician's global assessment on a 7-point scale (−3 to +3) was supplemented by Hamilton-Norwood/Ludwig grading and the hair pull test. In acne scars, Goodman and Baron's qualitative scale was applied (excellent response = 2-grade reduction; good = 1-grade reduction; poor = no change), and the physician also assessed percentage improvement. In non-healing ulcers, clinical response was measured by comparing the pre-treatment and post-treatment area (cm²) and volume (cm³) of the ulcer. Patients graded their satisfaction on a scale of 0–6, with 0 being no satisfaction and 6 complete satisfactions (4–6: excellent; 2–4: good; &lt;2: poor).</w:t>
      </w:r>
    </w:p>
    <w:p w14:paraId="092FBD4A"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t>Statistics</w:t>
      </w:r>
    </w:p>
    <w:p w14:paraId="077D710A" w14:textId="77777777" w:rsidR="00C617DD" w:rsidRDefault="00C617DD" w:rsidP="00C617DD">
      <w:pPr>
        <w:spacing w:after="160"/>
        <w:jc w:val="both"/>
      </w:pPr>
      <w:r>
        <w:rPr>
          <w:rFonts w:ascii="Times New Roman" w:eastAsia="Times New Roman" w:hAnsi="Times New Roman" w:cs="Times New Roman"/>
          <w:sz w:val="20"/>
          <w:szCs w:val="20"/>
        </w:rPr>
        <w:t>Data were analyzed using descriptive statistics. Categorical variables are reported as frequencies (percentages) and continuous variables as mean (SD).</w:t>
      </w:r>
    </w:p>
    <w:p w14:paraId="7266461A" w14:textId="77777777" w:rsidR="00C617DD" w:rsidRDefault="00C617DD" w:rsidP="00C617DD">
      <w:pPr>
        <w:keepNext/>
        <w:spacing w:before="280" w:after="120"/>
      </w:pPr>
      <w:r>
        <w:rPr>
          <w:rFonts w:ascii="Times New Roman" w:eastAsia="Times New Roman" w:hAnsi="Times New Roman" w:cs="Times New Roman"/>
          <w:b/>
          <w:bCs/>
          <w:sz w:val="24"/>
          <w:szCs w:val="24"/>
        </w:rPr>
        <w:t>RESULTS</w:t>
      </w:r>
    </w:p>
    <w:p w14:paraId="589C397F"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t>Demographic Profile</w:t>
      </w:r>
    </w:p>
    <w:p w14:paraId="7C56A642" w14:textId="77777777" w:rsidR="00C617DD" w:rsidRDefault="00C617DD" w:rsidP="00C617DD">
      <w:pPr>
        <w:spacing w:after="1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Of the 50 enrolled patients, 31 (62%) were male and 19 (38%) females, yielding a male-to-female ratio of 1.63:1. The mean (SD) ages were 29.75 (7.00) years in AGA, 24.6 (5.08) years in acne scars and 51.87 (9.54) years in non-healing ulcers, consistent with the established epidemiological profile of each condition. All 50 patients completed the 6-month follow-up.</w:t>
      </w:r>
    </w:p>
    <w:p w14:paraId="23352C1D" w14:textId="77777777" w:rsidR="004640BB" w:rsidRDefault="004640BB" w:rsidP="00C617DD">
      <w:pPr>
        <w:spacing w:after="160"/>
        <w:jc w:val="both"/>
      </w:pPr>
    </w:p>
    <w:p w14:paraId="49EA0B02"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lastRenderedPageBreak/>
        <w:t>Group 1: Androgenetic Alopecia (n = 20)</w:t>
      </w:r>
    </w:p>
    <w:p w14:paraId="32B52797" w14:textId="77777777" w:rsidR="00C617DD" w:rsidRDefault="00C617DD" w:rsidP="00C617DD">
      <w:pPr>
        <w:spacing w:after="160"/>
        <w:jc w:val="both"/>
      </w:pPr>
      <w:r>
        <w:rPr>
          <w:rFonts w:ascii="Times New Roman" w:eastAsia="Times New Roman" w:hAnsi="Times New Roman" w:cs="Times New Roman"/>
          <w:sz w:val="20"/>
          <w:szCs w:val="20"/>
        </w:rPr>
        <w:t>Males constituted 70% (n=14) and females 30% (n=6). Mean (SD) duration of hair loss was 21.2 (16.9) months. Hamilton-Norwood grading in males: Grade 3 in 57.15% (n=8), Grade 4 in 42.85% (n=6). Ludwig grading in females: Grade 3 in 66.66% (n=4), Grade 2 in 33.33% (n=2). Prior treatment was documented in 45% (n=9) and a positive family history in 45% (n=9).</w:t>
      </w:r>
    </w:p>
    <w:p w14:paraId="6ABC99DB" w14:textId="77777777" w:rsidR="00C617DD" w:rsidRDefault="00C617DD" w:rsidP="00C617DD">
      <w:pPr>
        <w:spacing w:after="160"/>
        <w:jc w:val="both"/>
      </w:pPr>
      <w:r>
        <w:rPr>
          <w:rFonts w:ascii="Times New Roman" w:eastAsia="Times New Roman" w:hAnsi="Times New Roman" w:cs="Times New Roman"/>
          <w:sz w:val="20"/>
          <w:szCs w:val="20"/>
        </w:rPr>
        <w:t xml:space="preserve">On the physician's global assessment at 6 months (Table 1), 85% of patients showed some improvement and 40% showed moderate-to-excellent improvement. On self-assessment, 10 patients (50%) rated their response as good, 3 (15%) as excellent and 7 (35%) as poor. The hair pull test converted to negative in 9 of 14 initially positive patients (64.3%). Ten patients (50%) had no side effects; the others reported </w:t>
      </w:r>
      <w:proofErr w:type="spellStart"/>
      <w:r>
        <w:rPr>
          <w:rFonts w:ascii="Times New Roman" w:eastAsia="Times New Roman" w:hAnsi="Times New Roman" w:cs="Times New Roman"/>
          <w:sz w:val="20"/>
          <w:szCs w:val="20"/>
        </w:rPr>
        <w:t>seborrhoeic</w:t>
      </w:r>
      <w:proofErr w:type="spellEnd"/>
      <w:r>
        <w:rPr>
          <w:rFonts w:ascii="Times New Roman" w:eastAsia="Times New Roman" w:hAnsi="Times New Roman" w:cs="Times New Roman"/>
          <w:sz w:val="20"/>
          <w:szCs w:val="20"/>
        </w:rPr>
        <w:t xml:space="preserve"> dermatitis (20%, n=4), pruritus (20%, n=4), headache (15%, n=3), irritation (15%, n=3) or local infection (5%, n=1). No side effect lasted more than 48 hours.</w:t>
      </w:r>
    </w:p>
    <w:p w14:paraId="606743C5" w14:textId="2E053833" w:rsidR="00C617DD" w:rsidRDefault="00C617DD" w:rsidP="00C617DD">
      <w:pPr>
        <w:keepNext/>
        <w:spacing w:before="160" w:after="80"/>
        <w:jc w:val="center"/>
      </w:pPr>
      <w:r>
        <w:rPr>
          <w:rFonts w:ascii="Times New Roman" w:eastAsia="Times New Roman" w:hAnsi="Times New Roman" w:cs="Times New Roman"/>
          <w:b/>
          <w:bCs/>
          <w:sz w:val="18"/>
          <w:szCs w:val="18"/>
        </w:rPr>
        <w:t>Table</w:t>
      </w:r>
      <w:r w:rsidR="00DB4C66">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rPr>
        <w:t>1: Physician's Global Assessment at 6 Months – Androgenetic Alopecia (n=20)</w:t>
      </w:r>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Look w:val="04A0" w:firstRow="1" w:lastRow="0" w:firstColumn="1" w:lastColumn="0" w:noHBand="0" w:noVBand="1"/>
      </w:tblPr>
      <w:tblGrid>
        <w:gridCol w:w="3544"/>
        <w:gridCol w:w="3118"/>
        <w:gridCol w:w="2410"/>
      </w:tblGrid>
      <w:tr w:rsidR="00C617DD" w14:paraId="59948751" w14:textId="77777777" w:rsidTr="004640BB">
        <w:tc>
          <w:tcPr>
            <w:tcW w:w="3544" w:type="dxa"/>
            <w:shd w:val="clear" w:color="auto" w:fill="D9D9D9"/>
            <w:vAlign w:val="center"/>
          </w:tcPr>
          <w:p w14:paraId="749FB4E7" w14:textId="77777777" w:rsidR="00C617DD" w:rsidRDefault="00C617DD" w:rsidP="007210EA">
            <w:pPr>
              <w:keepNext/>
              <w:spacing w:after="0"/>
              <w:jc w:val="center"/>
            </w:pPr>
            <w:r>
              <w:rPr>
                <w:rFonts w:ascii="Times New Roman" w:eastAsia="Times New Roman" w:hAnsi="Times New Roman" w:cs="Times New Roman"/>
                <w:b/>
                <w:bCs/>
                <w:sz w:val="16"/>
                <w:szCs w:val="16"/>
              </w:rPr>
              <w:t>Physician's Assessment</w:t>
            </w:r>
          </w:p>
        </w:tc>
        <w:tc>
          <w:tcPr>
            <w:tcW w:w="3118" w:type="dxa"/>
            <w:shd w:val="clear" w:color="auto" w:fill="D9D9D9"/>
            <w:vAlign w:val="center"/>
          </w:tcPr>
          <w:p w14:paraId="2DEC080B" w14:textId="77777777" w:rsidR="00C617DD" w:rsidRDefault="00C617DD" w:rsidP="007210EA">
            <w:pPr>
              <w:keepNext/>
              <w:spacing w:after="0"/>
              <w:jc w:val="center"/>
            </w:pPr>
            <w:r>
              <w:rPr>
                <w:rFonts w:ascii="Times New Roman" w:eastAsia="Times New Roman" w:hAnsi="Times New Roman" w:cs="Times New Roman"/>
                <w:b/>
                <w:bCs/>
                <w:sz w:val="16"/>
                <w:szCs w:val="16"/>
              </w:rPr>
              <w:t>No. of Patients</w:t>
            </w:r>
          </w:p>
        </w:tc>
        <w:tc>
          <w:tcPr>
            <w:tcW w:w="2410" w:type="dxa"/>
            <w:shd w:val="clear" w:color="auto" w:fill="D9D9D9"/>
            <w:vAlign w:val="center"/>
          </w:tcPr>
          <w:p w14:paraId="52FD46DE" w14:textId="77777777" w:rsidR="00C617DD" w:rsidRDefault="00C617DD" w:rsidP="007210EA">
            <w:pPr>
              <w:keepNext/>
              <w:spacing w:after="0"/>
              <w:jc w:val="center"/>
            </w:pPr>
            <w:r>
              <w:rPr>
                <w:rFonts w:ascii="Times New Roman" w:eastAsia="Times New Roman" w:hAnsi="Times New Roman" w:cs="Times New Roman"/>
                <w:b/>
                <w:bCs/>
                <w:sz w:val="16"/>
                <w:szCs w:val="16"/>
              </w:rPr>
              <w:t>Percentage (%)</w:t>
            </w:r>
          </w:p>
        </w:tc>
      </w:tr>
      <w:tr w:rsidR="00C617DD" w14:paraId="43E73F4A" w14:textId="77777777" w:rsidTr="004640BB">
        <w:tc>
          <w:tcPr>
            <w:tcW w:w="3544" w:type="dxa"/>
            <w:vAlign w:val="center"/>
          </w:tcPr>
          <w:p w14:paraId="32181202" w14:textId="77777777" w:rsidR="00C617DD" w:rsidRDefault="00C617DD" w:rsidP="007210EA">
            <w:pPr>
              <w:keepNext/>
              <w:spacing w:after="0"/>
              <w:jc w:val="center"/>
            </w:pPr>
            <w:r>
              <w:rPr>
                <w:rFonts w:ascii="Times New Roman" w:eastAsia="Times New Roman" w:hAnsi="Times New Roman" w:cs="Times New Roman"/>
                <w:sz w:val="16"/>
                <w:szCs w:val="16"/>
              </w:rPr>
              <w:t>No Improvement</w:t>
            </w:r>
          </w:p>
        </w:tc>
        <w:tc>
          <w:tcPr>
            <w:tcW w:w="3118" w:type="dxa"/>
            <w:vAlign w:val="center"/>
          </w:tcPr>
          <w:p w14:paraId="60779990" w14:textId="77777777" w:rsidR="00C617DD" w:rsidRDefault="00C617DD" w:rsidP="007210EA">
            <w:pPr>
              <w:keepNext/>
              <w:spacing w:after="0"/>
              <w:jc w:val="center"/>
            </w:pPr>
            <w:r>
              <w:rPr>
                <w:rFonts w:ascii="Times New Roman" w:eastAsia="Times New Roman" w:hAnsi="Times New Roman" w:cs="Times New Roman"/>
                <w:sz w:val="16"/>
                <w:szCs w:val="16"/>
              </w:rPr>
              <w:t>3</w:t>
            </w:r>
          </w:p>
        </w:tc>
        <w:tc>
          <w:tcPr>
            <w:tcW w:w="2410" w:type="dxa"/>
            <w:vAlign w:val="center"/>
          </w:tcPr>
          <w:p w14:paraId="674B040C" w14:textId="77777777" w:rsidR="00C617DD" w:rsidRDefault="00C617DD" w:rsidP="007210EA">
            <w:pPr>
              <w:keepNext/>
              <w:spacing w:after="0"/>
              <w:jc w:val="center"/>
            </w:pPr>
            <w:r>
              <w:rPr>
                <w:rFonts w:ascii="Times New Roman" w:eastAsia="Times New Roman" w:hAnsi="Times New Roman" w:cs="Times New Roman"/>
                <w:sz w:val="16"/>
                <w:szCs w:val="16"/>
              </w:rPr>
              <w:t>15.0</w:t>
            </w:r>
          </w:p>
        </w:tc>
      </w:tr>
      <w:tr w:rsidR="00C617DD" w14:paraId="046BA6FE" w14:textId="77777777" w:rsidTr="004640BB">
        <w:tc>
          <w:tcPr>
            <w:tcW w:w="3544" w:type="dxa"/>
            <w:vAlign w:val="center"/>
          </w:tcPr>
          <w:p w14:paraId="1973C830" w14:textId="77777777" w:rsidR="00C617DD" w:rsidRDefault="00C617DD" w:rsidP="007210EA">
            <w:pPr>
              <w:keepNext/>
              <w:spacing w:after="0"/>
              <w:jc w:val="center"/>
            </w:pPr>
            <w:r>
              <w:rPr>
                <w:rFonts w:ascii="Times New Roman" w:eastAsia="Times New Roman" w:hAnsi="Times New Roman" w:cs="Times New Roman"/>
                <w:sz w:val="16"/>
                <w:szCs w:val="16"/>
              </w:rPr>
              <w:t>Mild Improvement</w:t>
            </w:r>
          </w:p>
        </w:tc>
        <w:tc>
          <w:tcPr>
            <w:tcW w:w="3118" w:type="dxa"/>
            <w:vAlign w:val="center"/>
          </w:tcPr>
          <w:p w14:paraId="09D385CC" w14:textId="77777777" w:rsidR="00C617DD" w:rsidRDefault="00C617DD" w:rsidP="007210EA">
            <w:pPr>
              <w:keepNext/>
              <w:spacing w:after="0"/>
              <w:jc w:val="center"/>
            </w:pPr>
            <w:r>
              <w:rPr>
                <w:rFonts w:ascii="Times New Roman" w:eastAsia="Times New Roman" w:hAnsi="Times New Roman" w:cs="Times New Roman"/>
                <w:sz w:val="16"/>
                <w:szCs w:val="16"/>
              </w:rPr>
              <w:t>9</w:t>
            </w:r>
          </w:p>
        </w:tc>
        <w:tc>
          <w:tcPr>
            <w:tcW w:w="2410" w:type="dxa"/>
            <w:vAlign w:val="center"/>
          </w:tcPr>
          <w:p w14:paraId="12C0AAF8" w14:textId="77777777" w:rsidR="00C617DD" w:rsidRDefault="00C617DD" w:rsidP="007210EA">
            <w:pPr>
              <w:keepNext/>
              <w:spacing w:after="0"/>
              <w:jc w:val="center"/>
            </w:pPr>
            <w:r>
              <w:rPr>
                <w:rFonts w:ascii="Times New Roman" w:eastAsia="Times New Roman" w:hAnsi="Times New Roman" w:cs="Times New Roman"/>
                <w:sz w:val="16"/>
                <w:szCs w:val="16"/>
              </w:rPr>
              <w:t>45.0</w:t>
            </w:r>
          </w:p>
        </w:tc>
      </w:tr>
      <w:tr w:rsidR="00C617DD" w14:paraId="04D89C6D" w14:textId="77777777" w:rsidTr="004640BB">
        <w:tc>
          <w:tcPr>
            <w:tcW w:w="3544" w:type="dxa"/>
            <w:vAlign w:val="center"/>
          </w:tcPr>
          <w:p w14:paraId="30F208E9" w14:textId="77777777" w:rsidR="00C617DD" w:rsidRDefault="00C617DD" w:rsidP="007210EA">
            <w:pPr>
              <w:keepNext/>
              <w:spacing w:after="0"/>
              <w:jc w:val="center"/>
            </w:pPr>
            <w:r>
              <w:rPr>
                <w:rFonts w:ascii="Times New Roman" w:eastAsia="Times New Roman" w:hAnsi="Times New Roman" w:cs="Times New Roman"/>
                <w:sz w:val="16"/>
                <w:szCs w:val="16"/>
              </w:rPr>
              <w:t>Moderate Improvement</w:t>
            </w:r>
          </w:p>
        </w:tc>
        <w:tc>
          <w:tcPr>
            <w:tcW w:w="3118" w:type="dxa"/>
            <w:vAlign w:val="center"/>
          </w:tcPr>
          <w:p w14:paraId="504C93AE" w14:textId="77777777" w:rsidR="00C617DD" w:rsidRDefault="00C617DD" w:rsidP="007210EA">
            <w:pPr>
              <w:keepNext/>
              <w:spacing w:after="0"/>
              <w:jc w:val="center"/>
            </w:pPr>
            <w:r>
              <w:rPr>
                <w:rFonts w:ascii="Times New Roman" w:eastAsia="Times New Roman" w:hAnsi="Times New Roman" w:cs="Times New Roman"/>
                <w:sz w:val="16"/>
                <w:szCs w:val="16"/>
              </w:rPr>
              <w:t>6</w:t>
            </w:r>
          </w:p>
        </w:tc>
        <w:tc>
          <w:tcPr>
            <w:tcW w:w="2410" w:type="dxa"/>
            <w:vAlign w:val="center"/>
          </w:tcPr>
          <w:p w14:paraId="24CA6D87" w14:textId="77777777" w:rsidR="00C617DD" w:rsidRDefault="00C617DD" w:rsidP="007210EA">
            <w:pPr>
              <w:keepNext/>
              <w:spacing w:after="0"/>
              <w:jc w:val="center"/>
            </w:pPr>
            <w:r>
              <w:rPr>
                <w:rFonts w:ascii="Times New Roman" w:eastAsia="Times New Roman" w:hAnsi="Times New Roman" w:cs="Times New Roman"/>
                <w:sz w:val="16"/>
                <w:szCs w:val="16"/>
              </w:rPr>
              <w:t>30.0</w:t>
            </w:r>
          </w:p>
        </w:tc>
      </w:tr>
      <w:tr w:rsidR="00C617DD" w14:paraId="180C2D3B" w14:textId="77777777" w:rsidTr="004640BB">
        <w:tc>
          <w:tcPr>
            <w:tcW w:w="3544" w:type="dxa"/>
            <w:vAlign w:val="center"/>
          </w:tcPr>
          <w:p w14:paraId="04F5C6E9" w14:textId="77777777" w:rsidR="00C617DD" w:rsidRDefault="00C617DD" w:rsidP="007210EA">
            <w:pPr>
              <w:keepNext/>
              <w:spacing w:after="0"/>
              <w:jc w:val="center"/>
            </w:pPr>
            <w:r>
              <w:rPr>
                <w:rFonts w:ascii="Times New Roman" w:eastAsia="Times New Roman" w:hAnsi="Times New Roman" w:cs="Times New Roman"/>
                <w:sz w:val="16"/>
                <w:szCs w:val="16"/>
              </w:rPr>
              <w:t>Excellent Improvement</w:t>
            </w:r>
          </w:p>
        </w:tc>
        <w:tc>
          <w:tcPr>
            <w:tcW w:w="3118" w:type="dxa"/>
            <w:vAlign w:val="center"/>
          </w:tcPr>
          <w:p w14:paraId="63DC8CCB" w14:textId="77777777" w:rsidR="00C617DD" w:rsidRDefault="00C617DD" w:rsidP="007210EA">
            <w:pPr>
              <w:keepNext/>
              <w:spacing w:after="0"/>
              <w:jc w:val="center"/>
            </w:pPr>
            <w:r>
              <w:rPr>
                <w:rFonts w:ascii="Times New Roman" w:eastAsia="Times New Roman" w:hAnsi="Times New Roman" w:cs="Times New Roman"/>
                <w:sz w:val="16"/>
                <w:szCs w:val="16"/>
              </w:rPr>
              <w:t>2</w:t>
            </w:r>
          </w:p>
        </w:tc>
        <w:tc>
          <w:tcPr>
            <w:tcW w:w="2410" w:type="dxa"/>
            <w:vAlign w:val="center"/>
          </w:tcPr>
          <w:p w14:paraId="1F1231C6" w14:textId="77777777" w:rsidR="00C617DD" w:rsidRDefault="00C617DD" w:rsidP="007210EA">
            <w:pPr>
              <w:keepNext/>
              <w:spacing w:after="0"/>
              <w:jc w:val="center"/>
            </w:pPr>
            <w:r>
              <w:rPr>
                <w:rFonts w:ascii="Times New Roman" w:eastAsia="Times New Roman" w:hAnsi="Times New Roman" w:cs="Times New Roman"/>
                <w:sz w:val="16"/>
                <w:szCs w:val="16"/>
              </w:rPr>
              <w:t>10.0</w:t>
            </w:r>
          </w:p>
        </w:tc>
      </w:tr>
      <w:tr w:rsidR="00C617DD" w14:paraId="720BA8A9" w14:textId="77777777" w:rsidTr="004640BB">
        <w:tc>
          <w:tcPr>
            <w:tcW w:w="3544" w:type="dxa"/>
            <w:vAlign w:val="center"/>
          </w:tcPr>
          <w:p w14:paraId="26300208" w14:textId="77777777" w:rsidR="00C617DD" w:rsidRDefault="00C617DD" w:rsidP="007210EA">
            <w:pPr>
              <w:spacing w:after="0"/>
              <w:jc w:val="center"/>
            </w:pPr>
            <w:r>
              <w:rPr>
                <w:rFonts w:ascii="Times New Roman" w:eastAsia="Times New Roman" w:hAnsi="Times New Roman" w:cs="Times New Roman"/>
                <w:b/>
                <w:bCs/>
                <w:sz w:val="16"/>
                <w:szCs w:val="16"/>
              </w:rPr>
              <w:t>Total</w:t>
            </w:r>
          </w:p>
        </w:tc>
        <w:tc>
          <w:tcPr>
            <w:tcW w:w="3118" w:type="dxa"/>
            <w:vAlign w:val="center"/>
          </w:tcPr>
          <w:p w14:paraId="1ACABF54" w14:textId="77777777" w:rsidR="00C617DD" w:rsidRDefault="00C617DD" w:rsidP="007210EA">
            <w:pPr>
              <w:spacing w:after="0"/>
              <w:jc w:val="center"/>
            </w:pPr>
            <w:r>
              <w:rPr>
                <w:rFonts w:ascii="Times New Roman" w:eastAsia="Times New Roman" w:hAnsi="Times New Roman" w:cs="Times New Roman"/>
                <w:b/>
                <w:bCs/>
                <w:sz w:val="16"/>
                <w:szCs w:val="16"/>
              </w:rPr>
              <w:t>20</w:t>
            </w:r>
          </w:p>
        </w:tc>
        <w:tc>
          <w:tcPr>
            <w:tcW w:w="2410" w:type="dxa"/>
            <w:vAlign w:val="center"/>
          </w:tcPr>
          <w:p w14:paraId="6F1ACBDC" w14:textId="77777777" w:rsidR="00C617DD" w:rsidRDefault="00C617DD" w:rsidP="007210EA">
            <w:pPr>
              <w:spacing w:after="0"/>
              <w:jc w:val="center"/>
            </w:pPr>
            <w:r>
              <w:rPr>
                <w:rFonts w:ascii="Times New Roman" w:eastAsia="Times New Roman" w:hAnsi="Times New Roman" w:cs="Times New Roman"/>
                <w:b/>
                <w:bCs/>
                <w:sz w:val="16"/>
                <w:szCs w:val="16"/>
              </w:rPr>
              <w:t>100.0</w:t>
            </w:r>
          </w:p>
        </w:tc>
      </w:tr>
    </w:tbl>
    <w:p w14:paraId="44525168" w14:textId="77777777" w:rsidR="004640BB" w:rsidRDefault="004640BB" w:rsidP="00C617DD">
      <w:pPr>
        <w:spacing w:after="0"/>
      </w:pPr>
    </w:p>
    <w:tbl>
      <w:tblPr>
        <w:tblW w:w="9360" w:type="dxa"/>
        <w:jc w:val="center"/>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4680"/>
        <w:gridCol w:w="4680"/>
      </w:tblGrid>
      <w:tr w:rsidR="00A4679D" w14:paraId="5C2F5BE7" w14:textId="77777777">
        <w:trPr>
          <w:cantSplit/>
          <w:jc w:val="center"/>
        </w:trPr>
        <w:tc>
          <w:tcPr>
            <w:tcW w:w="4680" w:type="dxa"/>
            <w:vAlign w:val="bottom"/>
          </w:tcPr>
          <w:p w14:paraId="2509DFEB" w14:textId="77777777" w:rsidR="00A4679D" w:rsidRDefault="00000000">
            <w:pPr>
              <w:keepNext/>
              <w:spacing w:before="200" w:after="40" w:line="240" w:lineRule="auto"/>
              <w:jc w:val="center"/>
            </w:pPr>
            <w:r>
              <w:rPr>
                <w:rFonts w:ascii="Times New Roman" w:eastAsia="Times New Roman" w:hAnsi="Times New Roman" w:cs="Times New Roman"/>
                <w:b/>
                <w:bCs/>
                <w:sz w:val="18"/>
                <w:szCs w:val="18"/>
              </w:rPr>
              <w:t>Before Treatment</w:t>
            </w:r>
          </w:p>
        </w:tc>
        <w:tc>
          <w:tcPr>
            <w:tcW w:w="4680" w:type="dxa"/>
            <w:vAlign w:val="bottom"/>
          </w:tcPr>
          <w:p w14:paraId="06E00BBF" w14:textId="77777777" w:rsidR="00A4679D" w:rsidRDefault="00000000">
            <w:pPr>
              <w:keepNext/>
              <w:spacing w:before="200" w:after="40" w:line="240" w:lineRule="auto"/>
              <w:jc w:val="center"/>
            </w:pPr>
            <w:r>
              <w:rPr>
                <w:rFonts w:ascii="Times New Roman" w:eastAsia="Times New Roman" w:hAnsi="Times New Roman" w:cs="Times New Roman"/>
                <w:b/>
                <w:bCs/>
                <w:sz w:val="18"/>
                <w:szCs w:val="18"/>
              </w:rPr>
              <w:t>After Treatment (6 months)</w:t>
            </w:r>
          </w:p>
        </w:tc>
      </w:tr>
      <w:tr w:rsidR="00A4679D" w14:paraId="2A277817" w14:textId="77777777">
        <w:trPr>
          <w:cantSplit/>
          <w:jc w:val="center"/>
        </w:trPr>
        <w:tc>
          <w:tcPr>
            <w:tcW w:w="4680" w:type="dxa"/>
            <w:vAlign w:val="bottom"/>
          </w:tcPr>
          <w:p w14:paraId="1FE58BA1" w14:textId="0690AC9D" w:rsidR="00A4679D" w:rsidRDefault="00A613C9">
            <w:pPr>
              <w:keepNext/>
              <w:spacing w:after="60" w:line="240" w:lineRule="auto"/>
              <w:jc w:val="center"/>
            </w:pPr>
            <w:r>
              <w:rPr>
                <w:noProof/>
              </w:rPr>
              <w:drawing>
                <wp:inline distT="0" distB="0" distL="0" distR="0" wp14:anchorId="773ABE9A" wp14:editId="23AF034C">
                  <wp:extent cx="2227142" cy="2377440"/>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image2.jpeg"/>
                          <pic:cNvPicPr/>
                        </pic:nvPicPr>
                        <pic:blipFill>
                          <a:blip r:embed="rId10"/>
                          <a:stretch>
                            <a:fillRect/>
                          </a:stretch>
                        </pic:blipFill>
                        <pic:spPr>
                          <a:xfrm>
                            <a:off x="0" y="0"/>
                            <a:ext cx="2227142" cy="2377440"/>
                          </a:xfrm>
                          <a:prstGeom prst="rect">
                            <a:avLst/>
                          </a:prstGeom>
                        </pic:spPr>
                      </pic:pic>
                    </a:graphicData>
                  </a:graphic>
                </wp:inline>
              </w:drawing>
            </w:r>
          </w:p>
        </w:tc>
        <w:tc>
          <w:tcPr>
            <w:tcW w:w="4680" w:type="dxa"/>
            <w:vAlign w:val="bottom"/>
          </w:tcPr>
          <w:p w14:paraId="442A69BE" w14:textId="5B49663B" w:rsidR="00A4679D" w:rsidRDefault="00A613C9">
            <w:pPr>
              <w:keepNext/>
              <w:spacing w:after="60" w:line="240" w:lineRule="auto"/>
              <w:jc w:val="center"/>
            </w:pPr>
            <w:r>
              <w:rPr>
                <w:noProof/>
              </w:rPr>
              <w:drawing>
                <wp:inline distT="0" distB="0" distL="0" distR="0" wp14:anchorId="29E3DAA0" wp14:editId="2546E2E6">
                  <wp:extent cx="2411967" cy="2377440"/>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image1.jpeg"/>
                          <pic:cNvPicPr/>
                        </pic:nvPicPr>
                        <pic:blipFill>
                          <a:blip r:embed="rId11"/>
                          <a:stretch>
                            <a:fillRect/>
                          </a:stretch>
                        </pic:blipFill>
                        <pic:spPr>
                          <a:xfrm>
                            <a:off x="0" y="0"/>
                            <a:ext cx="2411967" cy="2377440"/>
                          </a:xfrm>
                          <a:prstGeom prst="rect">
                            <a:avLst/>
                          </a:prstGeom>
                        </pic:spPr>
                      </pic:pic>
                    </a:graphicData>
                  </a:graphic>
                </wp:inline>
              </w:drawing>
            </w:r>
          </w:p>
        </w:tc>
      </w:tr>
    </w:tbl>
    <w:p w14:paraId="4736CA92" w14:textId="670F3CEE" w:rsidR="00C617DD" w:rsidRDefault="00C617DD" w:rsidP="00C617DD">
      <w:pPr>
        <w:spacing w:before="80" w:after="160"/>
        <w:jc w:val="center"/>
      </w:pPr>
      <w:r>
        <w:rPr>
          <w:rFonts w:ascii="Times New Roman" w:eastAsia="Times New Roman" w:hAnsi="Times New Roman" w:cs="Times New Roman"/>
          <w:b/>
          <w:bCs/>
          <w:sz w:val="18"/>
          <w:szCs w:val="18"/>
        </w:rPr>
        <w:t>Figure</w:t>
      </w:r>
      <w:r w:rsidR="00DB4C66">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rPr>
        <w:t>1: Case 1 – Male, 25 years. Hamilton-Norwood Grade 3 androgenetic alopecia. Baseline (left) and 6-month follow-up (right) photographs of the vertex showing increased hair density and improved scalp coverage following 6 sessions of PRP. Side effect: transient pruritus.</w:t>
      </w:r>
    </w:p>
    <w:p w14:paraId="1C061011"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t>Group 2: Acne Scars (n = 15)</w:t>
      </w:r>
    </w:p>
    <w:p w14:paraId="2FA32B87" w14:textId="77777777" w:rsidR="00C617DD" w:rsidRDefault="00C617DD" w:rsidP="00C617DD">
      <w:pPr>
        <w:spacing w:after="160"/>
        <w:jc w:val="both"/>
      </w:pPr>
      <w:r>
        <w:rPr>
          <w:rFonts w:ascii="Times New Roman" w:eastAsia="Times New Roman" w:hAnsi="Times New Roman" w:cs="Times New Roman"/>
          <w:sz w:val="20"/>
          <w:szCs w:val="20"/>
        </w:rPr>
        <w:t>Males constituted 40% (n=6) and females 60% (n=9); mean age 24.6 years. Scar morphology: rolling 53.3% (n=8), box 20% (n=3), and mixed rolling-and-box 26.7% (n=4). Baseline Goodman and Baron grading: Grade 2 in 13.33% (n=2), Grade 3 in 53.33% (n=8), and Grade 4 in 33.33% (n=5).</w:t>
      </w:r>
    </w:p>
    <w:p w14:paraId="21C99B3C" w14:textId="77777777" w:rsidR="00C617DD" w:rsidRDefault="00C617DD" w:rsidP="00C617DD">
      <w:pPr>
        <w:spacing w:after="160"/>
        <w:jc w:val="both"/>
      </w:pPr>
      <w:r>
        <w:rPr>
          <w:rFonts w:ascii="Times New Roman" w:eastAsia="Times New Roman" w:hAnsi="Times New Roman" w:cs="Times New Roman"/>
          <w:sz w:val="20"/>
          <w:szCs w:val="20"/>
        </w:rPr>
        <w:lastRenderedPageBreak/>
        <w:t>At 6 months, the Goodman and Baron grade fell by two grades in 5 patients and by one grade in 6, giving a good-to-excellent response in 73.3% (Table 2); 4 patients showed no change. On the physician's assessment of percentage improvement, 4 patients (26.7%) showed 0–25%, 8 (53.3%) 26–50% and 3 (20.0%) 51–75% improvement. On self-assessment, 2 patients (13.3%) rated their response as excellent, 9 (60.0%) as good and 4 (26.7%) as poor. Procedure-related effects included pain during injection in 60% (n=9), erythema in 53.3% (n=8) and post-inflammatory hyperpigmentation (PIH) in 26.7% (n=4).</w:t>
      </w:r>
    </w:p>
    <w:p w14:paraId="4E550152" w14:textId="243158A1" w:rsidR="00C617DD" w:rsidRDefault="00C617DD" w:rsidP="00C617DD">
      <w:pPr>
        <w:keepNext/>
        <w:spacing w:before="160" w:after="80"/>
        <w:jc w:val="center"/>
      </w:pPr>
      <w:r>
        <w:rPr>
          <w:rFonts w:ascii="Times New Roman" w:eastAsia="Times New Roman" w:hAnsi="Times New Roman" w:cs="Times New Roman"/>
          <w:b/>
          <w:bCs/>
          <w:sz w:val="18"/>
          <w:szCs w:val="18"/>
        </w:rPr>
        <w:t>Table</w:t>
      </w:r>
      <w:r w:rsidR="00DB4C66">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rPr>
        <w:t>2: Response by Goodman and Baron Grade Reduction at 6 Months – Acne Scars (n=15)</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Look w:val="04A0" w:firstRow="1" w:lastRow="0" w:firstColumn="1" w:lastColumn="0" w:noHBand="0" w:noVBand="1"/>
      </w:tblPr>
      <w:tblGrid>
        <w:gridCol w:w="3565"/>
        <w:gridCol w:w="968"/>
        <w:gridCol w:w="1641"/>
        <w:gridCol w:w="2609"/>
        <w:gridCol w:w="284"/>
      </w:tblGrid>
      <w:tr w:rsidR="00C617DD" w14:paraId="5F617903" w14:textId="77777777" w:rsidTr="004640BB">
        <w:trPr>
          <w:gridAfter w:val="1"/>
          <w:wAfter w:w="288" w:type="dxa"/>
        </w:trPr>
        <w:tc>
          <w:tcPr>
            <w:tcW w:w="3681" w:type="dxa"/>
            <w:shd w:val="clear" w:color="auto" w:fill="D9D9D9"/>
            <w:vAlign w:val="center"/>
          </w:tcPr>
          <w:p w14:paraId="2E208D4B" w14:textId="77777777" w:rsidR="00C617DD" w:rsidRDefault="00C617DD" w:rsidP="007210EA">
            <w:pPr>
              <w:keepNext/>
              <w:spacing w:after="0"/>
              <w:jc w:val="center"/>
            </w:pPr>
            <w:r>
              <w:rPr>
                <w:rFonts w:ascii="Times New Roman" w:eastAsia="Times New Roman" w:hAnsi="Times New Roman" w:cs="Times New Roman"/>
                <w:b/>
                <w:bCs/>
                <w:sz w:val="16"/>
                <w:szCs w:val="16"/>
              </w:rPr>
              <w:t>Response (Grade Reduction)</w:t>
            </w:r>
          </w:p>
        </w:tc>
        <w:tc>
          <w:tcPr>
            <w:tcW w:w="2693" w:type="dxa"/>
            <w:gridSpan w:val="2"/>
            <w:shd w:val="clear" w:color="auto" w:fill="D9D9D9"/>
            <w:vAlign w:val="center"/>
          </w:tcPr>
          <w:p w14:paraId="31D93C4E" w14:textId="77777777" w:rsidR="00C617DD" w:rsidRDefault="00C617DD" w:rsidP="007210EA">
            <w:pPr>
              <w:keepNext/>
              <w:spacing w:after="0"/>
              <w:jc w:val="center"/>
            </w:pPr>
            <w:r>
              <w:rPr>
                <w:rFonts w:ascii="Times New Roman" w:eastAsia="Times New Roman" w:hAnsi="Times New Roman" w:cs="Times New Roman"/>
                <w:b/>
                <w:bCs/>
                <w:sz w:val="16"/>
                <w:szCs w:val="16"/>
              </w:rPr>
              <w:t>No. of Patients</w:t>
            </w:r>
          </w:p>
        </w:tc>
        <w:tc>
          <w:tcPr>
            <w:tcW w:w="2693" w:type="dxa"/>
            <w:shd w:val="clear" w:color="auto" w:fill="D9D9D9"/>
            <w:vAlign w:val="center"/>
          </w:tcPr>
          <w:p w14:paraId="75EB4FCE" w14:textId="77777777" w:rsidR="00C617DD" w:rsidRDefault="00C617DD" w:rsidP="007210EA">
            <w:pPr>
              <w:keepNext/>
              <w:spacing w:after="0"/>
              <w:jc w:val="center"/>
            </w:pPr>
            <w:r>
              <w:rPr>
                <w:rFonts w:ascii="Times New Roman" w:eastAsia="Times New Roman" w:hAnsi="Times New Roman" w:cs="Times New Roman"/>
                <w:b/>
                <w:bCs/>
                <w:sz w:val="16"/>
                <w:szCs w:val="16"/>
              </w:rPr>
              <w:t>Percentage (%)</w:t>
            </w:r>
          </w:p>
        </w:tc>
      </w:tr>
      <w:tr w:rsidR="00C617DD" w14:paraId="5471E1D2" w14:textId="77777777" w:rsidTr="004640BB">
        <w:trPr>
          <w:gridAfter w:val="1"/>
          <w:wAfter w:w="288" w:type="dxa"/>
        </w:trPr>
        <w:tc>
          <w:tcPr>
            <w:tcW w:w="3681" w:type="dxa"/>
            <w:vAlign w:val="center"/>
          </w:tcPr>
          <w:p w14:paraId="396C4693" w14:textId="77777777" w:rsidR="00C617DD" w:rsidRDefault="00C617DD" w:rsidP="007210EA">
            <w:pPr>
              <w:keepNext/>
              <w:spacing w:after="0"/>
              <w:jc w:val="center"/>
            </w:pPr>
            <w:r>
              <w:rPr>
                <w:rFonts w:ascii="Times New Roman" w:eastAsia="Times New Roman" w:hAnsi="Times New Roman" w:cs="Times New Roman"/>
                <w:sz w:val="16"/>
                <w:szCs w:val="16"/>
              </w:rPr>
              <w:t>Poor Response</w:t>
            </w:r>
          </w:p>
        </w:tc>
        <w:tc>
          <w:tcPr>
            <w:tcW w:w="2693" w:type="dxa"/>
            <w:gridSpan w:val="2"/>
            <w:vAlign w:val="center"/>
          </w:tcPr>
          <w:p w14:paraId="09DC511E" w14:textId="77777777" w:rsidR="00C617DD" w:rsidRDefault="00C617DD" w:rsidP="007210EA">
            <w:pPr>
              <w:keepNext/>
              <w:spacing w:after="0"/>
              <w:jc w:val="center"/>
            </w:pPr>
            <w:r>
              <w:rPr>
                <w:rFonts w:ascii="Times New Roman" w:eastAsia="Times New Roman" w:hAnsi="Times New Roman" w:cs="Times New Roman"/>
                <w:sz w:val="16"/>
                <w:szCs w:val="16"/>
              </w:rPr>
              <w:t>4</w:t>
            </w:r>
          </w:p>
        </w:tc>
        <w:tc>
          <w:tcPr>
            <w:tcW w:w="2693" w:type="dxa"/>
            <w:vAlign w:val="center"/>
          </w:tcPr>
          <w:p w14:paraId="6420ABF6" w14:textId="77777777" w:rsidR="00C617DD" w:rsidRDefault="00C617DD" w:rsidP="007210EA">
            <w:pPr>
              <w:keepNext/>
              <w:spacing w:after="0"/>
              <w:jc w:val="center"/>
            </w:pPr>
            <w:r>
              <w:rPr>
                <w:rFonts w:ascii="Times New Roman" w:eastAsia="Times New Roman" w:hAnsi="Times New Roman" w:cs="Times New Roman"/>
                <w:sz w:val="16"/>
                <w:szCs w:val="16"/>
              </w:rPr>
              <w:t>26.7</w:t>
            </w:r>
          </w:p>
        </w:tc>
      </w:tr>
      <w:tr w:rsidR="00C617DD" w14:paraId="3AF5E92A" w14:textId="77777777" w:rsidTr="004640BB">
        <w:trPr>
          <w:gridAfter w:val="1"/>
          <w:wAfter w:w="288" w:type="dxa"/>
        </w:trPr>
        <w:tc>
          <w:tcPr>
            <w:tcW w:w="3681" w:type="dxa"/>
            <w:vAlign w:val="center"/>
          </w:tcPr>
          <w:p w14:paraId="2FF10CE2" w14:textId="77777777" w:rsidR="00C617DD" w:rsidRDefault="00C617DD" w:rsidP="007210EA">
            <w:pPr>
              <w:keepNext/>
              <w:spacing w:after="0"/>
              <w:jc w:val="center"/>
            </w:pPr>
            <w:r>
              <w:rPr>
                <w:rFonts w:ascii="Times New Roman" w:eastAsia="Times New Roman" w:hAnsi="Times New Roman" w:cs="Times New Roman"/>
                <w:sz w:val="16"/>
                <w:szCs w:val="16"/>
              </w:rPr>
              <w:t>Good Response</w:t>
            </w:r>
          </w:p>
        </w:tc>
        <w:tc>
          <w:tcPr>
            <w:tcW w:w="2693" w:type="dxa"/>
            <w:gridSpan w:val="2"/>
            <w:vAlign w:val="center"/>
          </w:tcPr>
          <w:p w14:paraId="4D87FA8A" w14:textId="77777777" w:rsidR="00C617DD" w:rsidRDefault="00C617DD" w:rsidP="007210EA">
            <w:pPr>
              <w:keepNext/>
              <w:spacing w:after="0"/>
              <w:jc w:val="center"/>
            </w:pPr>
            <w:r>
              <w:rPr>
                <w:rFonts w:ascii="Times New Roman" w:eastAsia="Times New Roman" w:hAnsi="Times New Roman" w:cs="Times New Roman"/>
                <w:sz w:val="16"/>
                <w:szCs w:val="16"/>
              </w:rPr>
              <w:t>6</w:t>
            </w:r>
          </w:p>
        </w:tc>
        <w:tc>
          <w:tcPr>
            <w:tcW w:w="2693" w:type="dxa"/>
            <w:vAlign w:val="center"/>
          </w:tcPr>
          <w:p w14:paraId="74A36210" w14:textId="77777777" w:rsidR="00C617DD" w:rsidRDefault="00C617DD" w:rsidP="007210EA">
            <w:pPr>
              <w:keepNext/>
              <w:spacing w:after="0"/>
              <w:jc w:val="center"/>
            </w:pPr>
            <w:r>
              <w:rPr>
                <w:rFonts w:ascii="Times New Roman" w:eastAsia="Times New Roman" w:hAnsi="Times New Roman" w:cs="Times New Roman"/>
                <w:sz w:val="16"/>
                <w:szCs w:val="16"/>
              </w:rPr>
              <w:t>40.0</w:t>
            </w:r>
          </w:p>
        </w:tc>
      </w:tr>
      <w:tr w:rsidR="00C617DD" w14:paraId="40A3F6E7" w14:textId="77777777" w:rsidTr="004640BB">
        <w:trPr>
          <w:gridAfter w:val="1"/>
          <w:wAfter w:w="288" w:type="dxa"/>
        </w:trPr>
        <w:tc>
          <w:tcPr>
            <w:tcW w:w="3681" w:type="dxa"/>
            <w:vAlign w:val="center"/>
          </w:tcPr>
          <w:p w14:paraId="06FEB2B9" w14:textId="77777777" w:rsidR="00C617DD" w:rsidRDefault="00C617DD" w:rsidP="007210EA">
            <w:pPr>
              <w:keepNext/>
              <w:spacing w:after="0"/>
              <w:jc w:val="center"/>
            </w:pPr>
            <w:r>
              <w:rPr>
                <w:rFonts w:ascii="Times New Roman" w:eastAsia="Times New Roman" w:hAnsi="Times New Roman" w:cs="Times New Roman"/>
                <w:sz w:val="16"/>
                <w:szCs w:val="16"/>
              </w:rPr>
              <w:t>Excellent Response</w:t>
            </w:r>
          </w:p>
        </w:tc>
        <w:tc>
          <w:tcPr>
            <w:tcW w:w="2693" w:type="dxa"/>
            <w:gridSpan w:val="2"/>
            <w:vAlign w:val="center"/>
          </w:tcPr>
          <w:p w14:paraId="741B1B1A" w14:textId="77777777" w:rsidR="00C617DD" w:rsidRDefault="00C617DD" w:rsidP="007210EA">
            <w:pPr>
              <w:keepNext/>
              <w:spacing w:after="0"/>
              <w:jc w:val="center"/>
            </w:pPr>
            <w:r>
              <w:rPr>
                <w:rFonts w:ascii="Times New Roman" w:eastAsia="Times New Roman" w:hAnsi="Times New Roman" w:cs="Times New Roman"/>
                <w:sz w:val="16"/>
                <w:szCs w:val="16"/>
              </w:rPr>
              <w:t>5</w:t>
            </w:r>
          </w:p>
        </w:tc>
        <w:tc>
          <w:tcPr>
            <w:tcW w:w="2693" w:type="dxa"/>
            <w:vAlign w:val="center"/>
          </w:tcPr>
          <w:p w14:paraId="4EEBA19E" w14:textId="77777777" w:rsidR="00C617DD" w:rsidRDefault="00C617DD" w:rsidP="007210EA">
            <w:pPr>
              <w:keepNext/>
              <w:spacing w:after="0"/>
              <w:jc w:val="center"/>
            </w:pPr>
            <w:r>
              <w:rPr>
                <w:rFonts w:ascii="Times New Roman" w:eastAsia="Times New Roman" w:hAnsi="Times New Roman" w:cs="Times New Roman"/>
                <w:sz w:val="16"/>
                <w:szCs w:val="16"/>
              </w:rPr>
              <w:t>33.3</w:t>
            </w:r>
          </w:p>
        </w:tc>
      </w:tr>
      <w:tr w:rsidR="00C617DD" w14:paraId="263D6FB1" w14:textId="77777777" w:rsidTr="004640BB">
        <w:trPr>
          <w:gridAfter w:val="1"/>
          <w:wAfter w:w="288" w:type="dxa"/>
        </w:trPr>
        <w:tc>
          <w:tcPr>
            <w:tcW w:w="3681" w:type="dxa"/>
            <w:vAlign w:val="center"/>
          </w:tcPr>
          <w:p w14:paraId="6D43C0D9" w14:textId="77777777" w:rsidR="00C617DD" w:rsidRDefault="00C617DD" w:rsidP="007210EA">
            <w:pPr>
              <w:spacing w:after="0"/>
              <w:jc w:val="center"/>
            </w:pPr>
            <w:r>
              <w:rPr>
                <w:rFonts w:ascii="Times New Roman" w:eastAsia="Times New Roman" w:hAnsi="Times New Roman" w:cs="Times New Roman"/>
                <w:b/>
                <w:bCs/>
                <w:sz w:val="16"/>
                <w:szCs w:val="16"/>
              </w:rPr>
              <w:t>Total</w:t>
            </w:r>
          </w:p>
        </w:tc>
        <w:tc>
          <w:tcPr>
            <w:tcW w:w="2693" w:type="dxa"/>
            <w:gridSpan w:val="2"/>
            <w:vAlign w:val="center"/>
          </w:tcPr>
          <w:p w14:paraId="5B4A493B" w14:textId="77777777" w:rsidR="00C617DD" w:rsidRDefault="00C617DD" w:rsidP="007210EA">
            <w:pPr>
              <w:spacing w:after="0"/>
              <w:jc w:val="center"/>
            </w:pPr>
            <w:r>
              <w:rPr>
                <w:rFonts w:ascii="Times New Roman" w:eastAsia="Times New Roman" w:hAnsi="Times New Roman" w:cs="Times New Roman"/>
                <w:b/>
                <w:bCs/>
                <w:sz w:val="16"/>
                <w:szCs w:val="16"/>
              </w:rPr>
              <w:t>15</w:t>
            </w:r>
          </w:p>
        </w:tc>
        <w:tc>
          <w:tcPr>
            <w:tcW w:w="2693" w:type="dxa"/>
            <w:vAlign w:val="center"/>
          </w:tcPr>
          <w:p w14:paraId="4BE834C6" w14:textId="77777777" w:rsidR="00C617DD" w:rsidRDefault="00C617DD" w:rsidP="007210EA">
            <w:pPr>
              <w:spacing w:after="0"/>
              <w:jc w:val="center"/>
            </w:pPr>
            <w:r>
              <w:rPr>
                <w:rFonts w:ascii="Times New Roman" w:eastAsia="Times New Roman" w:hAnsi="Times New Roman" w:cs="Times New Roman"/>
                <w:b/>
                <w:bCs/>
                <w:sz w:val="16"/>
                <w:szCs w:val="16"/>
              </w:rPr>
              <w:t>100.0</w:t>
            </w:r>
          </w:p>
        </w:tc>
      </w:tr>
      <w:tr w:rsidR="00A4679D" w14:paraId="7DEDF477" w14:textId="77777777">
        <w:tblPrEx>
          <w:jc w:val="center"/>
          <w:tblBorders>
            <w:top w:val="nil"/>
            <w:left w:val="nil"/>
            <w:bottom w:val="nil"/>
            <w:right w:val="nil"/>
            <w:insideH w:val="nil"/>
            <w:insideV w:val="nil"/>
          </w:tblBorders>
          <w:tblCellMar>
            <w:top w:w="0" w:type="dxa"/>
            <w:bottom w:w="0" w:type="dxa"/>
          </w:tblCellMar>
          <w:tblLook w:val="0000" w:firstRow="0" w:lastRow="0" w:firstColumn="0" w:lastColumn="0" w:noHBand="0" w:noVBand="0"/>
        </w:tblPrEx>
        <w:trPr>
          <w:cantSplit/>
          <w:jc w:val="center"/>
        </w:trPr>
        <w:tc>
          <w:tcPr>
            <w:tcW w:w="4680" w:type="dxa"/>
            <w:gridSpan w:val="2"/>
            <w:vAlign w:val="bottom"/>
          </w:tcPr>
          <w:p w14:paraId="1DF29206" w14:textId="0C58C0D5" w:rsidR="00A4679D" w:rsidRDefault="00000000">
            <w:pPr>
              <w:keepNext/>
              <w:spacing w:before="200" w:after="40" w:line="240" w:lineRule="auto"/>
              <w:jc w:val="center"/>
            </w:pPr>
            <w:r>
              <w:rPr>
                <w:rFonts w:ascii="Times New Roman" w:eastAsia="Times New Roman" w:hAnsi="Times New Roman" w:cs="Times New Roman"/>
                <w:b/>
                <w:bCs/>
                <w:sz w:val="18"/>
                <w:szCs w:val="18"/>
              </w:rPr>
              <w:t xml:space="preserve">Before Treatment – </w:t>
            </w:r>
            <w:r w:rsidR="00FD0BB1">
              <w:rPr>
                <w:rFonts w:ascii="Times New Roman" w:eastAsia="Times New Roman" w:hAnsi="Times New Roman" w:cs="Times New Roman"/>
                <w:b/>
                <w:bCs/>
                <w:sz w:val="18"/>
                <w:szCs w:val="18"/>
              </w:rPr>
              <w:t>Right</w:t>
            </w:r>
          </w:p>
        </w:tc>
        <w:tc>
          <w:tcPr>
            <w:tcW w:w="4680" w:type="dxa"/>
            <w:gridSpan w:val="3"/>
            <w:vAlign w:val="bottom"/>
          </w:tcPr>
          <w:p w14:paraId="7DD8B6E9" w14:textId="5AA7866B" w:rsidR="00A4679D" w:rsidRDefault="00000000">
            <w:pPr>
              <w:keepNext/>
              <w:spacing w:before="200" w:after="40" w:line="240" w:lineRule="auto"/>
              <w:jc w:val="center"/>
            </w:pPr>
            <w:r>
              <w:rPr>
                <w:rFonts w:ascii="Times New Roman" w:eastAsia="Times New Roman" w:hAnsi="Times New Roman" w:cs="Times New Roman"/>
                <w:b/>
                <w:bCs/>
                <w:sz w:val="18"/>
                <w:szCs w:val="18"/>
              </w:rPr>
              <w:t xml:space="preserve">Before Treatment – </w:t>
            </w:r>
            <w:r w:rsidR="00FD0BB1">
              <w:rPr>
                <w:rFonts w:ascii="Times New Roman" w:eastAsia="Times New Roman" w:hAnsi="Times New Roman" w:cs="Times New Roman"/>
                <w:b/>
                <w:bCs/>
                <w:sz w:val="18"/>
                <w:szCs w:val="18"/>
              </w:rPr>
              <w:t>Left</w:t>
            </w:r>
          </w:p>
        </w:tc>
      </w:tr>
      <w:tr w:rsidR="00A4679D" w14:paraId="26CC0273" w14:textId="77777777">
        <w:tblPrEx>
          <w:jc w:val="center"/>
          <w:tblBorders>
            <w:top w:val="nil"/>
            <w:left w:val="nil"/>
            <w:bottom w:val="nil"/>
            <w:right w:val="nil"/>
            <w:insideH w:val="nil"/>
            <w:insideV w:val="nil"/>
          </w:tblBorders>
          <w:tblCellMar>
            <w:top w:w="0" w:type="dxa"/>
            <w:bottom w:w="0" w:type="dxa"/>
          </w:tblCellMar>
          <w:tblLook w:val="0000" w:firstRow="0" w:lastRow="0" w:firstColumn="0" w:lastColumn="0" w:noHBand="0" w:noVBand="0"/>
        </w:tblPrEx>
        <w:trPr>
          <w:cantSplit/>
          <w:jc w:val="center"/>
        </w:trPr>
        <w:tc>
          <w:tcPr>
            <w:tcW w:w="4680" w:type="dxa"/>
            <w:gridSpan w:val="2"/>
            <w:vAlign w:val="bottom"/>
          </w:tcPr>
          <w:p w14:paraId="2CC861C2" w14:textId="77777777" w:rsidR="00A4679D" w:rsidRDefault="00000000">
            <w:pPr>
              <w:keepNext/>
              <w:spacing w:after="60" w:line="240" w:lineRule="auto"/>
              <w:jc w:val="center"/>
            </w:pPr>
            <w:r>
              <w:rPr>
                <w:noProof/>
              </w:rPr>
              <w:drawing>
                <wp:inline distT="0" distB="0" distL="0" distR="0" wp14:anchorId="34B7A79A" wp14:editId="04A59CAF">
                  <wp:extent cx="1508760" cy="2011680"/>
                  <wp:effectExtent l="0" t="0" r="0" b="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image5.jpeg"/>
                          <pic:cNvPicPr/>
                        </pic:nvPicPr>
                        <pic:blipFill>
                          <a:blip r:embed="rId12"/>
                          <a:stretch>
                            <a:fillRect/>
                          </a:stretch>
                        </pic:blipFill>
                        <pic:spPr>
                          <a:xfrm>
                            <a:off x="0" y="0"/>
                            <a:ext cx="1508760" cy="2011680"/>
                          </a:xfrm>
                          <a:prstGeom prst="rect">
                            <a:avLst/>
                          </a:prstGeom>
                        </pic:spPr>
                      </pic:pic>
                    </a:graphicData>
                  </a:graphic>
                </wp:inline>
              </w:drawing>
            </w:r>
          </w:p>
        </w:tc>
        <w:tc>
          <w:tcPr>
            <w:tcW w:w="4680" w:type="dxa"/>
            <w:gridSpan w:val="3"/>
            <w:vAlign w:val="bottom"/>
          </w:tcPr>
          <w:p w14:paraId="1E5B11F1" w14:textId="77777777" w:rsidR="00A4679D" w:rsidRDefault="00000000">
            <w:pPr>
              <w:keepNext/>
              <w:spacing w:after="60" w:line="240" w:lineRule="auto"/>
              <w:jc w:val="center"/>
            </w:pPr>
            <w:r>
              <w:rPr>
                <w:noProof/>
              </w:rPr>
              <w:drawing>
                <wp:inline distT="0" distB="0" distL="0" distR="0" wp14:anchorId="6078A1F7" wp14:editId="0EEA6A02">
                  <wp:extent cx="1507499" cy="2011680"/>
                  <wp:effectExtent l="0" t="0" r="0" b="0"/>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image6.jpeg"/>
                          <pic:cNvPicPr/>
                        </pic:nvPicPr>
                        <pic:blipFill>
                          <a:blip r:embed="rId13"/>
                          <a:stretch>
                            <a:fillRect/>
                          </a:stretch>
                        </pic:blipFill>
                        <pic:spPr>
                          <a:xfrm>
                            <a:off x="0" y="0"/>
                            <a:ext cx="1507499" cy="2011680"/>
                          </a:xfrm>
                          <a:prstGeom prst="rect">
                            <a:avLst/>
                          </a:prstGeom>
                        </pic:spPr>
                      </pic:pic>
                    </a:graphicData>
                  </a:graphic>
                </wp:inline>
              </w:drawing>
            </w:r>
          </w:p>
        </w:tc>
      </w:tr>
      <w:tr w:rsidR="00A4679D" w14:paraId="6CFA25B3" w14:textId="77777777">
        <w:tblPrEx>
          <w:jc w:val="center"/>
          <w:tblBorders>
            <w:top w:val="nil"/>
            <w:left w:val="nil"/>
            <w:bottom w:val="nil"/>
            <w:right w:val="nil"/>
            <w:insideH w:val="nil"/>
            <w:insideV w:val="nil"/>
          </w:tblBorders>
          <w:tblCellMar>
            <w:top w:w="0" w:type="dxa"/>
            <w:bottom w:w="0" w:type="dxa"/>
          </w:tblCellMar>
          <w:tblLook w:val="0000" w:firstRow="0" w:lastRow="0" w:firstColumn="0" w:lastColumn="0" w:noHBand="0" w:noVBand="0"/>
        </w:tblPrEx>
        <w:trPr>
          <w:cantSplit/>
          <w:jc w:val="center"/>
        </w:trPr>
        <w:tc>
          <w:tcPr>
            <w:tcW w:w="4680" w:type="dxa"/>
            <w:gridSpan w:val="2"/>
            <w:vAlign w:val="bottom"/>
          </w:tcPr>
          <w:p w14:paraId="7B86BC95" w14:textId="4B329CBD" w:rsidR="00A4679D" w:rsidRDefault="00000000">
            <w:pPr>
              <w:keepNext/>
              <w:spacing w:before="40" w:after="40" w:line="240" w:lineRule="auto"/>
              <w:jc w:val="center"/>
            </w:pPr>
            <w:r>
              <w:rPr>
                <w:rFonts w:ascii="Times New Roman" w:eastAsia="Times New Roman" w:hAnsi="Times New Roman" w:cs="Times New Roman"/>
                <w:b/>
                <w:bCs/>
                <w:sz w:val="18"/>
                <w:szCs w:val="18"/>
              </w:rPr>
              <w:t xml:space="preserve">After Treatment (6 months) – </w:t>
            </w:r>
            <w:r w:rsidR="00FD0BB1">
              <w:rPr>
                <w:rFonts w:ascii="Times New Roman" w:eastAsia="Times New Roman" w:hAnsi="Times New Roman" w:cs="Times New Roman"/>
                <w:b/>
                <w:bCs/>
                <w:sz w:val="18"/>
                <w:szCs w:val="18"/>
              </w:rPr>
              <w:t>Right</w:t>
            </w:r>
          </w:p>
        </w:tc>
        <w:tc>
          <w:tcPr>
            <w:tcW w:w="4680" w:type="dxa"/>
            <w:gridSpan w:val="3"/>
            <w:vAlign w:val="bottom"/>
          </w:tcPr>
          <w:p w14:paraId="7AFD92EA" w14:textId="1A96BF58" w:rsidR="00A4679D" w:rsidRDefault="00000000">
            <w:pPr>
              <w:keepNext/>
              <w:spacing w:before="40" w:after="40" w:line="240" w:lineRule="auto"/>
              <w:jc w:val="center"/>
            </w:pPr>
            <w:r>
              <w:rPr>
                <w:rFonts w:ascii="Times New Roman" w:eastAsia="Times New Roman" w:hAnsi="Times New Roman" w:cs="Times New Roman"/>
                <w:b/>
                <w:bCs/>
                <w:sz w:val="18"/>
                <w:szCs w:val="18"/>
              </w:rPr>
              <w:t xml:space="preserve">After Treatment (6 months) – </w:t>
            </w:r>
            <w:r w:rsidR="00FD0BB1">
              <w:rPr>
                <w:rFonts w:ascii="Times New Roman" w:eastAsia="Times New Roman" w:hAnsi="Times New Roman" w:cs="Times New Roman"/>
                <w:b/>
                <w:bCs/>
                <w:sz w:val="18"/>
                <w:szCs w:val="18"/>
              </w:rPr>
              <w:t>Left</w:t>
            </w:r>
          </w:p>
        </w:tc>
      </w:tr>
      <w:tr w:rsidR="00A4679D" w14:paraId="0DD919CF" w14:textId="77777777">
        <w:tblPrEx>
          <w:jc w:val="center"/>
          <w:tblBorders>
            <w:top w:val="nil"/>
            <w:left w:val="nil"/>
            <w:bottom w:val="nil"/>
            <w:right w:val="nil"/>
            <w:insideH w:val="nil"/>
            <w:insideV w:val="nil"/>
          </w:tblBorders>
          <w:tblCellMar>
            <w:top w:w="0" w:type="dxa"/>
            <w:bottom w:w="0" w:type="dxa"/>
          </w:tblCellMar>
          <w:tblLook w:val="0000" w:firstRow="0" w:lastRow="0" w:firstColumn="0" w:lastColumn="0" w:noHBand="0" w:noVBand="0"/>
        </w:tblPrEx>
        <w:trPr>
          <w:cantSplit/>
          <w:jc w:val="center"/>
        </w:trPr>
        <w:tc>
          <w:tcPr>
            <w:tcW w:w="4680" w:type="dxa"/>
            <w:gridSpan w:val="2"/>
            <w:vAlign w:val="bottom"/>
          </w:tcPr>
          <w:p w14:paraId="53852642" w14:textId="77777777" w:rsidR="00A4679D" w:rsidRDefault="00000000">
            <w:pPr>
              <w:keepNext/>
              <w:spacing w:after="60" w:line="240" w:lineRule="auto"/>
              <w:jc w:val="center"/>
            </w:pPr>
            <w:r>
              <w:rPr>
                <w:noProof/>
              </w:rPr>
              <w:drawing>
                <wp:inline distT="0" distB="0" distL="0" distR="0" wp14:anchorId="51F18A12" wp14:editId="3A4AA8FC">
                  <wp:extent cx="1506232" cy="2011680"/>
                  <wp:effectExtent l="0" t="0" r="0" b="0"/>
                  <wp:docPr id="200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image3.jpeg"/>
                          <pic:cNvPicPr/>
                        </pic:nvPicPr>
                        <pic:blipFill>
                          <a:blip r:embed="rId14"/>
                          <a:stretch>
                            <a:fillRect/>
                          </a:stretch>
                        </pic:blipFill>
                        <pic:spPr>
                          <a:xfrm>
                            <a:off x="0" y="0"/>
                            <a:ext cx="1506232" cy="2011680"/>
                          </a:xfrm>
                          <a:prstGeom prst="rect">
                            <a:avLst/>
                          </a:prstGeom>
                        </pic:spPr>
                      </pic:pic>
                    </a:graphicData>
                  </a:graphic>
                </wp:inline>
              </w:drawing>
            </w:r>
          </w:p>
        </w:tc>
        <w:tc>
          <w:tcPr>
            <w:tcW w:w="4680" w:type="dxa"/>
            <w:gridSpan w:val="3"/>
            <w:vAlign w:val="bottom"/>
          </w:tcPr>
          <w:p w14:paraId="361990E9" w14:textId="77777777" w:rsidR="00A4679D" w:rsidRDefault="00000000">
            <w:pPr>
              <w:keepNext/>
              <w:spacing w:after="60" w:line="240" w:lineRule="auto"/>
              <w:jc w:val="center"/>
            </w:pPr>
            <w:r>
              <w:rPr>
                <w:noProof/>
              </w:rPr>
              <w:drawing>
                <wp:inline distT="0" distB="0" distL="0" distR="0" wp14:anchorId="5D419A38" wp14:editId="38C64BE8">
                  <wp:extent cx="1508760" cy="2011680"/>
                  <wp:effectExtent l="0" t="0" r="0" b="0"/>
                  <wp:docPr id="2006"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image4.jpeg"/>
                          <pic:cNvPicPr/>
                        </pic:nvPicPr>
                        <pic:blipFill>
                          <a:blip r:embed="rId15"/>
                          <a:stretch>
                            <a:fillRect/>
                          </a:stretch>
                        </pic:blipFill>
                        <pic:spPr>
                          <a:xfrm>
                            <a:off x="0" y="0"/>
                            <a:ext cx="1508760" cy="2011680"/>
                          </a:xfrm>
                          <a:prstGeom prst="rect">
                            <a:avLst/>
                          </a:prstGeom>
                        </pic:spPr>
                      </pic:pic>
                    </a:graphicData>
                  </a:graphic>
                </wp:inline>
              </w:drawing>
            </w:r>
          </w:p>
        </w:tc>
      </w:tr>
    </w:tbl>
    <w:p w14:paraId="5CBFC189" w14:textId="77FB172E" w:rsidR="00C617DD" w:rsidRDefault="00C617DD" w:rsidP="00DE17F9">
      <w:pPr>
        <w:spacing w:before="80" w:after="160"/>
        <w:jc w:val="center"/>
      </w:pPr>
      <w:r>
        <w:rPr>
          <w:rFonts w:ascii="Times New Roman" w:eastAsia="Times New Roman" w:hAnsi="Times New Roman" w:cs="Times New Roman"/>
          <w:b/>
          <w:bCs/>
          <w:sz w:val="18"/>
          <w:szCs w:val="18"/>
        </w:rPr>
        <w:t>Figure</w:t>
      </w:r>
      <w:r w:rsidR="00DB4C66">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rPr>
        <w:t xml:space="preserve">2: Case 2 – Female, 26 years. Mixed box-and-rolling acne scars (Goodman &amp; Baron Grade 3). Bilateral facial photographs at baseline (top row) and at 6-month follow-up (bottom row) show reduction in scar depth and improved skin texture following 6 sessions of PRP combined with </w:t>
      </w:r>
      <w:proofErr w:type="spellStart"/>
      <w:r>
        <w:rPr>
          <w:rFonts w:ascii="Times New Roman" w:eastAsia="Times New Roman" w:hAnsi="Times New Roman" w:cs="Times New Roman"/>
          <w:b/>
          <w:bCs/>
          <w:sz w:val="18"/>
          <w:szCs w:val="18"/>
        </w:rPr>
        <w:t>dermaroller</w:t>
      </w:r>
      <w:proofErr w:type="spellEnd"/>
      <w:r>
        <w:rPr>
          <w:rFonts w:ascii="Times New Roman" w:eastAsia="Times New Roman" w:hAnsi="Times New Roman" w:cs="Times New Roman"/>
          <w:b/>
          <w:bCs/>
          <w:sz w:val="18"/>
          <w:szCs w:val="18"/>
        </w:rPr>
        <w:t xml:space="preserve"> microneedling. Transient pain and erythema were noted post-procedure.</w:t>
      </w:r>
    </w:p>
    <w:p w14:paraId="43708C78" w14:textId="77777777" w:rsidR="00C617DD" w:rsidRDefault="00C617DD" w:rsidP="00C617DD">
      <w:pPr>
        <w:keepNext/>
        <w:spacing w:before="160" w:after="80"/>
        <w:jc w:val="both"/>
      </w:pPr>
      <w:r>
        <w:rPr>
          <w:rFonts w:ascii="Times New Roman" w:eastAsia="Times New Roman" w:hAnsi="Times New Roman" w:cs="Times New Roman"/>
          <w:b/>
          <w:bCs/>
          <w:i/>
          <w:iCs/>
          <w:sz w:val="20"/>
          <w:szCs w:val="20"/>
        </w:rPr>
        <w:lastRenderedPageBreak/>
        <w:t>Group 3: Non-Healing Ulcers (n = 15)</w:t>
      </w:r>
    </w:p>
    <w:p w14:paraId="4FC9C06B" w14:textId="77777777" w:rsidR="00C617DD" w:rsidRDefault="00C617DD" w:rsidP="00C617DD">
      <w:pPr>
        <w:spacing w:after="160"/>
        <w:jc w:val="both"/>
      </w:pPr>
      <w:r>
        <w:rPr>
          <w:rFonts w:ascii="Times New Roman" w:eastAsia="Times New Roman" w:hAnsi="Times New Roman" w:cs="Times New Roman"/>
          <w:sz w:val="20"/>
          <w:szCs w:val="20"/>
        </w:rPr>
        <w:t>Males constituted 73.33% (n=11) and females 26.66% (n=4); mean (SD) age 51.87 (9.54) years. Associated illnesses were present in 53.33% (n=8): leprosy (n=4), diabetes mellitus (n=3) and hypertension (n=1). Prior treatment was documented in 60% (n=9). Mean (SD) ulcer duration was 15.6 (10.1) months.</w:t>
      </w:r>
    </w:p>
    <w:p w14:paraId="09E7A722" w14:textId="77777777" w:rsidR="00C617DD" w:rsidRDefault="00C617DD" w:rsidP="00C617DD">
      <w:pPr>
        <w:spacing w:after="160"/>
        <w:jc w:val="both"/>
      </w:pPr>
      <w:r>
        <w:rPr>
          <w:rFonts w:ascii="Times New Roman" w:eastAsia="Times New Roman" w:hAnsi="Times New Roman" w:cs="Times New Roman"/>
          <w:sz w:val="20"/>
          <w:szCs w:val="20"/>
        </w:rPr>
        <w:t>At 6 months, mean ulcer area and volume had fallen by 57.4% and 66.0% respectively (Table 3). Two patients (13.33%) showed complete or near-complete healing. On self-assessment, 7 patients (46.67%) rated their response as excellent, 4 (26.66%) as good and 4 (26.66%) as poor. Poor responders tended to have larger ulcers, and all four had an associated illness (leprosy in two; diabetes mellitus and hypertension in one each). No adverse effects were observed in this group throughout the study period.</w:t>
      </w:r>
    </w:p>
    <w:p w14:paraId="17038A29" w14:textId="02B6544B" w:rsidR="00C617DD" w:rsidRDefault="00C617DD" w:rsidP="00C617DD">
      <w:pPr>
        <w:keepNext/>
        <w:spacing w:before="160" w:after="80"/>
        <w:jc w:val="center"/>
      </w:pPr>
      <w:r>
        <w:rPr>
          <w:rFonts w:ascii="Times New Roman" w:eastAsia="Times New Roman" w:hAnsi="Times New Roman" w:cs="Times New Roman"/>
          <w:b/>
          <w:bCs/>
          <w:sz w:val="18"/>
          <w:szCs w:val="18"/>
        </w:rPr>
        <w:t>Table</w:t>
      </w:r>
      <w:r w:rsidR="00DB4C66">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rPr>
        <w:t>3: Wound Dimensions Before and After PRP Therapy – Non-Healing Ulcers (n=15)</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Look w:val="04A0" w:firstRow="1" w:lastRow="0" w:firstColumn="1" w:lastColumn="0" w:noHBand="0" w:noVBand="1"/>
      </w:tblPr>
      <w:tblGrid>
        <w:gridCol w:w="2405"/>
        <w:gridCol w:w="1985"/>
        <w:gridCol w:w="1984"/>
        <w:gridCol w:w="2835"/>
      </w:tblGrid>
      <w:tr w:rsidR="00C617DD" w14:paraId="34427F06" w14:textId="77777777" w:rsidTr="00DE17F9">
        <w:tc>
          <w:tcPr>
            <w:tcW w:w="2405" w:type="dxa"/>
            <w:shd w:val="clear" w:color="auto" w:fill="D9D9D9"/>
            <w:vAlign w:val="center"/>
          </w:tcPr>
          <w:p w14:paraId="7DD81351" w14:textId="77777777" w:rsidR="00C617DD" w:rsidRDefault="00C617DD" w:rsidP="007210EA">
            <w:pPr>
              <w:keepNext/>
              <w:spacing w:after="0"/>
              <w:jc w:val="center"/>
            </w:pPr>
            <w:r>
              <w:rPr>
                <w:rFonts w:ascii="Times New Roman" w:eastAsia="Times New Roman" w:hAnsi="Times New Roman" w:cs="Times New Roman"/>
                <w:b/>
                <w:bCs/>
                <w:sz w:val="16"/>
                <w:szCs w:val="16"/>
              </w:rPr>
              <w:t>Parameter</w:t>
            </w:r>
          </w:p>
        </w:tc>
        <w:tc>
          <w:tcPr>
            <w:tcW w:w="1985" w:type="dxa"/>
            <w:shd w:val="clear" w:color="auto" w:fill="D9D9D9"/>
            <w:vAlign w:val="center"/>
          </w:tcPr>
          <w:p w14:paraId="656A151E" w14:textId="77777777" w:rsidR="00C617DD" w:rsidRDefault="00C617DD" w:rsidP="007210EA">
            <w:pPr>
              <w:keepNext/>
              <w:spacing w:after="0"/>
              <w:jc w:val="center"/>
            </w:pPr>
            <w:r>
              <w:rPr>
                <w:rFonts w:ascii="Times New Roman" w:eastAsia="Times New Roman" w:hAnsi="Times New Roman" w:cs="Times New Roman"/>
                <w:b/>
                <w:bCs/>
                <w:sz w:val="16"/>
                <w:szCs w:val="16"/>
              </w:rPr>
              <w:t>Baseline, Mean (SD)</w:t>
            </w:r>
          </w:p>
        </w:tc>
        <w:tc>
          <w:tcPr>
            <w:tcW w:w="1984" w:type="dxa"/>
            <w:shd w:val="clear" w:color="auto" w:fill="D9D9D9"/>
            <w:vAlign w:val="center"/>
          </w:tcPr>
          <w:p w14:paraId="31B90221" w14:textId="77777777" w:rsidR="00C617DD" w:rsidRDefault="00C617DD" w:rsidP="007210EA">
            <w:pPr>
              <w:keepNext/>
              <w:spacing w:after="0"/>
              <w:jc w:val="center"/>
            </w:pPr>
            <w:r>
              <w:rPr>
                <w:rFonts w:ascii="Times New Roman" w:eastAsia="Times New Roman" w:hAnsi="Times New Roman" w:cs="Times New Roman"/>
                <w:b/>
                <w:bCs/>
                <w:sz w:val="16"/>
                <w:szCs w:val="16"/>
              </w:rPr>
              <w:t>At 6 Months, Mean (SD)</w:t>
            </w:r>
          </w:p>
        </w:tc>
        <w:tc>
          <w:tcPr>
            <w:tcW w:w="2835" w:type="dxa"/>
            <w:shd w:val="clear" w:color="auto" w:fill="D9D9D9"/>
            <w:vAlign w:val="center"/>
          </w:tcPr>
          <w:p w14:paraId="21938ADA" w14:textId="77777777" w:rsidR="00C617DD" w:rsidRDefault="00C617DD" w:rsidP="007210EA">
            <w:pPr>
              <w:keepNext/>
              <w:spacing w:after="0"/>
              <w:jc w:val="center"/>
            </w:pPr>
            <w:r>
              <w:rPr>
                <w:rFonts w:ascii="Times New Roman" w:eastAsia="Times New Roman" w:hAnsi="Times New Roman" w:cs="Times New Roman"/>
                <w:b/>
                <w:bCs/>
                <w:sz w:val="16"/>
                <w:szCs w:val="16"/>
              </w:rPr>
              <w:t>% Reduction</w:t>
            </w:r>
          </w:p>
        </w:tc>
      </w:tr>
      <w:tr w:rsidR="00C617DD" w14:paraId="6BD00E30" w14:textId="77777777" w:rsidTr="00DE17F9">
        <w:tc>
          <w:tcPr>
            <w:tcW w:w="2405" w:type="dxa"/>
            <w:vAlign w:val="center"/>
          </w:tcPr>
          <w:p w14:paraId="760FDB00" w14:textId="77777777" w:rsidR="00C617DD" w:rsidRDefault="00C617DD" w:rsidP="007210EA">
            <w:pPr>
              <w:keepNext/>
              <w:spacing w:after="0"/>
              <w:jc w:val="center"/>
            </w:pPr>
            <w:r>
              <w:rPr>
                <w:rFonts w:ascii="Times New Roman" w:eastAsia="Times New Roman" w:hAnsi="Times New Roman" w:cs="Times New Roman"/>
                <w:sz w:val="16"/>
                <w:szCs w:val="16"/>
              </w:rPr>
              <w:t>Ulcer Area (cm²)</w:t>
            </w:r>
          </w:p>
        </w:tc>
        <w:tc>
          <w:tcPr>
            <w:tcW w:w="1985" w:type="dxa"/>
            <w:vAlign w:val="center"/>
          </w:tcPr>
          <w:p w14:paraId="59517653" w14:textId="77777777" w:rsidR="00C617DD" w:rsidRDefault="00C617DD" w:rsidP="007210EA">
            <w:pPr>
              <w:keepNext/>
              <w:spacing w:after="0"/>
              <w:jc w:val="center"/>
            </w:pPr>
            <w:r>
              <w:rPr>
                <w:rFonts w:ascii="Times New Roman" w:eastAsia="Times New Roman" w:hAnsi="Times New Roman" w:cs="Times New Roman"/>
                <w:sz w:val="16"/>
                <w:szCs w:val="16"/>
              </w:rPr>
              <w:t>14.09 (4.88)</w:t>
            </w:r>
          </w:p>
        </w:tc>
        <w:tc>
          <w:tcPr>
            <w:tcW w:w="1984" w:type="dxa"/>
            <w:vAlign w:val="center"/>
          </w:tcPr>
          <w:p w14:paraId="25353A93" w14:textId="77777777" w:rsidR="00C617DD" w:rsidRDefault="00C617DD" w:rsidP="007210EA">
            <w:pPr>
              <w:keepNext/>
              <w:spacing w:after="0"/>
              <w:jc w:val="center"/>
            </w:pPr>
            <w:r>
              <w:rPr>
                <w:rFonts w:ascii="Times New Roman" w:eastAsia="Times New Roman" w:hAnsi="Times New Roman" w:cs="Times New Roman"/>
                <w:sz w:val="16"/>
                <w:szCs w:val="16"/>
              </w:rPr>
              <w:t>6.01 (7.03)</w:t>
            </w:r>
          </w:p>
        </w:tc>
        <w:tc>
          <w:tcPr>
            <w:tcW w:w="2835" w:type="dxa"/>
            <w:vAlign w:val="center"/>
          </w:tcPr>
          <w:p w14:paraId="0614ECE0" w14:textId="77777777" w:rsidR="00C617DD" w:rsidRDefault="00C617DD" w:rsidP="007210EA">
            <w:pPr>
              <w:keepNext/>
              <w:spacing w:after="0"/>
              <w:jc w:val="center"/>
            </w:pPr>
            <w:r>
              <w:rPr>
                <w:rFonts w:ascii="Times New Roman" w:eastAsia="Times New Roman" w:hAnsi="Times New Roman" w:cs="Times New Roman"/>
                <w:sz w:val="16"/>
                <w:szCs w:val="16"/>
              </w:rPr>
              <w:t>57.4%</w:t>
            </w:r>
          </w:p>
        </w:tc>
      </w:tr>
      <w:tr w:rsidR="00C617DD" w14:paraId="32D35C2C" w14:textId="77777777" w:rsidTr="00DE17F9">
        <w:tc>
          <w:tcPr>
            <w:tcW w:w="2405" w:type="dxa"/>
            <w:vAlign w:val="center"/>
          </w:tcPr>
          <w:p w14:paraId="27BD25D9" w14:textId="77777777" w:rsidR="00C617DD" w:rsidRDefault="00C617DD" w:rsidP="007210EA">
            <w:pPr>
              <w:spacing w:after="0"/>
              <w:jc w:val="center"/>
            </w:pPr>
            <w:r>
              <w:rPr>
                <w:rFonts w:ascii="Times New Roman" w:eastAsia="Times New Roman" w:hAnsi="Times New Roman" w:cs="Times New Roman"/>
                <w:b/>
                <w:bCs/>
                <w:sz w:val="16"/>
                <w:szCs w:val="16"/>
              </w:rPr>
              <w:t>Ulcer Volume (cm³)</w:t>
            </w:r>
          </w:p>
        </w:tc>
        <w:tc>
          <w:tcPr>
            <w:tcW w:w="1985" w:type="dxa"/>
            <w:vAlign w:val="center"/>
          </w:tcPr>
          <w:p w14:paraId="1E61CA94" w14:textId="77777777" w:rsidR="00C617DD" w:rsidRDefault="00C617DD" w:rsidP="007210EA">
            <w:pPr>
              <w:spacing w:after="0"/>
              <w:jc w:val="center"/>
            </w:pPr>
            <w:r>
              <w:rPr>
                <w:rFonts w:ascii="Times New Roman" w:eastAsia="Times New Roman" w:hAnsi="Times New Roman" w:cs="Times New Roman"/>
                <w:b/>
                <w:bCs/>
                <w:sz w:val="16"/>
                <w:szCs w:val="16"/>
              </w:rPr>
              <w:t>4.74 (3.10)</w:t>
            </w:r>
          </w:p>
        </w:tc>
        <w:tc>
          <w:tcPr>
            <w:tcW w:w="1984" w:type="dxa"/>
            <w:vAlign w:val="center"/>
          </w:tcPr>
          <w:p w14:paraId="28A553F4" w14:textId="77777777" w:rsidR="00C617DD" w:rsidRDefault="00C617DD" w:rsidP="007210EA">
            <w:pPr>
              <w:spacing w:after="0"/>
              <w:jc w:val="center"/>
            </w:pPr>
            <w:r>
              <w:rPr>
                <w:rFonts w:ascii="Times New Roman" w:eastAsia="Times New Roman" w:hAnsi="Times New Roman" w:cs="Times New Roman"/>
                <w:b/>
                <w:bCs/>
                <w:sz w:val="16"/>
                <w:szCs w:val="16"/>
              </w:rPr>
              <w:t>1.61 (2.20)</w:t>
            </w:r>
          </w:p>
        </w:tc>
        <w:tc>
          <w:tcPr>
            <w:tcW w:w="2835" w:type="dxa"/>
            <w:vAlign w:val="center"/>
          </w:tcPr>
          <w:p w14:paraId="6992765A" w14:textId="77777777" w:rsidR="00C617DD" w:rsidRDefault="00C617DD" w:rsidP="007210EA">
            <w:pPr>
              <w:spacing w:after="0"/>
              <w:jc w:val="center"/>
            </w:pPr>
            <w:r>
              <w:rPr>
                <w:rFonts w:ascii="Times New Roman" w:eastAsia="Times New Roman" w:hAnsi="Times New Roman" w:cs="Times New Roman"/>
                <w:b/>
                <w:bCs/>
                <w:sz w:val="16"/>
                <w:szCs w:val="16"/>
              </w:rPr>
              <w:t>66.0%</w:t>
            </w:r>
          </w:p>
        </w:tc>
      </w:tr>
    </w:tbl>
    <w:p w14:paraId="7183D906" w14:textId="77777777" w:rsidR="00C617DD" w:rsidRDefault="00C617DD" w:rsidP="00C617DD">
      <w:pPr>
        <w:spacing w:after="0"/>
      </w:pPr>
    </w:p>
    <w:tbl>
      <w:tblPr>
        <w:tblW w:w="9360" w:type="dxa"/>
        <w:jc w:val="center"/>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3120"/>
        <w:gridCol w:w="3120"/>
        <w:gridCol w:w="3120"/>
      </w:tblGrid>
      <w:tr w:rsidR="00A4679D" w14:paraId="7B73491F" w14:textId="77777777">
        <w:trPr>
          <w:cantSplit/>
          <w:jc w:val="center"/>
        </w:trPr>
        <w:tc>
          <w:tcPr>
            <w:tcW w:w="3120" w:type="dxa"/>
            <w:vAlign w:val="bottom"/>
          </w:tcPr>
          <w:p w14:paraId="6A29C199" w14:textId="77777777" w:rsidR="00A4679D" w:rsidRDefault="00000000">
            <w:pPr>
              <w:keepNext/>
              <w:spacing w:before="200" w:after="40" w:line="240" w:lineRule="auto"/>
              <w:jc w:val="center"/>
            </w:pPr>
            <w:r>
              <w:rPr>
                <w:rFonts w:ascii="Times New Roman" w:eastAsia="Times New Roman" w:hAnsi="Times New Roman" w:cs="Times New Roman"/>
                <w:b/>
                <w:bCs/>
                <w:sz w:val="18"/>
                <w:szCs w:val="18"/>
              </w:rPr>
              <w:t>Before Treatment</w:t>
            </w:r>
          </w:p>
        </w:tc>
        <w:tc>
          <w:tcPr>
            <w:tcW w:w="3120" w:type="dxa"/>
            <w:vAlign w:val="bottom"/>
          </w:tcPr>
          <w:p w14:paraId="5EF505B0" w14:textId="77777777" w:rsidR="00A4679D" w:rsidRDefault="00000000">
            <w:pPr>
              <w:keepNext/>
              <w:spacing w:before="200" w:after="40" w:line="240" w:lineRule="auto"/>
              <w:jc w:val="center"/>
            </w:pPr>
            <w:r>
              <w:rPr>
                <w:rFonts w:ascii="Times New Roman" w:eastAsia="Times New Roman" w:hAnsi="Times New Roman" w:cs="Times New Roman"/>
                <w:b/>
                <w:bCs/>
                <w:sz w:val="18"/>
                <w:szCs w:val="18"/>
              </w:rPr>
              <w:t>3 Months</w:t>
            </w:r>
          </w:p>
        </w:tc>
        <w:tc>
          <w:tcPr>
            <w:tcW w:w="3120" w:type="dxa"/>
            <w:vAlign w:val="bottom"/>
          </w:tcPr>
          <w:p w14:paraId="78E81B7B" w14:textId="77777777" w:rsidR="00A4679D" w:rsidRDefault="00000000">
            <w:pPr>
              <w:keepNext/>
              <w:spacing w:before="200" w:after="40" w:line="240" w:lineRule="auto"/>
              <w:jc w:val="center"/>
            </w:pPr>
            <w:r>
              <w:rPr>
                <w:rFonts w:ascii="Times New Roman" w:eastAsia="Times New Roman" w:hAnsi="Times New Roman" w:cs="Times New Roman"/>
                <w:b/>
                <w:bCs/>
                <w:sz w:val="18"/>
                <w:szCs w:val="18"/>
              </w:rPr>
              <w:t>6 Months</w:t>
            </w:r>
          </w:p>
        </w:tc>
      </w:tr>
      <w:tr w:rsidR="00A4679D" w14:paraId="11011578" w14:textId="77777777">
        <w:trPr>
          <w:cantSplit/>
          <w:jc w:val="center"/>
        </w:trPr>
        <w:tc>
          <w:tcPr>
            <w:tcW w:w="3120" w:type="dxa"/>
            <w:vAlign w:val="bottom"/>
          </w:tcPr>
          <w:p w14:paraId="10C92BD1" w14:textId="77777777" w:rsidR="00A4679D" w:rsidRDefault="00000000">
            <w:pPr>
              <w:keepNext/>
              <w:spacing w:after="60" w:line="240" w:lineRule="auto"/>
              <w:jc w:val="center"/>
            </w:pPr>
            <w:r>
              <w:rPr>
                <w:noProof/>
              </w:rPr>
              <w:drawing>
                <wp:inline distT="0" distB="0" distL="0" distR="0" wp14:anchorId="2A5ADCE6" wp14:editId="7AD92051">
                  <wp:extent cx="1213866" cy="2194560"/>
                  <wp:effectExtent l="0" t="0" r="0" b="0"/>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image7.jpeg"/>
                          <pic:cNvPicPr/>
                        </pic:nvPicPr>
                        <pic:blipFill>
                          <a:blip r:embed="rId16"/>
                          <a:stretch>
                            <a:fillRect/>
                          </a:stretch>
                        </pic:blipFill>
                        <pic:spPr>
                          <a:xfrm>
                            <a:off x="0" y="0"/>
                            <a:ext cx="1213866" cy="2194560"/>
                          </a:xfrm>
                          <a:prstGeom prst="rect">
                            <a:avLst/>
                          </a:prstGeom>
                        </pic:spPr>
                      </pic:pic>
                    </a:graphicData>
                  </a:graphic>
                </wp:inline>
              </w:drawing>
            </w:r>
          </w:p>
        </w:tc>
        <w:tc>
          <w:tcPr>
            <w:tcW w:w="3120" w:type="dxa"/>
            <w:vAlign w:val="bottom"/>
          </w:tcPr>
          <w:p w14:paraId="10A2A6A7" w14:textId="77777777" w:rsidR="00A4679D" w:rsidRDefault="00000000">
            <w:pPr>
              <w:keepNext/>
              <w:spacing w:after="60" w:line="240" w:lineRule="auto"/>
              <w:jc w:val="center"/>
            </w:pPr>
            <w:r>
              <w:rPr>
                <w:noProof/>
              </w:rPr>
              <w:drawing>
                <wp:inline distT="0" distB="0" distL="0" distR="0" wp14:anchorId="76B9CF8A" wp14:editId="515BD4BF">
                  <wp:extent cx="1648786" cy="2194560"/>
                  <wp:effectExtent l="0" t="0" r="0" b="0"/>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image8.jpeg"/>
                          <pic:cNvPicPr/>
                        </pic:nvPicPr>
                        <pic:blipFill>
                          <a:blip r:embed="rId17"/>
                          <a:stretch>
                            <a:fillRect/>
                          </a:stretch>
                        </pic:blipFill>
                        <pic:spPr>
                          <a:xfrm>
                            <a:off x="0" y="0"/>
                            <a:ext cx="1648786" cy="2194560"/>
                          </a:xfrm>
                          <a:prstGeom prst="rect">
                            <a:avLst/>
                          </a:prstGeom>
                        </pic:spPr>
                      </pic:pic>
                    </a:graphicData>
                  </a:graphic>
                </wp:inline>
              </w:drawing>
            </w:r>
          </w:p>
        </w:tc>
        <w:tc>
          <w:tcPr>
            <w:tcW w:w="3120" w:type="dxa"/>
            <w:vAlign w:val="bottom"/>
          </w:tcPr>
          <w:p w14:paraId="4AE01136" w14:textId="77777777" w:rsidR="00A4679D" w:rsidRDefault="00000000">
            <w:pPr>
              <w:keepNext/>
              <w:spacing w:after="60" w:line="240" w:lineRule="auto"/>
              <w:jc w:val="center"/>
            </w:pPr>
            <w:r>
              <w:rPr>
                <w:noProof/>
              </w:rPr>
              <w:drawing>
                <wp:inline distT="0" distB="0" distL="0" distR="0" wp14:anchorId="4AFD87B7" wp14:editId="7B4C59A2">
                  <wp:extent cx="1344509" cy="2194560"/>
                  <wp:effectExtent l="0" t="0" r="0" b="0"/>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image9.jpeg"/>
                          <pic:cNvPicPr/>
                        </pic:nvPicPr>
                        <pic:blipFill>
                          <a:blip r:embed="rId18"/>
                          <a:stretch>
                            <a:fillRect/>
                          </a:stretch>
                        </pic:blipFill>
                        <pic:spPr>
                          <a:xfrm>
                            <a:off x="0" y="0"/>
                            <a:ext cx="1344509" cy="2194560"/>
                          </a:xfrm>
                          <a:prstGeom prst="rect">
                            <a:avLst/>
                          </a:prstGeom>
                        </pic:spPr>
                      </pic:pic>
                    </a:graphicData>
                  </a:graphic>
                </wp:inline>
              </w:drawing>
            </w:r>
          </w:p>
        </w:tc>
      </w:tr>
    </w:tbl>
    <w:p w14:paraId="71A14FB1" w14:textId="6FFADAAB" w:rsidR="00C617DD" w:rsidRDefault="00C617DD" w:rsidP="00C617DD">
      <w:pPr>
        <w:spacing w:before="80" w:after="160"/>
        <w:jc w:val="center"/>
      </w:pPr>
      <w:r>
        <w:rPr>
          <w:rFonts w:ascii="Times New Roman" w:eastAsia="Times New Roman" w:hAnsi="Times New Roman" w:cs="Times New Roman"/>
          <w:b/>
          <w:bCs/>
          <w:sz w:val="18"/>
          <w:szCs w:val="18"/>
        </w:rPr>
        <w:t>Figure</w:t>
      </w:r>
      <w:r w:rsidR="00DB4C66">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rPr>
        <w:t>3: Case 3 – Female, 36 years. Non-healing ulcer in a patient with leprosy. Sequential photographs at baseline (left), 3 months (</w:t>
      </w:r>
      <w:proofErr w:type="spellStart"/>
      <w:r>
        <w:rPr>
          <w:rFonts w:ascii="Times New Roman" w:eastAsia="Times New Roman" w:hAnsi="Times New Roman" w:cs="Times New Roman"/>
          <w:b/>
          <w:bCs/>
          <w:sz w:val="18"/>
          <w:szCs w:val="18"/>
        </w:rPr>
        <w:t>centre</w:t>
      </w:r>
      <w:proofErr w:type="spellEnd"/>
      <w:r>
        <w:rPr>
          <w:rFonts w:ascii="Times New Roman" w:eastAsia="Times New Roman" w:hAnsi="Times New Roman" w:cs="Times New Roman"/>
          <w:b/>
          <w:bCs/>
          <w:sz w:val="18"/>
          <w:szCs w:val="18"/>
        </w:rPr>
        <w:t>), and 6 months (right) demonstrate progressive wound contraction, healthy granulation tissue formation, and marked reduction in ulcer dimensions. No procedure-related adverse effects were observed.</w:t>
      </w:r>
    </w:p>
    <w:p w14:paraId="73080017" w14:textId="77777777" w:rsidR="00171378" w:rsidRDefault="00171378" w:rsidP="00C617DD">
      <w:pPr>
        <w:keepNext/>
        <w:spacing w:before="280" w:after="120"/>
        <w:rPr>
          <w:rFonts w:ascii="Times New Roman" w:eastAsia="Times New Roman" w:hAnsi="Times New Roman" w:cs="Times New Roman"/>
          <w:b/>
          <w:bCs/>
          <w:sz w:val="24"/>
          <w:szCs w:val="24"/>
        </w:rPr>
      </w:pPr>
    </w:p>
    <w:p w14:paraId="547B34DB" w14:textId="3C786D5B" w:rsidR="00C617DD" w:rsidRDefault="00C617DD" w:rsidP="00C617DD">
      <w:pPr>
        <w:keepNext/>
        <w:spacing w:before="280" w:after="120"/>
      </w:pPr>
      <w:r>
        <w:rPr>
          <w:rFonts w:ascii="Times New Roman" w:eastAsia="Times New Roman" w:hAnsi="Times New Roman" w:cs="Times New Roman"/>
          <w:b/>
          <w:bCs/>
          <w:sz w:val="24"/>
          <w:szCs w:val="24"/>
        </w:rPr>
        <w:t>DISCUSSION</w:t>
      </w:r>
    </w:p>
    <w:p w14:paraId="15A7A3A2" w14:textId="77777777" w:rsidR="00C617DD" w:rsidRDefault="00C617DD" w:rsidP="00C617DD">
      <w:pPr>
        <w:spacing w:after="160"/>
        <w:jc w:val="both"/>
      </w:pPr>
      <w:r>
        <w:rPr>
          <w:rFonts w:ascii="Times New Roman" w:eastAsia="Times New Roman" w:hAnsi="Times New Roman" w:cs="Times New Roman"/>
          <w:sz w:val="20"/>
          <w:szCs w:val="20"/>
        </w:rPr>
        <w:t xml:space="preserve">The rationale for PRP in dermatological wound healing and regeneration is well established: by concentrating autologous growth factors at the site of pathology, it circumvents the growth-factor deficit that </w:t>
      </w:r>
      <w:proofErr w:type="spellStart"/>
      <w:r>
        <w:rPr>
          <w:rFonts w:ascii="Times New Roman" w:eastAsia="Times New Roman" w:hAnsi="Times New Roman" w:cs="Times New Roman"/>
          <w:sz w:val="20"/>
          <w:szCs w:val="20"/>
        </w:rPr>
        <w:t>characterises</w:t>
      </w:r>
      <w:proofErr w:type="spellEnd"/>
      <w:r>
        <w:rPr>
          <w:rFonts w:ascii="Times New Roman" w:eastAsia="Times New Roman" w:hAnsi="Times New Roman" w:cs="Times New Roman"/>
          <w:sz w:val="20"/>
          <w:szCs w:val="20"/>
        </w:rPr>
        <w:t xml:space="preserve"> chronic wounds and scarred tissue, while the entirely autologous nature of the preparation eliminates any risk of immune reaction or infectious disease transmission.</w:t>
      </w:r>
      <w:r>
        <w:rPr>
          <w:rFonts w:ascii="Times New Roman" w:eastAsia="Times New Roman" w:hAnsi="Times New Roman" w:cs="Times New Roman"/>
          <w:sz w:val="20"/>
          <w:szCs w:val="20"/>
          <w:vertAlign w:val="superscript"/>
        </w:rPr>
        <w:t>9</w:t>
      </w:r>
      <w:r>
        <w:rPr>
          <w:rFonts w:ascii="Times New Roman" w:eastAsia="Times New Roman" w:hAnsi="Times New Roman" w:cs="Times New Roman"/>
          <w:sz w:val="20"/>
          <w:szCs w:val="20"/>
        </w:rPr>
        <w:t xml:space="preserve"> The present study demonstrates a clinically meaningful response in all three indication groups, with an acceptably low and transient adverse-event profile.</w:t>
      </w:r>
    </w:p>
    <w:p w14:paraId="5B3D2ACF" w14:textId="77777777" w:rsidR="00C617DD" w:rsidRDefault="00C617DD" w:rsidP="00C617DD">
      <w:pPr>
        <w:spacing w:after="160"/>
        <w:jc w:val="both"/>
      </w:pPr>
      <w:r>
        <w:rPr>
          <w:rFonts w:ascii="Times New Roman" w:eastAsia="Times New Roman" w:hAnsi="Times New Roman" w:cs="Times New Roman"/>
          <w:sz w:val="20"/>
          <w:szCs w:val="20"/>
        </w:rPr>
        <w:t>In AGA, PRP is postulated to act via multiple mechanisms: direct stimulation of dermal papilla cell proliferation, upregulation of the anti-apoptotic Bcl-2 and Akt survival pathways, conversion of telogen follicles to anagen, and enhancement of peri-follicular vascularity through PDGF and VEGF.</w:t>
      </w:r>
      <w:r>
        <w:rPr>
          <w:rFonts w:ascii="Times New Roman" w:eastAsia="Times New Roman" w:hAnsi="Times New Roman" w:cs="Times New Roman"/>
          <w:sz w:val="20"/>
          <w:szCs w:val="20"/>
          <w:vertAlign w:val="superscript"/>
        </w:rPr>
        <w:t>10</w:t>
      </w:r>
      <w:r>
        <w:rPr>
          <w:rFonts w:ascii="Times New Roman" w:eastAsia="Times New Roman" w:hAnsi="Times New Roman" w:cs="Times New Roman"/>
          <w:sz w:val="20"/>
          <w:szCs w:val="20"/>
        </w:rPr>
        <w:t xml:space="preserve"> In our cohort, 85% of patients showed some </w:t>
      </w:r>
      <w:r>
        <w:rPr>
          <w:rFonts w:ascii="Times New Roman" w:eastAsia="Times New Roman" w:hAnsi="Times New Roman" w:cs="Times New Roman"/>
          <w:sz w:val="20"/>
          <w:szCs w:val="20"/>
        </w:rPr>
        <w:lastRenderedPageBreak/>
        <w:t>improvement and 40% showed moderate-to-excellent improvement. Schiavone et al. reported some improvement in 62–64 of 64 patients, with 40.6–54.7% reaching a clinically important difference on independent rating of photographs,</w:t>
      </w:r>
      <w:r>
        <w:rPr>
          <w:rFonts w:ascii="Times New Roman" w:eastAsia="Times New Roman" w:hAnsi="Times New Roman" w:cs="Times New Roman"/>
          <w:sz w:val="20"/>
          <w:szCs w:val="20"/>
          <w:vertAlign w:val="superscript"/>
        </w:rPr>
        <w:t>11</w:t>
      </w:r>
      <w:r>
        <w:rPr>
          <w:rFonts w:ascii="Times New Roman" w:eastAsia="Times New Roman" w:hAnsi="Times New Roman" w:cs="Times New Roman"/>
          <w:sz w:val="20"/>
          <w:szCs w:val="20"/>
        </w:rPr>
        <w:t xml:space="preserve"> while Gupta et al. reported a mean improvement of 30.2% on independent evaluation of global photographs in 30 men.</w:t>
      </w:r>
      <w:r>
        <w:rPr>
          <w:rFonts w:ascii="Times New Roman" w:eastAsia="Times New Roman" w:hAnsi="Times New Roman" w:cs="Times New Roman"/>
          <w:sz w:val="20"/>
          <w:szCs w:val="20"/>
          <w:vertAlign w:val="superscript"/>
        </w:rPr>
        <w:t>12</w:t>
      </w:r>
      <w:r>
        <w:rPr>
          <w:rFonts w:ascii="Times New Roman" w:eastAsia="Times New Roman" w:hAnsi="Times New Roman" w:cs="Times New Roman"/>
          <w:sz w:val="20"/>
          <w:szCs w:val="20"/>
        </w:rPr>
        <w:t xml:space="preserve"> The mean age of our AGA cohort (29.75 years) was comparable to the 22.8 years reported by </w:t>
      </w:r>
      <w:proofErr w:type="spellStart"/>
      <w:r>
        <w:rPr>
          <w:rFonts w:ascii="Times New Roman" w:eastAsia="Times New Roman" w:hAnsi="Times New Roman" w:cs="Times New Roman"/>
          <w:sz w:val="20"/>
          <w:szCs w:val="20"/>
        </w:rPr>
        <w:t>Hajheydari</w:t>
      </w:r>
      <w:proofErr w:type="spellEnd"/>
      <w:r>
        <w:rPr>
          <w:rFonts w:ascii="Times New Roman" w:eastAsia="Times New Roman" w:hAnsi="Times New Roman" w:cs="Times New Roman"/>
          <w:sz w:val="20"/>
          <w:szCs w:val="20"/>
        </w:rPr>
        <w:t xml:space="preserve"> et al.</w:t>
      </w:r>
      <w:r>
        <w:rPr>
          <w:rFonts w:ascii="Times New Roman" w:eastAsia="Times New Roman" w:hAnsi="Times New Roman" w:cs="Times New Roman"/>
          <w:sz w:val="20"/>
          <w:szCs w:val="20"/>
          <w:vertAlign w:val="superscript"/>
        </w:rPr>
        <w:t>13</w:t>
      </w:r>
      <w:r>
        <w:rPr>
          <w:rFonts w:ascii="Times New Roman" w:eastAsia="Times New Roman" w:hAnsi="Times New Roman" w:cs="Times New Roman"/>
          <w:sz w:val="20"/>
          <w:szCs w:val="20"/>
        </w:rPr>
        <w:t xml:space="preserve"> The lower frequency of a positive family history in our patients (45% vs. 81.6% in </w:t>
      </w:r>
      <w:proofErr w:type="spellStart"/>
      <w:r>
        <w:rPr>
          <w:rFonts w:ascii="Times New Roman" w:eastAsia="Times New Roman" w:hAnsi="Times New Roman" w:cs="Times New Roman"/>
          <w:sz w:val="20"/>
          <w:szCs w:val="20"/>
        </w:rPr>
        <w:t>Hajheydari</w:t>
      </w:r>
      <w:proofErr w:type="spellEnd"/>
      <w:r>
        <w:rPr>
          <w:rFonts w:ascii="Times New Roman" w:eastAsia="Times New Roman" w:hAnsi="Times New Roman" w:cs="Times New Roman"/>
          <w:sz w:val="20"/>
          <w:szCs w:val="20"/>
        </w:rPr>
        <w:t xml:space="preserve"> et al.) may reflect regional genetic heterogeneity. Among men, response was better in Hamilton-Norwood grade 3 than in grade 4, suggesting that preserved follicular reserve </w:t>
      </w:r>
      <w:proofErr w:type="spellStart"/>
      <w:r>
        <w:rPr>
          <w:rFonts w:ascii="Times New Roman" w:eastAsia="Times New Roman" w:hAnsi="Times New Roman" w:cs="Times New Roman"/>
          <w:sz w:val="20"/>
          <w:szCs w:val="20"/>
        </w:rPr>
        <w:t>favours</w:t>
      </w:r>
      <w:proofErr w:type="spellEnd"/>
      <w:r>
        <w:rPr>
          <w:rFonts w:ascii="Times New Roman" w:eastAsia="Times New Roman" w:hAnsi="Times New Roman" w:cs="Times New Roman"/>
          <w:sz w:val="20"/>
          <w:szCs w:val="20"/>
        </w:rPr>
        <w:t xml:space="preserve"> a better response to PRP.</w:t>
      </w:r>
    </w:p>
    <w:p w14:paraId="54A02070" w14:textId="77777777" w:rsidR="00C617DD" w:rsidRDefault="00C617DD" w:rsidP="00C617DD">
      <w:pPr>
        <w:spacing w:after="160"/>
        <w:jc w:val="both"/>
      </w:pPr>
      <w:r>
        <w:rPr>
          <w:rFonts w:ascii="Times New Roman" w:eastAsia="Times New Roman" w:hAnsi="Times New Roman" w:cs="Times New Roman"/>
          <w:sz w:val="20"/>
          <w:szCs w:val="20"/>
        </w:rPr>
        <w:t xml:space="preserve">In acne scars, the mechanism of PRP involves fibroblast activation via TGF-β, PDGF, and VEGF, leading to upregulation of type I and type III collagen synthesis; simultaneously, MMP-1 induction by PRP permits </w:t>
      </w:r>
      <w:proofErr w:type="spellStart"/>
      <w:r>
        <w:rPr>
          <w:rFonts w:ascii="Times New Roman" w:eastAsia="Times New Roman" w:hAnsi="Times New Roman" w:cs="Times New Roman"/>
          <w:sz w:val="20"/>
          <w:szCs w:val="20"/>
        </w:rPr>
        <w:t>remodelling</w:t>
      </w:r>
      <w:proofErr w:type="spellEnd"/>
      <w:r>
        <w:rPr>
          <w:rFonts w:ascii="Times New Roman" w:eastAsia="Times New Roman" w:hAnsi="Times New Roman" w:cs="Times New Roman"/>
          <w:sz w:val="20"/>
          <w:szCs w:val="20"/>
        </w:rPr>
        <w:t xml:space="preserve"> and clearance of degraded collagen fragments to allow deposition of new, well-</w:t>
      </w:r>
      <w:proofErr w:type="spellStart"/>
      <w:r>
        <w:rPr>
          <w:rFonts w:ascii="Times New Roman" w:eastAsia="Times New Roman" w:hAnsi="Times New Roman" w:cs="Times New Roman"/>
          <w:sz w:val="20"/>
          <w:szCs w:val="20"/>
        </w:rPr>
        <w:t>organised</w:t>
      </w:r>
      <w:proofErr w:type="spellEnd"/>
      <w:r>
        <w:rPr>
          <w:rFonts w:ascii="Times New Roman" w:eastAsia="Times New Roman" w:hAnsi="Times New Roman" w:cs="Times New Roman"/>
          <w:sz w:val="20"/>
          <w:szCs w:val="20"/>
        </w:rPr>
        <w:t xml:space="preserve"> matrix.</w:t>
      </w:r>
      <w:r>
        <w:rPr>
          <w:rFonts w:ascii="Times New Roman" w:eastAsia="Times New Roman" w:hAnsi="Times New Roman" w:cs="Times New Roman"/>
          <w:sz w:val="20"/>
          <w:szCs w:val="20"/>
          <w:vertAlign w:val="superscript"/>
        </w:rPr>
        <w:t>14</w:t>
      </w:r>
      <w:r>
        <w:rPr>
          <w:rFonts w:ascii="Times New Roman" w:eastAsia="Times New Roman" w:hAnsi="Times New Roman" w:cs="Times New Roman"/>
          <w:sz w:val="20"/>
          <w:szCs w:val="20"/>
        </w:rPr>
        <w:t xml:space="preserve"> Rolling scars predominated in our cohort (53.3%). Wahab et al. reported marked improvement in 42.5% and moderate improvement in 35% of 40 patients treated with PRP monotherapy, comparable to the 33.3% excellent and 40.0% good responses in our series.</w:t>
      </w:r>
      <w:r>
        <w:rPr>
          <w:rFonts w:ascii="Times New Roman" w:eastAsia="Times New Roman" w:hAnsi="Times New Roman" w:cs="Times New Roman"/>
          <w:sz w:val="20"/>
          <w:szCs w:val="20"/>
          <w:vertAlign w:val="superscript"/>
        </w:rPr>
        <w:t>15</w:t>
      </w:r>
      <w:r>
        <w:rPr>
          <w:rFonts w:ascii="Times New Roman" w:eastAsia="Times New Roman" w:hAnsi="Times New Roman" w:cs="Times New Roman"/>
          <w:sz w:val="20"/>
          <w:szCs w:val="20"/>
        </w:rPr>
        <w:t xml:space="preserve"> Post-inflammatory hyperpigmentation occurred in 26.7% of our patients; in a split-face study, Shah et al. found adverse effects to be significantly less frequent on the side treated with PRP.</w:t>
      </w:r>
      <w:r>
        <w:rPr>
          <w:rFonts w:ascii="Times New Roman" w:eastAsia="Times New Roman" w:hAnsi="Times New Roman" w:cs="Times New Roman"/>
          <w:sz w:val="20"/>
          <w:szCs w:val="20"/>
          <w:vertAlign w:val="superscript"/>
        </w:rPr>
        <w:t>16</w:t>
      </w:r>
      <w:r>
        <w:rPr>
          <w:rFonts w:ascii="Times New Roman" w:eastAsia="Times New Roman" w:hAnsi="Times New Roman" w:cs="Times New Roman"/>
          <w:sz w:val="20"/>
          <w:szCs w:val="20"/>
        </w:rPr>
        <w:t xml:space="preserve"> In our series, Grade 4 scars showed the largest mean reduction in grade (1.6 grades), although numbers were small.</w:t>
      </w:r>
    </w:p>
    <w:p w14:paraId="1E094F57" w14:textId="77777777" w:rsidR="00C617DD" w:rsidRDefault="00C617DD" w:rsidP="00C617DD">
      <w:pPr>
        <w:spacing w:after="160"/>
        <w:jc w:val="both"/>
      </w:pPr>
      <w:r>
        <w:rPr>
          <w:rFonts w:ascii="Times New Roman" w:eastAsia="Times New Roman" w:hAnsi="Times New Roman" w:cs="Times New Roman"/>
          <w:sz w:val="20"/>
          <w:szCs w:val="20"/>
        </w:rPr>
        <w:t xml:space="preserve">In chronic non-healing ulcers, the wound microenvironment is </w:t>
      </w:r>
      <w:proofErr w:type="spellStart"/>
      <w:r>
        <w:rPr>
          <w:rFonts w:ascii="Times New Roman" w:eastAsia="Times New Roman" w:hAnsi="Times New Roman" w:cs="Times New Roman"/>
          <w:sz w:val="20"/>
          <w:szCs w:val="20"/>
        </w:rPr>
        <w:t>characterised</w:t>
      </w:r>
      <w:proofErr w:type="spellEnd"/>
      <w:r>
        <w:rPr>
          <w:rFonts w:ascii="Times New Roman" w:eastAsia="Times New Roman" w:hAnsi="Times New Roman" w:cs="Times New Roman"/>
          <w:sz w:val="20"/>
          <w:szCs w:val="20"/>
        </w:rPr>
        <w:t xml:space="preserve"> by elevated levels of proteases, persistent inflammation, and relative growth-factor depletion, all of which impair the normal healing cascade.</w:t>
      </w:r>
      <w:r>
        <w:rPr>
          <w:rFonts w:ascii="Times New Roman" w:eastAsia="Times New Roman" w:hAnsi="Times New Roman" w:cs="Times New Roman"/>
          <w:sz w:val="20"/>
          <w:szCs w:val="20"/>
          <w:vertAlign w:val="superscript"/>
        </w:rPr>
        <w:t>17</w:t>
      </w:r>
      <w:r>
        <w:rPr>
          <w:rFonts w:ascii="Times New Roman" w:eastAsia="Times New Roman" w:hAnsi="Times New Roman" w:cs="Times New Roman"/>
          <w:sz w:val="20"/>
          <w:szCs w:val="20"/>
        </w:rPr>
        <w:t xml:space="preserve"> PRP addresses this deficit directly: the fibrin clot formed on activation provides a provisional scaffold for cell migration, while the concentrated growth factors restore the angiogenic and fibroproliferative drive required for progression through the proliferative phase of healing. Our reductions of 57.4% in mean area and 66.0% in mean volume were smaller than the mean improvements of 94.7% in area and 95.6% in volume, with complete healing of 13 of 17 ulcers (76%), reported by </w:t>
      </w:r>
      <w:proofErr w:type="spellStart"/>
      <w:r>
        <w:rPr>
          <w:rFonts w:ascii="Times New Roman" w:eastAsia="Times New Roman" w:hAnsi="Times New Roman" w:cs="Times New Roman"/>
          <w:sz w:val="20"/>
          <w:szCs w:val="20"/>
        </w:rPr>
        <w:t>Sarvajnamurthy</w:t>
      </w:r>
      <w:proofErr w:type="spellEnd"/>
      <w:r>
        <w:rPr>
          <w:rFonts w:ascii="Times New Roman" w:eastAsia="Times New Roman" w:hAnsi="Times New Roman" w:cs="Times New Roman"/>
          <w:sz w:val="20"/>
          <w:szCs w:val="20"/>
        </w:rPr>
        <w:t xml:space="preserve"> et al. after six weekly applications in a younger cohort (mean age 33.5 years).</w:t>
      </w:r>
      <w:r>
        <w:rPr>
          <w:rFonts w:ascii="Times New Roman" w:eastAsia="Times New Roman" w:hAnsi="Times New Roman" w:cs="Times New Roman"/>
          <w:sz w:val="20"/>
          <w:szCs w:val="20"/>
          <w:vertAlign w:val="superscript"/>
        </w:rPr>
        <w:t>18</w:t>
      </w:r>
      <w:r>
        <w:rPr>
          <w:rFonts w:ascii="Times New Roman" w:eastAsia="Times New Roman" w:hAnsi="Times New Roman" w:cs="Times New Roman"/>
          <w:sz w:val="20"/>
          <w:szCs w:val="20"/>
        </w:rPr>
        <w:t xml:space="preserve"> The difference may partly reflect patient profile: in our series, all four poor responders had an associated illness (leprosy, diabetes mellitus or hypertension), conditions known to impair wound healing. The absence of adverse events in this group supports PRP's safety even in patients with co-morbidities.</w:t>
      </w:r>
    </w:p>
    <w:p w14:paraId="2C7B0017" w14:textId="14F86FDD" w:rsidR="00171378" w:rsidRDefault="00C617DD" w:rsidP="00171378">
      <w:pPr>
        <w:spacing w:after="1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limitations of this study include a small sample size (n=50), absence of a control arm, lack of platelet count quantification per PRP preparation, descriptive analysis without tests of statistical significance, single-</w:t>
      </w:r>
      <w:proofErr w:type="spellStart"/>
      <w:r>
        <w:rPr>
          <w:rFonts w:ascii="Times New Roman" w:eastAsia="Times New Roman" w:hAnsi="Times New Roman" w:cs="Times New Roman"/>
          <w:sz w:val="20"/>
          <w:szCs w:val="20"/>
        </w:rPr>
        <w:t>centre</w:t>
      </w:r>
      <w:proofErr w:type="spellEnd"/>
      <w:r>
        <w:rPr>
          <w:rFonts w:ascii="Times New Roman" w:eastAsia="Times New Roman" w:hAnsi="Times New Roman" w:cs="Times New Roman"/>
          <w:sz w:val="20"/>
          <w:szCs w:val="20"/>
        </w:rPr>
        <w:t xml:space="preserve"> design, and a 6-month follow-up, which precludes assessment of long-term recurrence. In addition, the ulcer group was heterogeneous in </w:t>
      </w:r>
      <w:proofErr w:type="spellStart"/>
      <w:r>
        <w:rPr>
          <w:rFonts w:ascii="Times New Roman" w:eastAsia="Times New Roman" w:hAnsi="Times New Roman" w:cs="Times New Roman"/>
          <w:sz w:val="20"/>
          <w:szCs w:val="20"/>
        </w:rPr>
        <w:t>aetiology</w:t>
      </w:r>
      <w:proofErr w:type="spellEnd"/>
      <w:r>
        <w:rPr>
          <w:rFonts w:ascii="Times New Roman" w:eastAsia="Times New Roman" w:hAnsi="Times New Roman" w:cs="Times New Roman"/>
          <w:sz w:val="20"/>
          <w:szCs w:val="20"/>
        </w:rPr>
        <w:t>, including four patients with leprosy, and ulcers were not further classified by cause.</w:t>
      </w:r>
    </w:p>
    <w:p w14:paraId="6FEF52FB" w14:textId="77777777" w:rsidR="00171378" w:rsidRPr="00171378" w:rsidRDefault="00171378" w:rsidP="00171378">
      <w:pPr>
        <w:spacing w:after="160"/>
        <w:jc w:val="both"/>
      </w:pPr>
    </w:p>
    <w:p w14:paraId="0B015754" w14:textId="19E82E5B" w:rsidR="00171378" w:rsidRPr="00171378" w:rsidRDefault="00C617DD" w:rsidP="00171378">
      <w:pPr>
        <w:keepNext/>
        <w:spacing w:before="280" w:after="120"/>
      </w:pPr>
      <w:r>
        <w:rPr>
          <w:rFonts w:ascii="Times New Roman" w:eastAsia="Times New Roman" w:hAnsi="Times New Roman" w:cs="Times New Roman"/>
          <w:b/>
          <w:bCs/>
          <w:sz w:val="24"/>
          <w:szCs w:val="24"/>
        </w:rPr>
        <w:t>CONCLUSIONS</w:t>
      </w:r>
    </w:p>
    <w:p w14:paraId="16BB4D43" w14:textId="4D7FD76E" w:rsidR="00171378" w:rsidRPr="00171378" w:rsidRDefault="00C617DD" w:rsidP="00C617DD">
      <w:pPr>
        <w:spacing w:after="1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PRP is a safe, well-tolerated, cost-effective, and clinically efficacious autologous treatment modality for androgenetic alopecia, atrophic acne scars, and non-healing ulcers. Its autologous nature </w:t>
      </w:r>
      <w:proofErr w:type="spellStart"/>
      <w:r>
        <w:rPr>
          <w:rFonts w:ascii="Times New Roman" w:eastAsia="Times New Roman" w:hAnsi="Times New Roman" w:cs="Times New Roman"/>
          <w:sz w:val="20"/>
          <w:szCs w:val="20"/>
        </w:rPr>
        <w:t>minimises</w:t>
      </w:r>
      <w:proofErr w:type="spellEnd"/>
      <w:r>
        <w:rPr>
          <w:rFonts w:ascii="Times New Roman" w:eastAsia="Times New Roman" w:hAnsi="Times New Roman" w:cs="Times New Roman"/>
          <w:sz w:val="20"/>
          <w:szCs w:val="20"/>
        </w:rPr>
        <w:t xml:space="preserve"> adverse reactions, and its low cost makes it valuable in resource-limited settings. Larger </w:t>
      </w:r>
      <w:proofErr w:type="spellStart"/>
      <w:r>
        <w:rPr>
          <w:rFonts w:ascii="Times New Roman" w:eastAsia="Times New Roman" w:hAnsi="Times New Roman" w:cs="Times New Roman"/>
          <w:sz w:val="20"/>
          <w:szCs w:val="20"/>
        </w:rPr>
        <w:t>randomised</w:t>
      </w:r>
      <w:proofErr w:type="spellEnd"/>
      <w:r>
        <w:rPr>
          <w:rFonts w:ascii="Times New Roman" w:eastAsia="Times New Roman" w:hAnsi="Times New Roman" w:cs="Times New Roman"/>
          <w:sz w:val="20"/>
          <w:szCs w:val="20"/>
        </w:rPr>
        <w:t xml:space="preserve"> controlled trials with </w:t>
      </w:r>
      <w:proofErr w:type="spellStart"/>
      <w:r>
        <w:rPr>
          <w:rFonts w:ascii="Times New Roman" w:eastAsia="Times New Roman" w:hAnsi="Times New Roman" w:cs="Times New Roman"/>
          <w:sz w:val="20"/>
          <w:szCs w:val="20"/>
        </w:rPr>
        <w:t>standardised</w:t>
      </w:r>
      <w:proofErr w:type="spellEnd"/>
      <w:r>
        <w:rPr>
          <w:rFonts w:ascii="Times New Roman" w:eastAsia="Times New Roman" w:hAnsi="Times New Roman" w:cs="Times New Roman"/>
          <w:sz w:val="20"/>
          <w:szCs w:val="20"/>
        </w:rPr>
        <w:t xml:space="preserve"> platelet counts and longer follow-up are warranted.</w:t>
      </w:r>
    </w:p>
    <w:p w14:paraId="675F5658" w14:textId="77777777" w:rsidR="00171378" w:rsidRDefault="00171378" w:rsidP="00C617DD">
      <w:pPr>
        <w:spacing w:after="160"/>
        <w:jc w:val="both"/>
      </w:pPr>
    </w:p>
    <w:tbl>
      <w:tblPr>
        <w:tblW w:w="9490" w:type="dxa"/>
        <w:tblBorders>
          <w:top w:val="single" w:sz="6" w:space="0" w:color="000000"/>
          <w:left w:val="single" w:sz="6" w:space="0" w:color="000000"/>
          <w:bottom w:val="single" w:sz="6" w:space="0" w:color="000000"/>
          <w:right w:val="single" w:sz="6" w:space="0" w:color="000000"/>
          <w:insideH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9490"/>
      </w:tblGrid>
      <w:tr w:rsidR="00C617DD" w14:paraId="61FC02D4" w14:textId="77777777" w:rsidTr="0031066D">
        <w:tc>
          <w:tcPr>
            <w:tcW w:w="9490" w:type="dxa"/>
          </w:tcPr>
          <w:p w14:paraId="0977CC04" w14:textId="77777777" w:rsidR="00C617DD" w:rsidRDefault="00C617DD" w:rsidP="007210EA">
            <w:pPr>
              <w:spacing w:after="60"/>
              <w:jc w:val="both"/>
            </w:pPr>
            <w:r>
              <w:rPr>
                <w:rFonts w:ascii="Times New Roman" w:hAnsi="Times New Roman" w:cs="Times New Roman"/>
                <w:b/>
                <w:sz w:val="20"/>
              </w:rPr>
              <w:t>What was already known before this study</w:t>
            </w:r>
          </w:p>
          <w:p w14:paraId="53DA60FC" w14:textId="77777777" w:rsidR="00C617DD" w:rsidRDefault="00C617DD" w:rsidP="007210EA">
            <w:pPr>
              <w:spacing w:after="60"/>
              <w:jc w:val="both"/>
            </w:pPr>
            <w:r>
              <w:rPr>
                <w:rFonts w:ascii="Times New Roman" w:hAnsi="Times New Roman" w:cs="Times New Roman"/>
                <w:sz w:val="20"/>
              </w:rPr>
              <w:t>– PRP is an autologous concentrate of growth factors that promote tissue repair and regeneration.</w:t>
            </w:r>
          </w:p>
          <w:p w14:paraId="7BC791D7" w14:textId="77777777" w:rsidR="00C617DD" w:rsidRDefault="00C617DD" w:rsidP="007210EA">
            <w:pPr>
              <w:spacing w:after="60"/>
              <w:jc w:val="both"/>
            </w:pPr>
            <w:r>
              <w:rPr>
                <w:rFonts w:ascii="Times New Roman" w:hAnsi="Times New Roman" w:cs="Times New Roman"/>
                <w:sz w:val="20"/>
              </w:rPr>
              <w:t>– Individual studies have reported benefit of PRP in androgenetic alopecia, atrophic acne scars and chronic ulcers.</w:t>
            </w:r>
          </w:p>
          <w:p w14:paraId="3232CD55" w14:textId="77777777" w:rsidR="00C617DD" w:rsidRDefault="00C617DD" w:rsidP="007210EA">
            <w:pPr>
              <w:spacing w:after="60"/>
              <w:jc w:val="both"/>
            </w:pPr>
            <w:r>
              <w:rPr>
                <w:rFonts w:ascii="Times New Roman" w:hAnsi="Times New Roman" w:cs="Times New Roman"/>
                <w:sz w:val="20"/>
              </w:rPr>
              <w:t>– The manual double-spin method is recommended by the National IADVL PRP Taskforce.</w:t>
            </w:r>
          </w:p>
        </w:tc>
      </w:tr>
      <w:tr w:rsidR="00C617DD" w14:paraId="719CAE70" w14:textId="77777777" w:rsidTr="0031066D">
        <w:tc>
          <w:tcPr>
            <w:tcW w:w="9490" w:type="dxa"/>
          </w:tcPr>
          <w:p w14:paraId="1C056DC3" w14:textId="62773D0E" w:rsidR="00C617DD" w:rsidRDefault="00C617DD" w:rsidP="007210EA">
            <w:pPr>
              <w:spacing w:after="60"/>
              <w:jc w:val="both"/>
            </w:pPr>
            <w:r>
              <w:rPr>
                <w:rFonts w:ascii="Times New Roman" w:hAnsi="Times New Roman" w:cs="Times New Roman"/>
                <w:b/>
                <w:sz w:val="20"/>
              </w:rPr>
              <w:lastRenderedPageBreak/>
              <w:t>What this study adds to existing knowledge</w:t>
            </w:r>
          </w:p>
          <w:p w14:paraId="17509727" w14:textId="77777777" w:rsidR="00C617DD" w:rsidRDefault="00C617DD" w:rsidP="007210EA">
            <w:pPr>
              <w:spacing w:after="60"/>
              <w:jc w:val="both"/>
            </w:pPr>
            <w:r>
              <w:rPr>
                <w:rFonts w:ascii="Times New Roman" w:hAnsi="Times New Roman" w:cs="Times New Roman"/>
                <w:sz w:val="20"/>
              </w:rPr>
              <w:t>– A single prospective cohort evaluating PRP across three dermatological indications in an Indian tertiary care setting.</w:t>
            </w:r>
          </w:p>
          <w:p w14:paraId="09C36752" w14:textId="77777777" w:rsidR="00C617DD" w:rsidRDefault="00C617DD" w:rsidP="007210EA">
            <w:pPr>
              <w:spacing w:after="60"/>
              <w:jc w:val="both"/>
            </w:pPr>
            <w:r>
              <w:rPr>
                <w:rFonts w:ascii="Times New Roman" w:hAnsi="Times New Roman" w:cs="Times New Roman"/>
                <w:sz w:val="20"/>
              </w:rPr>
              <w:t>– Improvement in 85% of AGA patients, good-to-excellent response in 73.3% of acne scar patients, and 57.4% and 66.0% reductions in mean ulcer area and volume.</w:t>
            </w:r>
          </w:p>
          <w:p w14:paraId="285F7873" w14:textId="77777777" w:rsidR="00C617DD" w:rsidRDefault="00C617DD" w:rsidP="007210EA">
            <w:pPr>
              <w:spacing w:after="60"/>
              <w:jc w:val="both"/>
            </w:pPr>
            <w:r>
              <w:rPr>
                <w:rFonts w:ascii="Times New Roman" w:hAnsi="Times New Roman" w:cs="Times New Roman"/>
                <w:sz w:val="20"/>
              </w:rPr>
              <w:t>– All poor responders in the ulcer group had an associated illness (leprosy, diabetes mellitus or hypertension); side effects across groups were mild and transient.</w:t>
            </w:r>
          </w:p>
        </w:tc>
      </w:tr>
    </w:tbl>
    <w:p w14:paraId="22DCF6A6" w14:textId="77777777" w:rsidR="00C617DD" w:rsidRDefault="00C617DD" w:rsidP="00C617DD">
      <w:pPr>
        <w:spacing w:after="120"/>
      </w:pPr>
    </w:p>
    <w:p w14:paraId="11EF10CE" w14:textId="77777777" w:rsidR="00C617DD" w:rsidRDefault="00C617DD" w:rsidP="00C617DD">
      <w:pPr>
        <w:keepNext/>
        <w:spacing w:before="280" w:after="120"/>
      </w:pPr>
      <w:r>
        <w:rPr>
          <w:rFonts w:ascii="Times New Roman" w:eastAsia="Times New Roman" w:hAnsi="Times New Roman" w:cs="Times New Roman"/>
          <w:b/>
          <w:bCs/>
          <w:sz w:val="24"/>
          <w:szCs w:val="24"/>
        </w:rPr>
        <w:t>REFERENCES</w:t>
      </w:r>
    </w:p>
    <w:p w14:paraId="3DD76E29" w14:textId="35B1FD66" w:rsidR="00DB4C66" w:rsidRDefault="00C617DD" w:rsidP="00216B1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Marx RE, Garg AK. Dental and craniofacial applications of platelet-rich plasma. Chicago: Quintessence Publishing; 2005.</w:t>
      </w:r>
    </w:p>
    <w:p w14:paraId="640C42B7" w14:textId="77777777" w:rsidR="00216B16" w:rsidRPr="00216B16" w:rsidRDefault="00216B16" w:rsidP="00216B16">
      <w:pPr>
        <w:pStyle w:val="ListParagraph"/>
        <w:spacing w:after="100"/>
        <w:jc w:val="both"/>
        <w:rPr>
          <w:rFonts w:ascii="Times New Roman" w:eastAsia="Times New Roman" w:hAnsi="Times New Roman" w:cs="Times New Roman"/>
          <w:sz w:val="20"/>
          <w:szCs w:val="20"/>
        </w:rPr>
      </w:pPr>
    </w:p>
    <w:p w14:paraId="750849A3" w14:textId="69C0B38C"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Flad HD, Brandt E. Platelet-derived chemokines: pathophysiology and therapeutic aspects. Cell Mol Life Sci. 2010;67(14):2363-86.</w:t>
      </w:r>
    </w:p>
    <w:p w14:paraId="1D9F743F" w14:textId="77777777" w:rsidR="00216B16" w:rsidRPr="00216B16" w:rsidRDefault="00216B16" w:rsidP="00216B16">
      <w:pPr>
        <w:pStyle w:val="ListParagraph"/>
        <w:rPr>
          <w:rFonts w:ascii="Times New Roman" w:eastAsia="Times New Roman" w:hAnsi="Times New Roman" w:cs="Times New Roman"/>
          <w:sz w:val="20"/>
          <w:szCs w:val="20"/>
        </w:rPr>
      </w:pPr>
    </w:p>
    <w:p w14:paraId="59FDE873" w14:textId="138714E4"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 xml:space="preserve">Marx RE. Platelet-rich plasma: evidence to support its use. J Oral </w:t>
      </w:r>
      <w:proofErr w:type="spellStart"/>
      <w:r w:rsidRPr="00216B16">
        <w:rPr>
          <w:rFonts w:ascii="Times New Roman" w:eastAsia="Times New Roman" w:hAnsi="Times New Roman" w:cs="Times New Roman"/>
          <w:sz w:val="20"/>
          <w:szCs w:val="20"/>
        </w:rPr>
        <w:t>Maxillofac</w:t>
      </w:r>
      <w:proofErr w:type="spellEnd"/>
      <w:r w:rsidRPr="00216B16">
        <w:rPr>
          <w:rFonts w:ascii="Times New Roman" w:eastAsia="Times New Roman" w:hAnsi="Times New Roman" w:cs="Times New Roman"/>
          <w:sz w:val="20"/>
          <w:szCs w:val="20"/>
        </w:rPr>
        <w:t xml:space="preserve"> Surg. 2004;62(4):489-96.</w:t>
      </w:r>
    </w:p>
    <w:p w14:paraId="41F0DB3A" w14:textId="77777777" w:rsidR="00216B16" w:rsidRPr="00216B16" w:rsidRDefault="00216B16" w:rsidP="00216B16">
      <w:pPr>
        <w:pStyle w:val="ListParagraph"/>
        <w:rPr>
          <w:rFonts w:ascii="Times New Roman" w:eastAsia="Times New Roman" w:hAnsi="Times New Roman" w:cs="Times New Roman"/>
          <w:sz w:val="20"/>
          <w:szCs w:val="20"/>
        </w:rPr>
      </w:pPr>
    </w:p>
    <w:p w14:paraId="7CCB75E4" w14:textId="0B1ADEEE"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Norwood OT. Male pattern baldness: classification and incidence. South Med J. 1975;68(11):1359-65.</w:t>
      </w:r>
    </w:p>
    <w:p w14:paraId="72692FE7" w14:textId="77777777" w:rsidR="00216B16" w:rsidRPr="00216B16" w:rsidRDefault="00216B16" w:rsidP="00216B16">
      <w:pPr>
        <w:pStyle w:val="ListParagraph"/>
        <w:rPr>
          <w:rFonts w:ascii="Times New Roman" w:eastAsia="Times New Roman" w:hAnsi="Times New Roman" w:cs="Times New Roman"/>
          <w:sz w:val="20"/>
          <w:szCs w:val="20"/>
        </w:rPr>
      </w:pPr>
    </w:p>
    <w:p w14:paraId="24769E2C" w14:textId="12FAB36A"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Norwood OT. Incidence of female androgenetic alopecia (female pattern alopecia). Dermatol Surg. 2001;27(1):53</w:t>
      </w:r>
      <w:r w:rsidR="00F01C6A" w:rsidRPr="00216B16">
        <w:rPr>
          <w:rFonts w:ascii="Times New Roman" w:eastAsia="Times New Roman" w:hAnsi="Times New Roman" w:cs="Times New Roman"/>
          <w:sz w:val="20"/>
          <w:szCs w:val="20"/>
        </w:rPr>
        <w:t>-</w:t>
      </w:r>
      <w:r w:rsidRPr="00216B16">
        <w:rPr>
          <w:rFonts w:ascii="Times New Roman" w:eastAsia="Times New Roman" w:hAnsi="Times New Roman" w:cs="Times New Roman"/>
          <w:sz w:val="20"/>
          <w:szCs w:val="20"/>
        </w:rPr>
        <w:t>4.</w:t>
      </w:r>
    </w:p>
    <w:p w14:paraId="60141201" w14:textId="77777777" w:rsidR="00216B16" w:rsidRPr="00216B16" w:rsidRDefault="00216B16" w:rsidP="00216B16">
      <w:pPr>
        <w:pStyle w:val="ListParagraph"/>
        <w:rPr>
          <w:rFonts w:ascii="Times New Roman" w:eastAsia="Times New Roman" w:hAnsi="Times New Roman" w:cs="Times New Roman"/>
          <w:sz w:val="20"/>
          <w:szCs w:val="20"/>
        </w:rPr>
      </w:pPr>
    </w:p>
    <w:p w14:paraId="759EB8A6" w14:textId="2CDFE782"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 xml:space="preserve">Schachter RJ, Pantel ES, Glassman GM, </w:t>
      </w:r>
      <w:proofErr w:type="spellStart"/>
      <w:r w:rsidRPr="00216B16">
        <w:rPr>
          <w:rFonts w:ascii="Times New Roman" w:eastAsia="Times New Roman" w:hAnsi="Times New Roman" w:cs="Times New Roman"/>
          <w:sz w:val="20"/>
          <w:szCs w:val="20"/>
        </w:rPr>
        <w:t>Zweibelson</w:t>
      </w:r>
      <w:proofErr w:type="spellEnd"/>
      <w:r w:rsidRPr="00216B16">
        <w:rPr>
          <w:rFonts w:ascii="Times New Roman" w:eastAsia="Times New Roman" w:hAnsi="Times New Roman" w:cs="Times New Roman"/>
          <w:sz w:val="20"/>
          <w:szCs w:val="20"/>
        </w:rPr>
        <w:t xml:space="preserve"> I. Acne vulgaris and psychologic impact on high school students. N Y State J Med. 1971;71(24):2886-90.</w:t>
      </w:r>
    </w:p>
    <w:p w14:paraId="7B73E907" w14:textId="77777777" w:rsidR="00216B16" w:rsidRPr="00216B16" w:rsidRDefault="00216B16" w:rsidP="00216B16">
      <w:pPr>
        <w:pStyle w:val="ListParagraph"/>
        <w:rPr>
          <w:rFonts w:ascii="Times New Roman" w:eastAsia="Times New Roman" w:hAnsi="Times New Roman" w:cs="Times New Roman"/>
          <w:sz w:val="20"/>
          <w:szCs w:val="20"/>
        </w:rPr>
      </w:pPr>
    </w:p>
    <w:p w14:paraId="651EC11F" w14:textId="1F1EFE17"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proofErr w:type="spellStart"/>
      <w:r w:rsidRPr="00216B16">
        <w:rPr>
          <w:rFonts w:ascii="Times New Roman" w:eastAsia="Times New Roman" w:hAnsi="Times New Roman" w:cs="Times New Roman"/>
          <w:sz w:val="20"/>
          <w:szCs w:val="20"/>
        </w:rPr>
        <w:t>Agale</w:t>
      </w:r>
      <w:proofErr w:type="spellEnd"/>
      <w:r w:rsidRPr="00216B16">
        <w:rPr>
          <w:rFonts w:ascii="Times New Roman" w:eastAsia="Times New Roman" w:hAnsi="Times New Roman" w:cs="Times New Roman"/>
          <w:sz w:val="20"/>
          <w:szCs w:val="20"/>
        </w:rPr>
        <w:t xml:space="preserve"> SV. Chronic leg ulcers: epidemiology, </w:t>
      </w:r>
      <w:proofErr w:type="spellStart"/>
      <w:r w:rsidRPr="00216B16">
        <w:rPr>
          <w:rFonts w:ascii="Times New Roman" w:eastAsia="Times New Roman" w:hAnsi="Times New Roman" w:cs="Times New Roman"/>
          <w:sz w:val="20"/>
          <w:szCs w:val="20"/>
        </w:rPr>
        <w:t>aetiopathogenesis</w:t>
      </w:r>
      <w:proofErr w:type="spellEnd"/>
      <w:r w:rsidRPr="00216B16">
        <w:rPr>
          <w:rFonts w:ascii="Times New Roman" w:eastAsia="Times New Roman" w:hAnsi="Times New Roman" w:cs="Times New Roman"/>
          <w:sz w:val="20"/>
          <w:szCs w:val="20"/>
        </w:rPr>
        <w:t xml:space="preserve">, and management. Ulcers. </w:t>
      </w:r>
      <w:r w:rsidR="00FD0BB1" w:rsidRPr="00216B16">
        <w:rPr>
          <w:rFonts w:ascii="Times New Roman" w:eastAsia="Times New Roman" w:hAnsi="Times New Roman" w:cs="Times New Roman"/>
          <w:sz w:val="20"/>
          <w:szCs w:val="20"/>
        </w:rPr>
        <w:t>2013; 2013:413604</w:t>
      </w:r>
      <w:r w:rsidRPr="00216B16">
        <w:rPr>
          <w:rFonts w:ascii="Times New Roman" w:eastAsia="Times New Roman" w:hAnsi="Times New Roman" w:cs="Times New Roman"/>
          <w:sz w:val="20"/>
          <w:szCs w:val="20"/>
        </w:rPr>
        <w:t>.</w:t>
      </w:r>
    </w:p>
    <w:p w14:paraId="42EDDA34" w14:textId="77777777" w:rsidR="00216B16" w:rsidRPr="00216B16" w:rsidRDefault="00216B16" w:rsidP="00216B16">
      <w:pPr>
        <w:pStyle w:val="ListParagraph"/>
        <w:rPr>
          <w:rFonts w:ascii="Times New Roman" w:eastAsia="Times New Roman" w:hAnsi="Times New Roman" w:cs="Times New Roman"/>
          <w:sz w:val="20"/>
          <w:szCs w:val="20"/>
        </w:rPr>
      </w:pPr>
    </w:p>
    <w:p w14:paraId="67E3B62C" w14:textId="0B1D31E8"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proofErr w:type="spellStart"/>
      <w:r w:rsidRPr="00216B16">
        <w:rPr>
          <w:rFonts w:ascii="Times New Roman" w:eastAsia="Times New Roman" w:hAnsi="Times New Roman" w:cs="Times New Roman"/>
          <w:sz w:val="20"/>
          <w:szCs w:val="20"/>
        </w:rPr>
        <w:t>Dashore</w:t>
      </w:r>
      <w:proofErr w:type="spellEnd"/>
      <w:r w:rsidRPr="00216B16">
        <w:rPr>
          <w:rFonts w:ascii="Times New Roman" w:eastAsia="Times New Roman" w:hAnsi="Times New Roman" w:cs="Times New Roman"/>
          <w:sz w:val="20"/>
          <w:szCs w:val="20"/>
        </w:rPr>
        <w:t xml:space="preserve"> S, Chouhan K, Nanda S, Sharma A. Preparation of platelet-rich plasma: National IADVL PRP Taskforce recommendations. Indian Dermatol Online J. 2021;12(Suppl 1</w:t>
      </w:r>
      <w:proofErr w:type="gramStart"/>
      <w:r w:rsidRPr="00216B16">
        <w:rPr>
          <w:rFonts w:ascii="Times New Roman" w:eastAsia="Times New Roman" w:hAnsi="Times New Roman" w:cs="Times New Roman"/>
          <w:sz w:val="20"/>
          <w:szCs w:val="20"/>
        </w:rPr>
        <w:t>):S</w:t>
      </w:r>
      <w:proofErr w:type="gramEnd"/>
      <w:r w:rsidRPr="00216B16">
        <w:rPr>
          <w:rFonts w:ascii="Times New Roman" w:eastAsia="Times New Roman" w:hAnsi="Times New Roman" w:cs="Times New Roman"/>
          <w:sz w:val="20"/>
          <w:szCs w:val="20"/>
        </w:rPr>
        <w:t>12-23.</w:t>
      </w:r>
    </w:p>
    <w:p w14:paraId="0204B5A6" w14:textId="77777777" w:rsidR="00216B16" w:rsidRPr="00216B16" w:rsidRDefault="00216B16" w:rsidP="00216B16">
      <w:pPr>
        <w:pStyle w:val="ListParagraph"/>
        <w:rPr>
          <w:rFonts w:ascii="Times New Roman" w:eastAsia="Times New Roman" w:hAnsi="Times New Roman" w:cs="Times New Roman"/>
          <w:sz w:val="20"/>
          <w:szCs w:val="20"/>
        </w:rPr>
      </w:pPr>
    </w:p>
    <w:p w14:paraId="25D0B61D" w14:textId="3EE2B2C1"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 xml:space="preserve">Schmitz JP, Hollinger JO. The biology of platelet-rich plasma. J Oral </w:t>
      </w:r>
      <w:proofErr w:type="spellStart"/>
      <w:r w:rsidRPr="00216B16">
        <w:rPr>
          <w:rFonts w:ascii="Times New Roman" w:eastAsia="Times New Roman" w:hAnsi="Times New Roman" w:cs="Times New Roman"/>
          <w:sz w:val="20"/>
          <w:szCs w:val="20"/>
        </w:rPr>
        <w:t>Maxillofac</w:t>
      </w:r>
      <w:proofErr w:type="spellEnd"/>
      <w:r w:rsidRPr="00216B16">
        <w:rPr>
          <w:rFonts w:ascii="Times New Roman" w:eastAsia="Times New Roman" w:hAnsi="Times New Roman" w:cs="Times New Roman"/>
          <w:sz w:val="20"/>
          <w:szCs w:val="20"/>
        </w:rPr>
        <w:t xml:space="preserve"> Surg. 2001;59(9):1119-21.</w:t>
      </w:r>
    </w:p>
    <w:p w14:paraId="1036B80B" w14:textId="77777777" w:rsidR="00216B16" w:rsidRPr="00216B16" w:rsidRDefault="00216B16" w:rsidP="00216B16">
      <w:pPr>
        <w:pStyle w:val="ListParagraph"/>
        <w:rPr>
          <w:rFonts w:ascii="Times New Roman" w:eastAsia="Times New Roman" w:hAnsi="Times New Roman" w:cs="Times New Roman"/>
          <w:sz w:val="20"/>
          <w:szCs w:val="20"/>
        </w:rPr>
      </w:pPr>
    </w:p>
    <w:p w14:paraId="52E7413D" w14:textId="18FB9A7F"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 xml:space="preserve">Khatu SS, More YE, Gokhale NR, Chavhan DC, </w:t>
      </w:r>
      <w:proofErr w:type="spellStart"/>
      <w:r w:rsidRPr="00216B16">
        <w:rPr>
          <w:rFonts w:ascii="Times New Roman" w:eastAsia="Times New Roman" w:hAnsi="Times New Roman" w:cs="Times New Roman"/>
          <w:sz w:val="20"/>
          <w:szCs w:val="20"/>
        </w:rPr>
        <w:t>Bendsure</w:t>
      </w:r>
      <w:proofErr w:type="spellEnd"/>
      <w:r w:rsidRPr="00216B16">
        <w:rPr>
          <w:rFonts w:ascii="Times New Roman" w:eastAsia="Times New Roman" w:hAnsi="Times New Roman" w:cs="Times New Roman"/>
          <w:sz w:val="20"/>
          <w:szCs w:val="20"/>
        </w:rPr>
        <w:t xml:space="preserve"> N. Platelet-rich plasma in androgenic alopecia: myth or an effective tool. J </w:t>
      </w:r>
      <w:proofErr w:type="spellStart"/>
      <w:r w:rsidRPr="00216B16">
        <w:rPr>
          <w:rFonts w:ascii="Times New Roman" w:eastAsia="Times New Roman" w:hAnsi="Times New Roman" w:cs="Times New Roman"/>
          <w:sz w:val="20"/>
          <w:szCs w:val="20"/>
        </w:rPr>
        <w:t>Cutan</w:t>
      </w:r>
      <w:proofErr w:type="spellEnd"/>
      <w:r w:rsidRPr="00216B16">
        <w:rPr>
          <w:rFonts w:ascii="Times New Roman" w:eastAsia="Times New Roman" w:hAnsi="Times New Roman" w:cs="Times New Roman"/>
          <w:sz w:val="20"/>
          <w:szCs w:val="20"/>
        </w:rPr>
        <w:t xml:space="preserve"> </w:t>
      </w:r>
      <w:proofErr w:type="spellStart"/>
      <w:r w:rsidRPr="00216B16">
        <w:rPr>
          <w:rFonts w:ascii="Times New Roman" w:eastAsia="Times New Roman" w:hAnsi="Times New Roman" w:cs="Times New Roman"/>
          <w:sz w:val="20"/>
          <w:szCs w:val="20"/>
        </w:rPr>
        <w:t>Aesthet</w:t>
      </w:r>
      <w:proofErr w:type="spellEnd"/>
      <w:r w:rsidRPr="00216B16">
        <w:rPr>
          <w:rFonts w:ascii="Times New Roman" w:eastAsia="Times New Roman" w:hAnsi="Times New Roman" w:cs="Times New Roman"/>
          <w:sz w:val="20"/>
          <w:szCs w:val="20"/>
        </w:rPr>
        <w:t xml:space="preserve"> Surg. 2014;7(2):107-10.</w:t>
      </w:r>
    </w:p>
    <w:p w14:paraId="165FA7B3" w14:textId="77777777" w:rsidR="00216B16" w:rsidRPr="00216B16" w:rsidRDefault="00216B16" w:rsidP="00216B16">
      <w:pPr>
        <w:pStyle w:val="ListParagraph"/>
        <w:rPr>
          <w:rFonts w:ascii="Times New Roman" w:eastAsia="Times New Roman" w:hAnsi="Times New Roman" w:cs="Times New Roman"/>
          <w:sz w:val="20"/>
          <w:szCs w:val="20"/>
        </w:rPr>
      </w:pPr>
    </w:p>
    <w:p w14:paraId="0CBE9EAD" w14:textId="73C7F5C9"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Schiavone G, Raskovic D, Greco J, Abeni D. Platelet-rich plasma for androgenetic alopecia: a pilot study. Dermatol Surg. 2014;40(9):1010-9.</w:t>
      </w:r>
    </w:p>
    <w:p w14:paraId="25806379" w14:textId="77777777" w:rsidR="00216B16" w:rsidRPr="00216B16" w:rsidRDefault="00216B16" w:rsidP="00216B16">
      <w:pPr>
        <w:pStyle w:val="ListParagraph"/>
        <w:rPr>
          <w:rFonts w:ascii="Times New Roman" w:eastAsia="Times New Roman" w:hAnsi="Times New Roman" w:cs="Times New Roman"/>
          <w:sz w:val="20"/>
          <w:szCs w:val="20"/>
        </w:rPr>
      </w:pPr>
    </w:p>
    <w:p w14:paraId="07D9FA57" w14:textId="3655D6D5"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 xml:space="preserve">Gupta S, Revathi TN, </w:t>
      </w:r>
      <w:proofErr w:type="spellStart"/>
      <w:r w:rsidRPr="00216B16">
        <w:rPr>
          <w:rFonts w:ascii="Times New Roman" w:eastAsia="Times New Roman" w:hAnsi="Times New Roman" w:cs="Times New Roman"/>
          <w:sz w:val="20"/>
          <w:szCs w:val="20"/>
        </w:rPr>
        <w:t>Sacchidanand</w:t>
      </w:r>
      <w:proofErr w:type="spellEnd"/>
      <w:r w:rsidRPr="00216B16">
        <w:rPr>
          <w:rFonts w:ascii="Times New Roman" w:eastAsia="Times New Roman" w:hAnsi="Times New Roman" w:cs="Times New Roman"/>
          <w:sz w:val="20"/>
          <w:szCs w:val="20"/>
        </w:rPr>
        <w:t xml:space="preserve"> S, Nataraj HV. A study of the efficacy of platelet-rich plasma in the treatment of androgenetic alopecia in males. Indian J Dermatol </w:t>
      </w:r>
      <w:proofErr w:type="spellStart"/>
      <w:r w:rsidRPr="00216B16">
        <w:rPr>
          <w:rFonts w:ascii="Times New Roman" w:eastAsia="Times New Roman" w:hAnsi="Times New Roman" w:cs="Times New Roman"/>
          <w:sz w:val="20"/>
          <w:szCs w:val="20"/>
        </w:rPr>
        <w:t>Venereol</w:t>
      </w:r>
      <w:proofErr w:type="spellEnd"/>
      <w:r w:rsidRPr="00216B16">
        <w:rPr>
          <w:rFonts w:ascii="Times New Roman" w:eastAsia="Times New Roman" w:hAnsi="Times New Roman" w:cs="Times New Roman"/>
          <w:sz w:val="20"/>
          <w:szCs w:val="20"/>
        </w:rPr>
        <w:t xml:space="preserve"> Leprol. 2017;83(3):412.</w:t>
      </w:r>
    </w:p>
    <w:p w14:paraId="33C9FA5C" w14:textId="77777777" w:rsidR="00216B16" w:rsidRPr="00216B16" w:rsidRDefault="00216B16" w:rsidP="00216B16">
      <w:pPr>
        <w:pStyle w:val="ListParagraph"/>
        <w:rPr>
          <w:rFonts w:ascii="Times New Roman" w:eastAsia="Times New Roman" w:hAnsi="Times New Roman" w:cs="Times New Roman"/>
          <w:sz w:val="20"/>
          <w:szCs w:val="20"/>
        </w:rPr>
      </w:pPr>
    </w:p>
    <w:p w14:paraId="50658484" w14:textId="2222363D"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proofErr w:type="spellStart"/>
      <w:r w:rsidRPr="00216B16">
        <w:rPr>
          <w:rFonts w:ascii="Times New Roman" w:eastAsia="Times New Roman" w:hAnsi="Times New Roman" w:cs="Times New Roman"/>
          <w:sz w:val="20"/>
          <w:szCs w:val="20"/>
        </w:rPr>
        <w:t>Hajheydari</w:t>
      </w:r>
      <w:proofErr w:type="spellEnd"/>
      <w:r w:rsidRPr="00216B16">
        <w:rPr>
          <w:rFonts w:ascii="Times New Roman" w:eastAsia="Times New Roman" w:hAnsi="Times New Roman" w:cs="Times New Roman"/>
          <w:sz w:val="20"/>
          <w:szCs w:val="20"/>
        </w:rPr>
        <w:t xml:space="preserve"> Z, Akbari J, Saeedi M, </w:t>
      </w:r>
      <w:proofErr w:type="spellStart"/>
      <w:r w:rsidRPr="00216B16">
        <w:rPr>
          <w:rFonts w:ascii="Times New Roman" w:eastAsia="Times New Roman" w:hAnsi="Times New Roman" w:cs="Times New Roman"/>
          <w:sz w:val="20"/>
          <w:szCs w:val="20"/>
        </w:rPr>
        <w:t>Shokoohi</w:t>
      </w:r>
      <w:proofErr w:type="spellEnd"/>
      <w:r w:rsidRPr="00216B16">
        <w:rPr>
          <w:rFonts w:ascii="Times New Roman" w:eastAsia="Times New Roman" w:hAnsi="Times New Roman" w:cs="Times New Roman"/>
          <w:sz w:val="20"/>
          <w:szCs w:val="20"/>
        </w:rPr>
        <w:t xml:space="preserve"> L. Comparing the therapeutic effects of finasteride gel and tablet in treatment of the androgenetic alopecia. Indian J Dermatol </w:t>
      </w:r>
      <w:proofErr w:type="spellStart"/>
      <w:r w:rsidRPr="00216B16">
        <w:rPr>
          <w:rFonts w:ascii="Times New Roman" w:eastAsia="Times New Roman" w:hAnsi="Times New Roman" w:cs="Times New Roman"/>
          <w:sz w:val="20"/>
          <w:szCs w:val="20"/>
        </w:rPr>
        <w:t>Venereol</w:t>
      </w:r>
      <w:proofErr w:type="spellEnd"/>
      <w:r w:rsidRPr="00216B16">
        <w:rPr>
          <w:rFonts w:ascii="Times New Roman" w:eastAsia="Times New Roman" w:hAnsi="Times New Roman" w:cs="Times New Roman"/>
          <w:sz w:val="20"/>
          <w:szCs w:val="20"/>
        </w:rPr>
        <w:t xml:space="preserve"> Leprol. 2009;75(1):47-51.</w:t>
      </w:r>
    </w:p>
    <w:p w14:paraId="075B7DE0" w14:textId="77777777" w:rsidR="00216B16" w:rsidRPr="00216B16" w:rsidRDefault="00216B16" w:rsidP="00216B16">
      <w:pPr>
        <w:pStyle w:val="ListParagraph"/>
        <w:rPr>
          <w:rFonts w:ascii="Times New Roman" w:eastAsia="Times New Roman" w:hAnsi="Times New Roman" w:cs="Times New Roman"/>
          <w:sz w:val="20"/>
          <w:szCs w:val="20"/>
        </w:rPr>
      </w:pPr>
    </w:p>
    <w:p w14:paraId="61999C89" w14:textId="3A1F6057"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lastRenderedPageBreak/>
        <w:t>Cho JW, Kim SA, Lee KS. Platelet-rich plasma induces increased expression of G1 cell cycle regulators, type I collagen, and matrix metalloproteinase-1 in human skin fibroblasts. Int J Mol Med. 2012;29(1):32-6.</w:t>
      </w:r>
    </w:p>
    <w:p w14:paraId="114B6CF7" w14:textId="77777777" w:rsidR="00216B16" w:rsidRPr="00216B16" w:rsidRDefault="00216B16" w:rsidP="00216B16">
      <w:pPr>
        <w:pStyle w:val="ListParagraph"/>
        <w:rPr>
          <w:rFonts w:ascii="Times New Roman" w:eastAsia="Times New Roman" w:hAnsi="Times New Roman" w:cs="Times New Roman"/>
          <w:sz w:val="20"/>
          <w:szCs w:val="20"/>
        </w:rPr>
      </w:pPr>
    </w:p>
    <w:p w14:paraId="5D1712C7" w14:textId="024AD3B9"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 xml:space="preserve">Wahab AJ, Anandan V, Mani Surya Kumar M, Shukla S. Efficacy and safety of platelet rich plasma (PRP) as monotherapy in the management of acne scars in a tertiary care </w:t>
      </w:r>
      <w:proofErr w:type="spellStart"/>
      <w:r w:rsidRPr="00216B16">
        <w:rPr>
          <w:rFonts w:ascii="Times New Roman" w:eastAsia="Times New Roman" w:hAnsi="Times New Roman" w:cs="Times New Roman"/>
          <w:sz w:val="20"/>
          <w:szCs w:val="20"/>
        </w:rPr>
        <w:t>centre</w:t>
      </w:r>
      <w:proofErr w:type="spellEnd"/>
      <w:r w:rsidRPr="00216B16">
        <w:rPr>
          <w:rFonts w:ascii="Times New Roman" w:eastAsia="Times New Roman" w:hAnsi="Times New Roman" w:cs="Times New Roman"/>
          <w:sz w:val="20"/>
          <w:szCs w:val="20"/>
        </w:rPr>
        <w:t>. IP Indian Journal of Clinical and Experimental Dermatology. 2017;3(3):119-23.</w:t>
      </w:r>
    </w:p>
    <w:p w14:paraId="3BD53196" w14:textId="77777777" w:rsidR="00216B16" w:rsidRPr="00216B16" w:rsidRDefault="00216B16" w:rsidP="00216B16">
      <w:pPr>
        <w:pStyle w:val="ListParagraph"/>
        <w:rPr>
          <w:rFonts w:ascii="Times New Roman" w:eastAsia="Times New Roman" w:hAnsi="Times New Roman" w:cs="Times New Roman"/>
          <w:sz w:val="20"/>
          <w:szCs w:val="20"/>
        </w:rPr>
      </w:pPr>
    </w:p>
    <w:p w14:paraId="5938426B" w14:textId="1FA19AF4"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Shah SD, Mehta BD, Borkar MA, Aswani RC. Study of safety and efficacy of autologous platelet rich plasma combined with fractional CO2 laser in the treatment of post acne scars: a comparative simultaneous split-face study. International Journal of Research in Medical Sciences. 2017;5(4):1344-51.</w:t>
      </w:r>
    </w:p>
    <w:p w14:paraId="17379812" w14:textId="77777777" w:rsidR="00216B16" w:rsidRPr="00216B16" w:rsidRDefault="00216B16" w:rsidP="00216B16">
      <w:pPr>
        <w:pStyle w:val="ListParagraph"/>
        <w:rPr>
          <w:rFonts w:ascii="Times New Roman" w:eastAsia="Times New Roman" w:hAnsi="Times New Roman" w:cs="Times New Roman"/>
          <w:sz w:val="20"/>
          <w:szCs w:val="20"/>
        </w:rPr>
      </w:pPr>
    </w:p>
    <w:p w14:paraId="5E58F2D0" w14:textId="7E61E61D"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r w:rsidRPr="00216B16">
        <w:rPr>
          <w:rFonts w:ascii="Times New Roman" w:eastAsia="Times New Roman" w:hAnsi="Times New Roman" w:cs="Times New Roman"/>
          <w:sz w:val="20"/>
          <w:szCs w:val="20"/>
        </w:rPr>
        <w:t xml:space="preserve">Suthar M, Gupta S, Bukhari S, </w:t>
      </w:r>
      <w:proofErr w:type="spellStart"/>
      <w:r w:rsidRPr="00216B16">
        <w:rPr>
          <w:rFonts w:ascii="Times New Roman" w:eastAsia="Times New Roman" w:hAnsi="Times New Roman" w:cs="Times New Roman"/>
          <w:sz w:val="20"/>
          <w:szCs w:val="20"/>
        </w:rPr>
        <w:t>Ponemone</w:t>
      </w:r>
      <w:proofErr w:type="spellEnd"/>
      <w:r w:rsidRPr="00216B16">
        <w:rPr>
          <w:rFonts w:ascii="Times New Roman" w:eastAsia="Times New Roman" w:hAnsi="Times New Roman" w:cs="Times New Roman"/>
          <w:sz w:val="20"/>
          <w:szCs w:val="20"/>
        </w:rPr>
        <w:t xml:space="preserve"> V. Treatment of chronic non-healing ulcers using autologous platelet rich plasma: a case series. J Biomed Sci. 2017;24(1):16.</w:t>
      </w:r>
    </w:p>
    <w:p w14:paraId="6A558F17" w14:textId="77777777" w:rsidR="00216B16" w:rsidRPr="00216B16" w:rsidRDefault="00216B16" w:rsidP="00216B16">
      <w:pPr>
        <w:pStyle w:val="ListParagraph"/>
        <w:rPr>
          <w:rFonts w:ascii="Times New Roman" w:eastAsia="Times New Roman" w:hAnsi="Times New Roman" w:cs="Times New Roman"/>
          <w:sz w:val="20"/>
          <w:szCs w:val="20"/>
        </w:rPr>
      </w:pPr>
    </w:p>
    <w:p w14:paraId="1567FDA4" w14:textId="2B30374A" w:rsidR="00C617DD" w:rsidRDefault="00C617DD" w:rsidP="00DB4C66">
      <w:pPr>
        <w:pStyle w:val="ListParagraph"/>
        <w:numPr>
          <w:ilvl w:val="0"/>
          <w:numId w:val="1"/>
        </w:numPr>
        <w:spacing w:after="100"/>
        <w:jc w:val="both"/>
        <w:rPr>
          <w:rFonts w:ascii="Times New Roman" w:eastAsia="Times New Roman" w:hAnsi="Times New Roman" w:cs="Times New Roman"/>
          <w:sz w:val="20"/>
          <w:szCs w:val="20"/>
        </w:rPr>
      </w:pPr>
      <w:proofErr w:type="spellStart"/>
      <w:r w:rsidRPr="00216B16">
        <w:rPr>
          <w:rFonts w:ascii="Times New Roman" w:eastAsia="Times New Roman" w:hAnsi="Times New Roman" w:cs="Times New Roman"/>
          <w:sz w:val="20"/>
          <w:szCs w:val="20"/>
        </w:rPr>
        <w:t>Sarvajnamurthy</w:t>
      </w:r>
      <w:proofErr w:type="spellEnd"/>
      <w:r w:rsidRPr="00216B16">
        <w:rPr>
          <w:rFonts w:ascii="Times New Roman" w:eastAsia="Times New Roman" w:hAnsi="Times New Roman" w:cs="Times New Roman"/>
          <w:sz w:val="20"/>
          <w:szCs w:val="20"/>
        </w:rPr>
        <w:t xml:space="preserve"> S, Suryanarayan S, </w:t>
      </w:r>
      <w:proofErr w:type="spellStart"/>
      <w:r w:rsidRPr="00216B16">
        <w:rPr>
          <w:rFonts w:ascii="Times New Roman" w:eastAsia="Times New Roman" w:hAnsi="Times New Roman" w:cs="Times New Roman"/>
          <w:sz w:val="20"/>
          <w:szCs w:val="20"/>
        </w:rPr>
        <w:t>Budamakuntala</w:t>
      </w:r>
      <w:proofErr w:type="spellEnd"/>
      <w:r w:rsidRPr="00216B16">
        <w:rPr>
          <w:rFonts w:ascii="Times New Roman" w:eastAsia="Times New Roman" w:hAnsi="Times New Roman" w:cs="Times New Roman"/>
          <w:sz w:val="20"/>
          <w:szCs w:val="20"/>
        </w:rPr>
        <w:t xml:space="preserve"> L, Suresh DH. Autologous platelet rich plasma in chronic venous ulcers: study of 17 cases. J </w:t>
      </w:r>
      <w:proofErr w:type="spellStart"/>
      <w:r w:rsidRPr="00216B16">
        <w:rPr>
          <w:rFonts w:ascii="Times New Roman" w:eastAsia="Times New Roman" w:hAnsi="Times New Roman" w:cs="Times New Roman"/>
          <w:sz w:val="20"/>
          <w:szCs w:val="20"/>
        </w:rPr>
        <w:t>Cutan</w:t>
      </w:r>
      <w:proofErr w:type="spellEnd"/>
      <w:r w:rsidRPr="00216B16">
        <w:rPr>
          <w:rFonts w:ascii="Times New Roman" w:eastAsia="Times New Roman" w:hAnsi="Times New Roman" w:cs="Times New Roman"/>
          <w:sz w:val="20"/>
          <w:szCs w:val="20"/>
        </w:rPr>
        <w:t xml:space="preserve"> </w:t>
      </w:r>
      <w:proofErr w:type="spellStart"/>
      <w:r w:rsidRPr="00216B16">
        <w:rPr>
          <w:rFonts w:ascii="Times New Roman" w:eastAsia="Times New Roman" w:hAnsi="Times New Roman" w:cs="Times New Roman"/>
          <w:sz w:val="20"/>
          <w:szCs w:val="20"/>
        </w:rPr>
        <w:t>Aesthet</w:t>
      </w:r>
      <w:proofErr w:type="spellEnd"/>
      <w:r w:rsidRPr="00216B16">
        <w:rPr>
          <w:rFonts w:ascii="Times New Roman" w:eastAsia="Times New Roman" w:hAnsi="Times New Roman" w:cs="Times New Roman"/>
          <w:sz w:val="20"/>
          <w:szCs w:val="20"/>
        </w:rPr>
        <w:t xml:space="preserve"> Surg. 2013;6(2):97-9.</w:t>
      </w:r>
    </w:p>
    <w:p w14:paraId="1CDFEB2A" w14:textId="77777777" w:rsidR="00216B16" w:rsidRPr="00216B16" w:rsidRDefault="00216B16" w:rsidP="00216B16">
      <w:pPr>
        <w:spacing w:after="100"/>
        <w:jc w:val="both"/>
        <w:rPr>
          <w:rFonts w:ascii="Times New Roman" w:eastAsia="Times New Roman" w:hAnsi="Times New Roman" w:cs="Times New Roman"/>
          <w:sz w:val="20"/>
          <w:szCs w:val="20"/>
        </w:rPr>
      </w:pPr>
    </w:p>
    <w:p w14:paraId="517A3B84" w14:textId="77777777" w:rsidR="00C617DD" w:rsidRDefault="00C617DD" w:rsidP="00C617DD">
      <w:pPr>
        <w:spacing w:before="200" w:after="160"/>
        <w:jc w:val="both"/>
      </w:pPr>
      <w:r>
        <w:rPr>
          <w:rFonts w:ascii="Times New Roman" w:eastAsia="Times New Roman" w:hAnsi="Times New Roman" w:cs="Times New Roman"/>
          <w:b/>
          <w:bCs/>
          <w:sz w:val="20"/>
          <w:szCs w:val="20"/>
        </w:rPr>
        <w:t xml:space="preserve">Source of support: </w:t>
      </w:r>
      <w:r>
        <w:rPr>
          <w:rFonts w:ascii="Times New Roman" w:eastAsia="Times New Roman" w:hAnsi="Times New Roman" w:cs="Times New Roman"/>
          <w:sz w:val="20"/>
          <w:szCs w:val="20"/>
        </w:rPr>
        <w:t>None</w:t>
      </w:r>
    </w:p>
    <w:p w14:paraId="594A26F8" w14:textId="77D460E1" w:rsidR="00C617DD" w:rsidRDefault="00C617DD" w:rsidP="00C617DD">
      <w:pPr>
        <w:spacing w:after="16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Conflict of interest: </w:t>
      </w:r>
      <w:r>
        <w:rPr>
          <w:rFonts w:ascii="Times New Roman" w:eastAsia="Times New Roman" w:hAnsi="Times New Roman" w:cs="Times New Roman"/>
          <w:sz w:val="20"/>
          <w:szCs w:val="20"/>
        </w:rPr>
        <w:t>None declared</w:t>
      </w:r>
    </w:p>
    <w:p w14:paraId="09F601DF" w14:textId="2995A0B5" w:rsidR="00964DBC" w:rsidRDefault="00964DBC" w:rsidP="00C617DD">
      <w:pPr>
        <w:spacing w:after="160"/>
        <w:jc w:val="both"/>
      </w:pPr>
      <w:r>
        <w:rPr>
          <w:noProof/>
          <w:color w:val="000000"/>
          <w:sz w:val="20"/>
          <w:szCs w:val="20"/>
        </w:rPr>
        <mc:AlternateContent>
          <mc:Choice Requires="wps">
            <w:drawing>
              <wp:anchor distT="0" distB="0" distL="114300" distR="114300" simplePos="0" relativeHeight="251663360" behindDoc="0" locked="0" layoutInCell="1" allowOverlap="1" wp14:anchorId="2A86E063" wp14:editId="6B716BAF">
                <wp:simplePos x="0" y="0"/>
                <wp:positionH relativeFrom="margin">
                  <wp:align>left</wp:align>
                </wp:positionH>
                <wp:positionV relativeFrom="paragraph">
                  <wp:posOffset>105410</wp:posOffset>
                </wp:positionV>
                <wp:extent cx="3190875" cy="1057275"/>
                <wp:effectExtent l="0" t="0" r="28575" b="28575"/>
                <wp:wrapNone/>
                <wp:docPr id="740660536" name="Text Box 4"/>
                <wp:cNvGraphicFramePr/>
                <a:graphic xmlns:a="http://schemas.openxmlformats.org/drawingml/2006/main">
                  <a:graphicData uri="http://schemas.microsoft.com/office/word/2010/wordprocessingShape">
                    <wps:wsp>
                      <wps:cNvSpPr txBox="1"/>
                      <wps:spPr>
                        <a:xfrm>
                          <a:off x="0" y="0"/>
                          <a:ext cx="3190875" cy="1057275"/>
                        </a:xfrm>
                        <a:prstGeom prst="rect">
                          <a:avLst/>
                        </a:prstGeom>
                        <a:solidFill>
                          <a:schemeClr val="lt1"/>
                        </a:solidFill>
                        <a:ln w="6350">
                          <a:solidFill>
                            <a:prstClr val="black"/>
                          </a:solidFill>
                        </a:ln>
                      </wps:spPr>
                      <wps:txbx>
                        <w:txbxContent>
                          <w:p w14:paraId="37231FFF" w14:textId="6AA7B17A" w:rsidR="004A2FAA" w:rsidRDefault="00964DBC" w:rsidP="00964DBC">
                            <w:pPr>
                              <w:spacing w:after="0" w:line="240" w:lineRule="auto"/>
                              <w:jc w:val="both"/>
                              <w:rPr>
                                <w:rFonts w:ascii="Times New Roman" w:hAnsi="Times New Roman" w:cs="Times New Roman"/>
                                <w:sz w:val="20"/>
                                <w:szCs w:val="20"/>
                                <w:lang w:val="en-IN"/>
                              </w:rPr>
                            </w:pPr>
                            <w:r w:rsidRPr="00CC10F2">
                              <w:rPr>
                                <w:rFonts w:ascii="Times New Roman" w:hAnsi="Times New Roman" w:cs="Times New Roman"/>
                                <w:b/>
                                <w:bCs/>
                                <w:sz w:val="20"/>
                                <w:szCs w:val="20"/>
                                <w:lang w:val="en-IN"/>
                              </w:rPr>
                              <w:t>How to cite:</w:t>
                            </w:r>
                            <w:r>
                              <w:rPr>
                                <w:rFonts w:ascii="Times New Roman" w:hAnsi="Times New Roman" w:cs="Times New Roman"/>
                                <w:sz w:val="20"/>
                                <w:szCs w:val="20"/>
                                <w:lang w:val="en-IN"/>
                              </w:rPr>
                              <w:t xml:space="preserve"> </w:t>
                            </w:r>
                            <w:proofErr w:type="spellStart"/>
                            <w:r>
                              <w:rPr>
                                <w:rFonts w:ascii="Times New Roman" w:hAnsi="Times New Roman" w:cs="Times New Roman"/>
                                <w:sz w:val="20"/>
                                <w:szCs w:val="20"/>
                                <w:lang w:val="en-IN"/>
                              </w:rPr>
                              <w:t>Dudhatra</w:t>
                            </w:r>
                            <w:proofErr w:type="spellEnd"/>
                            <w:r w:rsidR="00B870EC">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K, Shah J, </w:t>
                            </w:r>
                            <w:proofErr w:type="spellStart"/>
                            <w:r>
                              <w:rPr>
                                <w:rFonts w:ascii="Times New Roman" w:hAnsi="Times New Roman" w:cs="Times New Roman"/>
                                <w:sz w:val="20"/>
                                <w:szCs w:val="20"/>
                                <w:lang w:val="en-IN"/>
                              </w:rPr>
                              <w:t>Pithadia</w:t>
                            </w:r>
                            <w:proofErr w:type="spellEnd"/>
                            <w:r>
                              <w:rPr>
                                <w:rFonts w:ascii="Times New Roman" w:hAnsi="Times New Roman" w:cs="Times New Roman"/>
                                <w:sz w:val="20"/>
                                <w:szCs w:val="20"/>
                                <w:lang w:val="en-IN"/>
                              </w:rPr>
                              <w:t xml:space="preserve"> M, Parmar D, Patel</w:t>
                            </w:r>
                            <w:r w:rsidR="00964073">
                              <w:rPr>
                                <w:rFonts w:ascii="Times New Roman" w:hAnsi="Times New Roman" w:cs="Times New Roman"/>
                                <w:sz w:val="20"/>
                                <w:szCs w:val="20"/>
                                <w:lang w:val="en-IN"/>
                              </w:rPr>
                              <w:t xml:space="preserve"> </w:t>
                            </w:r>
                            <w:r>
                              <w:rPr>
                                <w:rFonts w:ascii="Times New Roman" w:hAnsi="Times New Roman" w:cs="Times New Roman"/>
                                <w:sz w:val="20"/>
                                <w:szCs w:val="20"/>
                                <w:lang w:val="en-IN"/>
                              </w:rPr>
                              <w:t>M, Kathiriya P.</w:t>
                            </w:r>
                            <w:r w:rsidRPr="00964DBC">
                              <w:t xml:space="preserve"> </w:t>
                            </w:r>
                            <w:r w:rsidRPr="00964DBC">
                              <w:rPr>
                                <w:rFonts w:ascii="Times New Roman" w:hAnsi="Times New Roman" w:cs="Times New Roman"/>
                                <w:sz w:val="20"/>
                                <w:szCs w:val="20"/>
                                <w:lang w:val="en-IN"/>
                              </w:rPr>
                              <w:t>Efficacy of Platelet-Rich Plasma (PRP) in Androgenetic Alopecia, Acne Scars, and Non-Healing Ulcers: A Prospective Interventional Study</w:t>
                            </w:r>
                            <w:r>
                              <w:rPr>
                                <w:rFonts w:ascii="Times New Roman" w:hAnsi="Times New Roman" w:cs="Times New Roman"/>
                                <w:sz w:val="20"/>
                                <w:szCs w:val="20"/>
                                <w:lang w:val="en-IN"/>
                              </w:rPr>
                              <w:t xml:space="preserve">. </w:t>
                            </w:r>
                            <w:r w:rsidRPr="00CC10F2">
                              <w:rPr>
                                <w:rFonts w:ascii="Times New Roman" w:hAnsi="Times New Roman" w:cs="Times New Roman"/>
                                <w:sz w:val="20"/>
                                <w:szCs w:val="20"/>
                                <w:lang w:val="en-IN"/>
                              </w:rPr>
                              <w:t>GAIMS J Med Sci 202</w:t>
                            </w:r>
                            <w:r>
                              <w:rPr>
                                <w:rFonts w:ascii="Times New Roman" w:hAnsi="Times New Roman" w:cs="Times New Roman"/>
                                <w:sz w:val="20"/>
                                <w:szCs w:val="20"/>
                                <w:lang w:val="en-IN"/>
                              </w:rPr>
                              <w:t>7</w:t>
                            </w:r>
                            <w:r w:rsidRPr="00CC10F2">
                              <w:rPr>
                                <w:rFonts w:ascii="Times New Roman" w:hAnsi="Times New Roman" w:cs="Times New Roman"/>
                                <w:sz w:val="20"/>
                                <w:szCs w:val="20"/>
                                <w:lang w:val="en-IN"/>
                              </w:rPr>
                              <w:t>;</w:t>
                            </w:r>
                            <w:r>
                              <w:rPr>
                                <w:rFonts w:ascii="Times New Roman" w:hAnsi="Times New Roman" w:cs="Times New Roman"/>
                                <w:sz w:val="20"/>
                                <w:szCs w:val="20"/>
                                <w:lang w:val="en-IN"/>
                              </w:rPr>
                              <w:t>7</w:t>
                            </w:r>
                            <w:r w:rsidRPr="00CC10F2">
                              <w:rPr>
                                <w:rFonts w:ascii="Times New Roman" w:hAnsi="Times New Roman" w:cs="Times New Roman"/>
                                <w:sz w:val="20"/>
                                <w:szCs w:val="20"/>
                                <w:lang w:val="en-IN"/>
                              </w:rPr>
                              <w:t>(</w:t>
                            </w:r>
                            <w:r>
                              <w:rPr>
                                <w:rFonts w:ascii="Times New Roman" w:hAnsi="Times New Roman" w:cs="Times New Roman"/>
                                <w:sz w:val="20"/>
                                <w:szCs w:val="20"/>
                                <w:lang w:val="en-IN"/>
                              </w:rPr>
                              <w:t>1</w:t>
                            </w:r>
                            <w:r w:rsidRPr="00CC10F2">
                              <w:rPr>
                                <w:rFonts w:ascii="Times New Roman" w:hAnsi="Times New Roman" w:cs="Times New Roman"/>
                                <w:sz w:val="20"/>
                                <w:szCs w:val="20"/>
                                <w:lang w:val="en-IN"/>
                              </w:rPr>
                              <w:t xml:space="preserve">): </w:t>
                            </w:r>
                            <w:r>
                              <w:rPr>
                                <w:rFonts w:ascii="Times New Roman" w:hAnsi="Times New Roman" w:cs="Times New Roman"/>
                                <w:sz w:val="20"/>
                                <w:szCs w:val="20"/>
                                <w:lang w:val="en-IN"/>
                              </w:rPr>
                              <w:t>33-41</w:t>
                            </w:r>
                          </w:p>
                          <w:p w14:paraId="5ED2EFFB" w14:textId="5FCA28F2" w:rsidR="00C33E56" w:rsidRDefault="00C33E56" w:rsidP="00964DBC">
                            <w:pPr>
                              <w:spacing w:after="0" w:line="240" w:lineRule="auto"/>
                              <w:jc w:val="both"/>
                              <w:rPr>
                                <w:rFonts w:ascii="Times New Roman" w:hAnsi="Times New Roman" w:cs="Times New Roman"/>
                                <w:sz w:val="20"/>
                                <w:szCs w:val="20"/>
                                <w:lang w:val="en-IN"/>
                              </w:rPr>
                            </w:pPr>
                            <w:r w:rsidRPr="00C33E56">
                              <w:rPr>
                                <w:rFonts w:ascii="Times New Roman" w:hAnsi="Times New Roman" w:cs="Times New Roman"/>
                                <w:sz w:val="20"/>
                                <w:szCs w:val="20"/>
                                <w:lang w:val="en-IN"/>
                              </w:rPr>
                              <w:t>https://doi.org/10.5281/zenodo.23470605</w:t>
                            </w:r>
                          </w:p>
                          <w:p w14:paraId="3DA5930A" w14:textId="00308C28" w:rsidR="00964DBC" w:rsidRDefault="00964DBC" w:rsidP="00964DBC">
                            <w:pPr>
                              <w:spacing w:after="0" w:line="240" w:lineRule="auto"/>
                              <w:jc w:val="both"/>
                              <w:rPr>
                                <w:rFonts w:ascii="Times New Roman" w:hAnsi="Times New Roman" w:cs="Times New Roman"/>
                                <w:sz w:val="20"/>
                                <w:szCs w:val="20"/>
                                <w:lang w:val="en-IN"/>
                              </w:rPr>
                            </w:pPr>
                          </w:p>
                          <w:p w14:paraId="7231F044" w14:textId="77777777" w:rsidR="00964DBC" w:rsidRPr="007D1FEB" w:rsidRDefault="00964DBC" w:rsidP="00964DBC">
                            <w:pPr>
                              <w:spacing w:after="0" w:line="240" w:lineRule="auto"/>
                              <w:jc w:val="both"/>
                              <w:rPr>
                                <w:rFonts w:ascii="Times New Roman" w:hAnsi="Times New Roman" w:cs="Times New Roman"/>
                                <w:sz w:val="20"/>
                                <w:szCs w:val="2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6E063" id="Text Box 4" o:spid="_x0000_s1028" type="#_x0000_t202" style="position:absolute;left:0;text-align:left;margin-left:0;margin-top:8.3pt;width:251.25pt;height:83.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" fillcolor="white [3201]" strokeweight=".5pt">
                <v:textbox>
                  <w:txbxContent>
                    <w:p w14:paraId="37231FFF" w14:textId="6AA7B17A" w:rsidR="004A2FAA" w:rsidRDefault="00964DBC" w:rsidP="00964DBC">
                      <w:pPr>
                        <w:spacing w:after="0" w:line="240" w:lineRule="auto"/>
                        <w:jc w:val="both"/>
                        <w:rPr>
                          <w:rFonts w:ascii="Times New Roman" w:hAnsi="Times New Roman" w:cs="Times New Roman"/>
                          <w:sz w:val="20"/>
                          <w:szCs w:val="20"/>
                          <w:lang w:val="en-IN"/>
                        </w:rPr>
                      </w:pPr>
                      <w:r w:rsidRPr="00CC10F2">
                        <w:rPr>
                          <w:rFonts w:ascii="Times New Roman" w:hAnsi="Times New Roman" w:cs="Times New Roman"/>
                          <w:b/>
                          <w:bCs/>
                          <w:sz w:val="20"/>
                          <w:szCs w:val="20"/>
                          <w:lang w:val="en-IN"/>
                        </w:rPr>
                        <w:t>How to cite:</w:t>
                      </w:r>
                      <w:r>
                        <w:rPr>
                          <w:rFonts w:ascii="Times New Roman" w:hAnsi="Times New Roman" w:cs="Times New Roman"/>
                          <w:sz w:val="20"/>
                          <w:szCs w:val="20"/>
                          <w:lang w:val="en-IN"/>
                        </w:rPr>
                        <w:t xml:space="preserve"> </w:t>
                      </w:r>
                      <w:proofErr w:type="spellStart"/>
                      <w:r>
                        <w:rPr>
                          <w:rFonts w:ascii="Times New Roman" w:hAnsi="Times New Roman" w:cs="Times New Roman"/>
                          <w:sz w:val="20"/>
                          <w:szCs w:val="20"/>
                          <w:lang w:val="en-IN"/>
                        </w:rPr>
                        <w:t>Dudhatra</w:t>
                      </w:r>
                      <w:proofErr w:type="spellEnd"/>
                      <w:r w:rsidR="00B870EC">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K, Shah J, </w:t>
                      </w:r>
                      <w:proofErr w:type="spellStart"/>
                      <w:r>
                        <w:rPr>
                          <w:rFonts w:ascii="Times New Roman" w:hAnsi="Times New Roman" w:cs="Times New Roman"/>
                          <w:sz w:val="20"/>
                          <w:szCs w:val="20"/>
                          <w:lang w:val="en-IN"/>
                        </w:rPr>
                        <w:t>Pithadia</w:t>
                      </w:r>
                      <w:proofErr w:type="spellEnd"/>
                      <w:r>
                        <w:rPr>
                          <w:rFonts w:ascii="Times New Roman" w:hAnsi="Times New Roman" w:cs="Times New Roman"/>
                          <w:sz w:val="20"/>
                          <w:szCs w:val="20"/>
                          <w:lang w:val="en-IN"/>
                        </w:rPr>
                        <w:t xml:space="preserve"> M, Parmar D, Patel</w:t>
                      </w:r>
                      <w:r w:rsidR="00964073">
                        <w:rPr>
                          <w:rFonts w:ascii="Times New Roman" w:hAnsi="Times New Roman" w:cs="Times New Roman"/>
                          <w:sz w:val="20"/>
                          <w:szCs w:val="20"/>
                          <w:lang w:val="en-IN"/>
                        </w:rPr>
                        <w:t xml:space="preserve"> </w:t>
                      </w:r>
                      <w:r>
                        <w:rPr>
                          <w:rFonts w:ascii="Times New Roman" w:hAnsi="Times New Roman" w:cs="Times New Roman"/>
                          <w:sz w:val="20"/>
                          <w:szCs w:val="20"/>
                          <w:lang w:val="en-IN"/>
                        </w:rPr>
                        <w:t>M, Kathiriya P.</w:t>
                      </w:r>
                      <w:r w:rsidRPr="00964DBC">
                        <w:t xml:space="preserve"> </w:t>
                      </w:r>
                      <w:r w:rsidRPr="00964DBC">
                        <w:rPr>
                          <w:rFonts w:ascii="Times New Roman" w:hAnsi="Times New Roman" w:cs="Times New Roman"/>
                          <w:sz w:val="20"/>
                          <w:szCs w:val="20"/>
                          <w:lang w:val="en-IN"/>
                        </w:rPr>
                        <w:t>Efficacy of Platelet-Rich Plasma (PRP) in Androgenetic Alopecia, Acne Scars, and Non-Healing Ulcers: A Prospective Interventional Study</w:t>
                      </w:r>
                      <w:r>
                        <w:rPr>
                          <w:rFonts w:ascii="Times New Roman" w:hAnsi="Times New Roman" w:cs="Times New Roman"/>
                          <w:sz w:val="20"/>
                          <w:szCs w:val="20"/>
                          <w:lang w:val="en-IN"/>
                        </w:rPr>
                        <w:t xml:space="preserve">. </w:t>
                      </w:r>
                      <w:r w:rsidRPr="00CC10F2">
                        <w:rPr>
                          <w:rFonts w:ascii="Times New Roman" w:hAnsi="Times New Roman" w:cs="Times New Roman"/>
                          <w:sz w:val="20"/>
                          <w:szCs w:val="20"/>
                          <w:lang w:val="en-IN"/>
                        </w:rPr>
                        <w:t>GAIMS J Med Sci 202</w:t>
                      </w:r>
                      <w:r>
                        <w:rPr>
                          <w:rFonts w:ascii="Times New Roman" w:hAnsi="Times New Roman" w:cs="Times New Roman"/>
                          <w:sz w:val="20"/>
                          <w:szCs w:val="20"/>
                          <w:lang w:val="en-IN"/>
                        </w:rPr>
                        <w:t>7</w:t>
                      </w:r>
                      <w:r w:rsidRPr="00CC10F2">
                        <w:rPr>
                          <w:rFonts w:ascii="Times New Roman" w:hAnsi="Times New Roman" w:cs="Times New Roman"/>
                          <w:sz w:val="20"/>
                          <w:szCs w:val="20"/>
                          <w:lang w:val="en-IN"/>
                        </w:rPr>
                        <w:t>;</w:t>
                      </w:r>
                      <w:r>
                        <w:rPr>
                          <w:rFonts w:ascii="Times New Roman" w:hAnsi="Times New Roman" w:cs="Times New Roman"/>
                          <w:sz w:val="20"/>
                          <w:szCs w:val="20"/>
                          <w:lang w:val="en-IN"/>
                        </w:rPr>
                        <w:t>7</w:t>
                      </w:r>
                      <w:r w:rsidRPr="00CC10F2">
                        <w:rPr>
                          <w:rFonts w:ascii="Times New Roman" w:hAnsi="Times New Roman" w:cs="Times New Roman"/>
                          <w:sz w:val="20"/>
                          <w:szCs w:val="20"/>
                          <w:lang w:val="en-IN"/>
                        </w:rPr>
                        <w:t>(</w:t>
                      </w:r>
                      <w:r>
                        <w:rPr>
                          <w:rFonts w:ascii="Times New Roman" w:hAnsi="Times New Roman" w:cs="Times New Roman"/>
                          <w:sz w:val="20"/>
                          <w:szCs w:val="20"/>
                          <w:lang w:val="en-IN"/>
                        </w:rPr>
                        <w:t>1</w:t>
                      </w:r>
                      <w:r w:rsidRPr="00CC10F2">
                        <w:rPr>
                          <w:rFonts w:ascii="Times New Roman" w:hAnsi="Times New Roman" w:cs="Times New Roman"/>
                          <w:sz w:val="20"/>
                          <w:szCs w:val="20"/>
                          <w:lang w:val="en-IN"/>
                        </w:rPr>
                        <w:t xml:space="preserve">): </w:t>
                      </w:r>
                      <w:r>
                        <w:rPr>
                          <w:rFonts w:ascii="Times New Roman" w:hAnsi="Times New Roman" w:cs="Times New Roman"/>
                          <w:sz w:val="20"/>
                          <w:szCs w:val="20"/>
                          <w:lang w:val="en-IN"/>
                        </w:rPr>
                        <w:t>33-41</w:t>
                      </w:r>
                    </w:p>
                    <w:p w14:paraId="5ED2EFFB" w14:textId="5FCA28F2" w:rsidR="00C33E56" w:rsidRDefault="00C33E56" w:rsidP="00964DBC">
                      <w:pPr>
                        <w:spacing w:after="0" w:line="240" w:lineRule="auto"/>
                        <w:jc w:val="both"/>
                        <w:rPr>
                          <w:rFonts w:ascii="Times New Roman" w:hAnsi="Times New Roman" w:cs="Times New Roman"/>
                          <w:sz w:val="20"/>
                          <w:szCs w:val="20"/>
                          <w:lang w:val="en-IN"/>
                        </w:rPr>
                      </w:pPr>
                      <w:r w:rsidRPr="00C33E56">
                        <w:rPr>
                          <w:rFonts w:ascii="Times New Roman" w:hAnsi="Times New Roman" w:cs="Times New Roman"/>
                          <w:sz w:val="20"/>
                          <w:szCs w:val="20"/>
                          <w:lang w:val="en-IN"/>
                        </w:rPr>
                        <w:t>https://doi.org/10.5281/zenodo.23470605</w:t>
                      </w:r>
                    </w:p>
                    <w:p w14:paraId="3DA5930A" w14:textId="00308C28" w:rsidR="00964DBC" w:rsidRDefault="00964DBC" w:rsidP="00964DBC">
                      <w:pPr>
                        <w:spacing w:after="0" w:line="240" w:lineRule="auto"/>
                        <w:jc w:val="both"/>
                        <w:rPr>
                          <w:rFonts w:ascii="Times New Roman" w:hAnsi="Times New Roman" w:cs="Times New Roman"/>
                          <w:sz w:val="20"/>
                          <w:szCs w:val="20"/>
                          <w:lang w:val="en-IN"/>
                        </w:rPr>
                      </w:pPr>
                    </w:p>
                    <w:p w14:paraId="7231F044" w14:textId="77777777" w:rsidR="00964DBC" w:rsidRPr="007D1FEB" w:rsidRDefault="00964DBC" w:rsidP="00964DBC">
                      <w:pPr>
                        <w:spacing w:after="0" w:line="240" w:lineRule="auto"/>
                        <w:jc w:val="both"/>
                        <w:rPr>
                          <w:rFonts w:ascii="Times New Roman" w:hAnsi="Times New Roman" w:cs="Times New Roman"/>
                          <w:sz w:val="20"/>
                          <w:szCs w:val="20"/>
                          <w:lang w:val="en-IN"/>
                        </w:rPr>
                      </w:pPr>
                    </w:p>
                  </w:txbxContent>
                </v:textbox>
                <w10:wrap anchorx="margin"/>
              </v:shape>
            </w:pict>
          </mc:Fallback>
        </mc:AlternateContent>
      </w:r>
    </w:p>
    <w:p w14:paraId="0CC5E724" w14:textId="77777777" w:rsidR="002C4335" w:rsidRDefault="002C4335" w:rsidP="002C4335">
      <w:pPr>
        <w:jc w:val="both"/>
        <w:rPr>
          <w:rFonts w:ascii="Times New Roman" w:hAnsi="Times New Roman" w:cs="Times New Roman"/>
          <w:bCs/>
          <w:sz w:val="20"/>
          <w:szCs w:val="20"/>
        </w:rPr>
      </w:pPr>
    </w:p>
    <w:p w14:paraId="1F410AE6" w14:textId="77777777" w:rsidR="002C4335" w:rsidRDefault="002C4335" w:rsidP="002C4335">
      <w:pPr>
        <w:jc w:val="both"/>
        <w:rPr>
          <w:rFonts w:ascii="Times New Roman" w:hAnsi="Times New Roman" w:cs="Times New Roman"/>
          <w:bCs/>
          <w:sz w:val="20"/>
          <w:szCs w:val="20"/>
        </w:rPr>
      </w:pPr>
    </w:p>
    <w:p w14:paraId="1D4BE396" w14:textId="77777777" w:rsidR="002C4335" w:rsidRDefault="002C4335" w:rsidP="002C4335">
      <w:pPr>
        <w:jc w:val="both"/>
        <w:rPr>
          <w:rFonts w:ascii="Times New Roman" w:hAnsi="Times New Roman" w:cs="Times New Roman"/>
          <w:bCs/>
          <w:sz w:val="20"/>
          <w:szCs w:val="20"/>
        </w:rPr>
      </w:pPr>
    </w:p>
    <w:p w14:paraId="0366B6A8" w14:textId="77777777" w:rsidR="002C4335" w:rsidRDefault="002C4335" w:rsidP="002C4335">
      <w:pPr>
        <w:spacing w:after="0"/>
        <w:jc w:val="both"/>
        <w:rPr>
          <w:rFonts w:ascii="Times New Roman" w:hAnsi="Times New Roman" w:cs="Times New Roman"/>
          <w:bCs/>
          <w:sz w:val="20"/>
          <w:szCs w:val="20"/>
        </w:rPr>
      </w:pPr>
    </w:p>
    <w:p w14:paraId="1679F13F" w14:textId="77777777" w:rsidR="002C4335" w:rsidRDefault="002C4335" w:rsidP="002C4335">
      <w:pPr>
        <w:spacing w:after="0"/>
        <w:jc w:val="both"/>
        <w:rPr>
          <w:rFonts w:ascii="Times New Roman" w:hAnsi="Times New Roman" w:cs="Times New Roman"/>
          <w:bCs/>
          <w:sz w:val="20"/>
          <w:szCs w:val="20"/>
        </w:rPr>
      </w:pPr>
    </w:p>
    <w:p w14:paraId="5F28C9CA" w14:textId="77777777" w:rsidR="002C4335" w:rsidRPr="002C4335" w:rsidRDefault="002C4335" w:rsidP="002C4335"/>
    <w:sectPr w:rsidR="002C4335" w:rsidRPr="002C4335" w:rsidSect="004640BB">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9581D" w14:textId="77777777" w:rsidR="00F52AA0" w:rsidRDefault="00F52AA0" w:rsidP="002C4335">
      <w:pPr>
        <w:spacing w:after="0" w:line="240" w:lineRule="auto"/>
      </w:pPr>
      <w:r>
        <w:separator/>
      </w:r>
    </w:p>
  </w:endnote>
  <w:endnote w:type="continuationSeparator" w:id="0">
    <w:p w14:paraId="58848533" w14:textId="77777777" w:rsidR="00F52AA0" w:rsidRDefault="00F52AA0" w:rsidP="002C4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982526"/>
      <w:docPartObj>
        <w:docPartGallery w:val="Page Numbers (Bottom of Page)"/>
        <w:docPartUnique/>
      </w:docPartObj>
    </w:sdtPr>
    <w:sdtEndPr>
      <w:rPr>
        <w:noProof/>
      </w:rPr>
    </w:sdtEndPr>
    <w:sdtContent>
      <w:p w14:paraId="3ADBC9BE" w14:textId="67AA85EC" w:rsidR="00FD0BB1" w:rsidRDefault="00FD0BB1">
        <w:pPr>
          <w:pStyle w:val="Footer"/>
        </w:pPr>
        <w:r>
          <w:fldChar w:fldCharType="begin"/>
        </w:r>
        <w:r>
          <w:instrText xml:space="preserve"> PAGE   \* MERGEFORMAT </w:instrText>
        </w:r>
        <w:r>
          <w:fldChar w:fldCharType="separate"/>
        </w:r>
        <w:r>
          <w:rPr>
            <w:noProof/>
          </w:rPr>
          <w:t>2</w:t>
        </w:r>
        <w:r>
          <w:rPr>
            <w:noProof/>
          </w:rPr>
          <w:fldChar w:fldCharType="end"/>
        </w:r>
      </w:p>
    </w:sdtContent>
  </w:sdt>
  <w:p w14:paraId="23D607CE" w14:textId="77777777" w:rsidR="00C617DD" w:rsidRDefault="00C61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1AC6F" w14:textId="77777777" w:rsidR="00F52AA0" w:rsidRDefault="00F52AA0" w:rsidP="002C4335">
      <w:pPr>
        <w:spacing w:after="0" w:line="240" w:lineRule="auto"/>
      </w:pPr>
      <w:r>
        <w:separator/>
      </w:r>
    </w:p>
  </w:footnote>
  <w:footnote w:type="continuationSeparator" w:id="0">
    <w:p w14:paraId="2EC385EE" w14:textId="77777777" w:rsidR="00F52AA0" w:rsidRDefault="00F52AA0" w:rsidP="002C4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F8F3" w14:textId="769ACA9B" w:rsidR="007F3D50" w:rsidRPr="00DC5A51" w:rsidRDefault="00C617DD" w:rsidP="00937F83">
    <w:pPr>
      <w:tabs>
        <w:tab w:val="center" w:pos="4320"/>
        <w:tab w:val="right" w:pos="8640"/>
      </w:tabs>
      <w:spacing w:after="0" w:line="240" w:lineRule="auto"/>
      <w:rPr>
        <w:rFonts w:ascii="Times New Roman" w:eastAsia="Times New Roman" w:hAnsi="Times New Roman" w:cs="Times New Roman"/>
        <w:i/>
        <w:iCs/>
        <w:sz w:val="20"/>
        <w:szCs w:val="20"/>
      </w:rPr>
    </w:pPr>
    <w:proofErr w:type="spellStart"/>
    <w:r>
      <w:rPr>
        <w:rFonts w:ascii="Times New Roman" w:eastAsia="Times New Roman" w:hAnsi="Times New Roman" w:cs="Times New Roman"/>
        <w:i/>
        <w:iCs/>
        <w:sz w:val="20"/>
        <w:szCs w:val="20"/>
      </w:rPr>
      <w:t>Dudhatra</w:t>
    </w:r>
    <w:proofErr w:type="spellEnd"/>
    <w:r>
      <w:rPr>
        <w:rFonts w:ascii="Times New Roman" w:eastAsia="Times New Roman" w:hAnsi="Times New Roman" w:cs="Times New Roman"/>
        <w:i/>
        <w:iCs/>
        <w:sz w:val="20"/>
        <w:szCs w:val="20"/>
      </w:rPr>
      <w:t xml:space="preserve"> K </w:t>
    </w:r>
    <w:r w:rsidRPr="00DC5A51">
      <w:rPr>
        <w:rFonts w:ascii="Times New Roman" w:eastAsia="Times New Roman" w:hAnsi="Times New Roman" w:cs="Times New Roman"/>
        <w:i/>
        <w:iCs/>
        <w:sz w:val="20"/>
        <w:szCs w:val="20"/>
      </w:rPr>
      <w:t>et al. GAIMS J M</w:t>
    </w:r>
    <w:r>
      <w:rPr>
        <w:rFonts w:ascii="Times New Roman" w:eastAsia="Times New Roman" w:hAnsi="Times New Roman" w:cs="Times New Roman"/>
        <w:i/>
        <w:iCs/>
        <w:sz w:val="20"/>
        <w:szCs w:val="20"/>
      </w:rPr>
      <w:t>ed Sci 20</w:t>
    </w:r>
    <w:r w:rsidR="007F3D50">
      <w:rPr>
        <w:rFonts w:ascii="Times New Roman" w:eastAsia="Times New Roman" w:hAnsi="Times New Roman" w:cs="Times New Roman"/>
        <w:i/>
        <w:iCs/>
        <w:sz w:val="20"/>
        <w:szCs w:val="20"/>
      </w:rPr>
      <w:t>27</w:t>
    </w:r>
    <w:r>
      <w:rPr>
        <w:rFonts w:ascii="Times New Roman" w:eastAsia="Times New Roman" w:hAnsi="Times New Roman" w:cs="Times New Roman"/>
        <w:i/>
        <w:iCs/>
        <w:sz w:val="20"/>
        <w:szCs w:val="20"/>
      </w:rPr>
      <w:t>;</w:t>
    </w:r>
    <w:r w:rsidR="007F3D50">
      <w:rPr>
        <w:rFonts w:ascii="Times New Roman" w:eastAsia="Times New Roman" w:hAnsi="Times New Roman" w:cs="Times New Roman"/>
        <w:i/>
        <w:iCs/>
        <w:sz w:val="20"/>
        <w:szCs w:val="20"/>
      </w:rPr>
      <w:t>7</w:t>
    </w:r>
    <w:r>
      <w:rPr>
        <w:rFonts w:ascii="Times New Roman" w:eastAsia="Times New Roman" w:hAnsi="Times New Roman" w:cs="Times New Roman"/>
        <w:i/>
        <w:iCs/>
        <w:sz w:val="20"/>
        <w:szCs w:val="20"/>
      </w:rPr>
      <w:t>(</w:t>
    </w:r>
    <w:r w:rsidR="007F3D50">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 (</w:t>
    </w:r>
    <w:r w:rsidR="007F3D50">
      <w:rPr>
        <w:rFonts w:ascii="Times New Roman" w:eastAsia="Times New Roman" w:hAnsi="Times New Roman" w:cs="Times New Roman"/>
        <w:i/>
        <w:iCs/>
        <w:sz w:val="20"/>
        <w:szCs w:val="20"/>
      </w:rPr>
      <w:t>Jan</w:t>
    </w:r>
    <w:r>
      <w:rPr>
        <w:rFonts w:ascii="Times New Roman" w:eastAsia="Times New Roman" w:hAnsi="Times New Roman" w:cs="Times New Roman"/>
        <w:i/>
        <w:iCs/>
        <w:sz w:val="20"/>
        <w:szCs w:val="20"/>
      </w:rPr>
      <w:t>-</w:t>
    </w:r>
    <w:r w:rsidR="007F3D50">
      <w:rPr>
        <w:rFonts w:ascii="Times New Roman" w:eastAsia="Times New Roman" w:hAnsi="Times New Roman" w:cs="Times New Roman"/>
        <w:i/>
        <w:iCs/>
        <w:sz w:val="20"/>
        <w:szCs w:val="20"/>
      </w:rPr>
      <w:t>Jun</w:t>
    </w:r>
    <w:r>
      <w:rPr>
        <w:rFonts w:ascii="Times New Roman" w:eastAsia="Times New Roman" w:hAnsi="Times New Roman" w:cs="Times New Roman"/>
        <w:i/>
        <w:iCs/>
        <w:sz w:val="20"/>
        <w:szCs w:val="20"/>
      </w:rPr>
      <w:t>):</w:t>
    </w:r>
    <w:r w:rsidR="007F3D50">
      <w:rPr>
        <w:rFonts w:ascii="Times New Roman" w:eastAsia="Times New Roman" w:hAnsi="Times New Roman" w:cs="Times New Roman"/>
        <w:i/>
        <w:iCs/>
        <w:sz w:val="20"/>
        <w:szCs w:val="20"/>
      </w:rPr>
      <w:t>33</w:t>
    </w:r>
    <w:r>
      <w:rPr>
        <w:rFonts w:ascii="Times New Roman" w:eastAsia="Times New Roman" w:hAnsi="Times New Roman" w:cs="Times New Roman"/>
        <w:i/>
        <w:iCs/>
        <w:sz w:val="20"/>
        <w:szCs w:val="20"/>
      </w:rPr>
      <w:t>-</w:t>
    </w:r>
    <w:r w:rsidR="007F3D50">
      <w:rPr>
        <w:rFonts w:ascii="Times New Roman" w:eastAsia="Times New Roman" w:hAnsi="Times New Roman" w:cs="Times New Roman"/>
        <w:i/>
        <w:iCs/>
        <w:sz w:val="20"/>
        <w:szCs w:val="20"/>
      </w:rPr>
      <w:t>4</w:t>
    </w:r>
    <w:r w:rsidR="00216B16">
      <w:rPr>
        <w:rFonts w:ascii="Times New Roman" w:eastAsia="Times New Roman" w:hAnsi="Times New Roman" w:cs="Times New Roman"/>
        <w:i/>
        <w:iCs/>
        <w:sz w:val="20"/>
        <w:szCs w:val="20"/>
      </w:rPr>
      <w:t>1</w:t>
    </w:r>
  </w:p>
  <w:p w14:paraId="556858E5" w14:textId="77777777" w:rsidR="00C617DD" w:rsidRDefault="00C617DD" w:rsidP="00937F83">
    <w:pPr>
      <w:pStyle w:val="Header"/>
    </w:pPr>
    <w:r w:rsidRPr="00DC5A51">
      <w:rPr>
        <w:rFonts w:ascii="Times New Roman" w:eastAsia="Times New Roman" w:hAnsi="Times New Roman" w:cs="Times New Roman"/>
        <w:i/>
        <w:iCs/>
        <w:sz w:val="20"/>
        <w:szCs w:val="20"/>
      </w:rPr>
      <w:t>Online ISSN: 2583-1763</w:t>
    </w:r>
  </w:p>
  <w:p w14:paraId="1F272222" w14:textId="77777777" w:rsidR="00C617DD" w:rsidRDefault="00C617DD">
    <w:pPr>
      <w:pStyle w:val="Header"/>
    </w:pPr>
  </w:p>
  <w:p w14:paraId="3B553D21" w14:textId="77777777" w:rsidR="00C617DD" w:rsidRDefault="00C617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F22C" w14:textId="41880EB1" w:rsidR="004640BB" w:rsidRPr="00DC5A51" w:rsidRDefault="004640BB" w:rsidP="004640BB">
    <w:pPr>
      <w:tabs>
        <w:tab w:val="center" w:pos="4320"/>
        <w:tab w:val="right" w:pos="8640"/>
      </w:tabs>
      <w:spacing w:after="0" w:line="240" w:lineRule="auto"/>
      <w:rPr>
        <w:rFonts w:ascii="Times New Roman" w:eastAsia="Times New Roman" w:hAnsi="Times New Roman" w:cs="Times New Roman"/>
        <w:i/>
        <w:iCs/>
        <w:sz w:val="20"/>
        <w:szCs w:val="20"/>
      </w:rPr>
    </w:pPr>
    <w:proofErr w:type="spellStart"/>
    <w:r>
      <w:rPr>
        <w:rFonts w:ascii="Times New Roman" w:eastAsia="Times New Roman" w:hAnsi="Times New Roman" w:cs="Times New Roman"/>
        <w:i/>
        <w:iCs/>
        <w:sz w:val="20"/>
        <w:szCs w:val="20"/>
      </w:rPr>
      <w:t>Dudhatra</w:t>
    </w:r>
    <w:proofErr w:type="spellEnd"/>
    <w:r>
      <w:rPr>
        <w:rFonts w:ascii="Times New Roman" w:eastAsia="Times New Roman" w:hAnsi="Times New Roman" w:cs="Times New Roman"/>
        <w:i/>
        <w:iCs/>
        <w:sz w:val="20"/>
        <w:szCs w:val="20"/>
      </w:rPr>
      <w:t xml:space="preserve"> K </w:t>
    </w:r>
    <w:r w:rsidRPr="00DC5A51">
      <w:rPr>
        <w:rFonts w:ascii="Times New Roman" w:eastAsia="Times New Roman" w:hAnsi="Times New Roman" w:cs="Times New Roman"/>
        <w:i/>
        <w:iCs/>
        <w:sz w:val="20"/>
        <w:szCs w:val="20"/>
      </w:rPr>
      <w:t>et al. GAIMS J M</w:t>
    </w:r>
    <w:r>
      <w:rPr>
        <w:rFonts w:ascii="Times New Roman" w:eastAsia="Times New Roman" w:hAnsi="Times New Roman" w:cs="Times New Roman"/>
        <w:i/>
        <w:iCs/>
        <w:sz w:val="20"/>
        <w:szCs w:val="20"/>
      </w:rPr>
      <w:t>ed Sci 2027;7(1) (Jan-Jun):33-4</w:t>
    </w:r>
    <w:r w:rsidR="00474254">
      <w:rPr>
        <w:rFonts w:ascii="Times New Roman" w:eastAsia="Times New Roman" w:hAnsi="Times New Roman" w:cs="Times New Roman"/>
        <w:i/>
        <w:iCs/>
        <w:sz w:val="20"/>
        <w:szCs w:val="20"/>
      </w:rPr>
      <w:t>1</w:t>
    </w:r>
  </w:p>
  <w:p w14:paraId="433969FC" w14:textId="77777777" w:rsidR="004640BB" w:rsidRDefault="004640BB" w:rsidP="004640BB">
    <w:pPr>
      <w:pStyle w:val="Header"/>
    </w:pPr>
    <w:r w:rsidRPr="00DC5A51">
      <w:rPr>
        <w:rFonts w:ascii="Times New Roman" w:eastAsia="Times New Roman" w:hAnsi="Times New Roman" w:cs="Times New Roman"/>
        <w:i/>
        <w:iCs/>
        <w:sz w:val="20"/>
        <w:szCs w:val="20"/>
      </w:rPr>
      <w:t>Online ISSN: 2583-1763</w:t>
    </w:r>
  </w:p>
  <w:p w14:paraId="0CA3C6E3" w14:textId="77777777" w:rsidR="002C4335" w:rsidRDefault="002C4335">
    <w:pPr>
      <w:pStyle w:val="Header"/>
    </w:pPr>
  </w:p>
  <w:p w14:paraId="021199E2" w14:textId="77777777" w:rsidR="002C4335" w:rsidRDefault="002C43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B022C"/>
    <w:multiLevelType w:val="hybridMultilevel"/>
    <w:tmpl w:val="03B221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5914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335"/>
    <w:rsid w:val="000C5C8D"/>
    <w:rsid w:val="0012458B"/>
    <w:rsid w:val="00171378"/>
    <w:rsid w:val="001B696B"/>
    <w:rsid w:val="00216B16"/>
    <w:rsid w:val="002A0EFF"/>
    <w:rsid w:val="002C4335"/>
    <w:rsid w:val="002C6F54"/>
    <w:rsid w:val="00307F04"/>
    <w:rsid w:val="0031066D"/>
    <w:rsid w:val="00362CFD"/>
    <w:rsid w:val="00373704"/>
    <w:rsid w:val="00443944"/>
    <w:rsid w:val="004640BB"/>
    <w:rsid w:val="00474254"/>
    <w:rsid w:val="004A2FAA"/>
    <w:rsid w:val="004B0781"/>
    <w:rsid w:val="005739FE"/>
    <w:rsid w:val="006708EF"/>
    <w:rsid w:val="006825CC"/>
    <w:rsid w:val="00694ED9"/>
    <w:rsid w:val="007F3D50"/>
    <w:rsid w:val="008003C6"/>
    <w:rsid w:val="00844A94"/>
    <w:rsid w:val="00852B2A"/>
    <w:rsid w:val="00964073"/>
    <w:rsid w:val="00964DBC"/>
    <w:rsid w:val="009B22D0"/>
    <w:rsid w:val="00A4679D"/>
    <w:rsid w:val="00A613C9"/>
    <w:rsid w:val="00AE0BCB"/>
    <w:rsid w:val="00B2482C"/>
    <w:rsid w:val="00B870EC"/>
    <w:rsid w:val="00C214C9"/>
    <w:rsid w:val="00C33E56"/>
    <w:rsid w:val="00C617DD"/>
    <w:rsid w:val="00C90EFC"/>
    <w:rsid w:val="00CF1031"/>
    <w:rsid w:val="00DB4C66"/>
    <w:rsid w:val="00DE17F9"/>
    <w:rsid w:val="00F01C6A"/>
    <w:rsid w:val="00F36B8D"/>
    <w:rsid w:val="00F37439"/>
    <w:rsid w:val="00F52AA0"/>
    <w:rsid w:val="00F97634"/>
    <w:rsid w:val="00FD0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7A5C"/>
  <w15:chartTrackingRefBased/>
  <w15:docId w15:val="{5B66CB78-DAEB-4072-A591-78EE58C24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335"/>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43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335"/>
    <w:rPr>
      <w:rFonts w:eastAsiaTheme="minorEastAsia"/>
    </w:rPr>
  </w:style>
  <w:style w:type="paragraph" w:styleId="Footer">
    <w:name w:val="footer"/>
    <w:basedOn w:val="Normal"/>
    <w:link w:val="FooterChar"/>
    <w:uiPriority w:val="99"/>
    <w:unhideWhenUsed/>
    <w:rsid w:val="002C43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335"/>
    <w:rPr>
      <w:rFonts w:eastAsiaTheme="minorEastAsia"/>
    </w:rPr>
  </w:style>
  <w:style w:type="character" w:styleId="Hyperlink">
    <w:name w:val="Hyperlink"/>
    <w:basedOn w:val="DefaultParagraphFont"/>
    <w:uiPriority w:val="99"/>
    <w:unhideWhenUsed/>
    <w:rsid w:val="002C4335"/>
    <w:rPr>
      <w:color w:val="0563C1" w:themeColor="hyperlink"/>
      <w:u w:val="single"/>
    </w:rPr>
  </w:style>
  <w:style w:type="paragraph" w:styleId="NoSpacing">
    <w:name w:val="No Spacing"/>
    <w:uiPriority w:val="1"/>
    <w:qFormat/>
    <w:rsid w:val="00DE17F9"/>
    <w:pPr>
      <w:spacing w:after="0" w:line="240" w:lineRule="auto"/>
    </w:pPr>
    <w:rPr>
      <w:rFonts w:eastAsiaTheme="minorEastAsia"/>
    </w:rPr>
  </w:style>
  <w:style w:type="paragraph" w:styleId="ListParagraph">
    <w:name w:val="List Paragraph"/>
    <w:basedOn w:val="Normal"/>
    <w:uiPriority w:val="34"/>
    <w:qFormat/>
    <w:rsid w:val="00DB4C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juishah13@gmail.com" TargetMode="Externa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9</Pages>
  <Words>3041</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Parekh</dc:creator>
  <cp:keywords/>
  <dc:description/>
  <cp:lastModifiedBy>shilpa hirani</cp:lastModifiedBy>
  <cp:revision>25</cp:revision>
  <cp:lastPrinted>2026-10-17T04:16:00Z</cp:lastPrinted>
  <dcterms:created xsi:type="dcterms:W3CDTF">2026-09-30T04:17:00Z</dcterms:created>
  <dcterms:modified xsi:type="dcterms:W3CDTF">2026-10-19T09:57:00Z</dcterms:modified>
</cp:coreProperties>
</file>