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00"/>
      </w:pPr>
      <w:r>
        <w:rPr>
          <w:b/>
          <w:sz w:val="36"/>
          <w:color w:val="013BB3"/>
        </w:rPr>
        <w:t xml:space="preserve">EXPORT PACKING LIST</w:t>
      </w:r>
    </w:p>
    <w:p>
      <w:pPr>
        <w:jc w:val="center"/>
        <w:spacing w:after="100"/>
      </w:pPr>
      <w:r>
        <w:rPr>
          <w:b/>
          <w:sz w:val="18"/>
          <w:color w:val="D40505"/>
        </w:rPr>
        <w:t xml:space="preserve">Prepared with GainingDocx</w:t>
      </w:r>
    </w:p>
    <w:p>
      <w:pPr>
        <w:jc w:val="left"/>
        <w:spacing w:after="100"/>
      </w:pPr>
      <w:r>
        <w:rPr>
          <w:b/>
          <w:sz w:val="18"/>
          <w:color w:val="D40505"/>
        </w:rPr>
        <w:t xml:space="preserve">Package counts, marks, weights and dimensions must match the physically packed cargo and the commercial invoice.</w:t>
      </w:r>
    </w:p>
    <w:p>
      <w:pPr>
        <w:jc w:val="left"/>
        <w:spacing w:after="100"/>
      </w:pPr>
      <w:r>
        <w:rPr>
          <w:b/>
          <w:sz w:val="22"/>
          <w:color w:val="013BB3"/>
        </w:rPr>
        <w:t xml:space="preserve">DOCUMENT PARTICULARS</w:t>
      </w:r>
    </w:p>
    <w:tbl>
      <w:tblPr>
        <w:tblW w:w="0" w:type="auto"/>
        <w:tblBorders>
          <w:top w:val="single" w:sz="4" w:color="AAB8CC"/>
          <w:left w:val="single" w:sz="4" w:color="AAB8CC"/>
          <w:bottom w:val="single" w:sz="4" w:color="AAB8CC"/>
          <w:right w:val="single" w:sz="4" w:color="AAB8CC"/>
          <w:insideH w:val="single" w:sz="4" w:color="D4DDEA"/>
          <w:insideV w:val="single" w:sz="4" w:color="D4DDEA"/>
        </w:tblBorders>
      </w:tblPr>
      <w:tblGrid>
        <w:gridCol w:w="4200"/>
        <w:gridCol w:w="6300"/>
      </w:tblGrid>
      <w:tr>
        <w:tc>
          <w:tcPr>
            <w:tcW w:w="42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FIELD</w:t>
            </w:r>
          </w:p>
        </w:tc>
        <w:tc>
          <w:tcPr>
            <w:tcW w:w="63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ENTER / VERIFY VALUE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Packing list number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Packing list date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Commercial invoice number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Purchase order / contract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Seller / exporter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Buyer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Consignee / ship-to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Mode of transport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Carrier / vessel / voyage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Port of loading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Port of discharge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Container number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Seal number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Packing / handling notes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Prepared by / signature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</w:tbl>
    <w:p>
      <w:r>
        <w:br w:type="page"/>
      </w:r>
    </w:p>
    <w:p>
      <w:pPr>
        <w:jc w:val="left"/>
        <w:spacing w:after="100"/>
      </w:pPr>
      <w:r>
        <w:rPr>
          <w:b/>
          <w:sz w:val="22"/>
          <w:color w:val="013BB3"/>
        </w:rPr>
        <w:t xml:space="preserve">LINES / EQUIPMENT DETAILS</w:t>
      </w:r>
    </w:p>
    <w:tbl>
      <w:tblPr>
        <w:tblW w:w="0" w:type="auto"/>
        <w:tblBorders>
          <w:top w:val="single" w:sz="4" w:color="AAB8CC"/>
          <w:left w:val="single" w:sz="4" w:color="AAB8CC"/>
          <w:bottom w:val="single" w:sz="4" w:color="AAB8CC"/>
          <w:right w:val="single" w:sz="4" w:color="AAB8CC"/>
          <w:insideH w:val="single" w:sz="4" w:color="D4DDEA"/>
          <w:insideV w:val="single" w:sz="4" w:color="D4DDEA"/>
        </w:tblBorders>
      </w:tblPr>
      <w:tblGrid>
        <w:gridCol w:w="725"/>
        <w:gridCol w:w="725"/>
        <w:gridCol w:w="725"/>
        <w:gridCol w:w="1800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</w:tblGrid>
      <w:tr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Marks &amp; package nos.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Package type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Packages</w:t>
            </w:r>
          </w:p>
        </w:tc>
        <w:tc>
          <w:tcPr>
            <w:tcW w:w="18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Contents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SKU / part no.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HS code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Item quantity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Net kg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Gross kg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Length cm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Width cm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Height cm</w:t>
            </w:r>
          </w:p>
        </w:tc>
        <w:tc>
          <w:tcPr>
            <w:tcW w:w="725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CBM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725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</w:tbl>
    <w:p>
      <w:pPr>
        <w:jc w:val="left"/>
        <w:spacing w:after="100"/>
      </w:pPr>
      <w:r>
        <w:rPr>
          <w:sz w:val="16"/>
          <w:color w:val="566273"/>
        </w:rPr>
        <w:t xml:space="preserve">Review, authorize and retain supporting commercial, carrier and customs records before operational use.</w:t>
      </w:r>
    </w:p>
    <w:sectPr>
      <w:pgSz w:w="11906" w:h="16838"/>
      <w:pgMar w:top="720" w:right="540" w:bottom="720" w:left="5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GainingDocx</Application>
</Properties>
</file>

<file path=docProps/core.xml><?xml version="1.0" encoding="utf-8"?>
<cp:coreProperties xmlns:cp="http://schemas.openxmlformats.org/package/2006/metadata/core-properties" xmlns:dc="http://purl.org/dc/elements/1.1/">
  <dc:title>EXPORT PACKING LIST</dc:title>
  <dc:creator>GainingDocx</dc:creator>
</cp:coreProperties>
</file>