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1">
      <w:pPr>
        <w:pStyle w:val="Subtitle"/>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4">
      <w:pPr>
        <w:pStyle w:val="Heading2"/>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5">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6">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7">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8">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D">
      <w:pP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E">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1">
      <w:pPr>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6">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9">
      <w:pPr>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6">
      <w:pPr>
        <w:pStyle w:val="Heading1"/>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9">
      <w:pPr>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3F">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Style w:val="Heading1"/>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5F">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0">
      <w:pPr>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5">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6">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Style w:val="Heading1"/>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7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1">
      <w:pPr>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6">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A">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Style w:val="Heading1"/>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A">
      <w:pPr>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Open Sans" w:cs="Open Sans" w:eastAsia="Open Sans" w:hAnsi="Open Sans"/>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0">
      <w:pPr>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pStyle w:val="Heading2"/>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2">
      <w:pPr>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Style w:val="Heading3"/>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