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A7FE0" w14:textId="77777777" w:rsidR="00000000" w:rsidRDefault="00C21795" w:rsidP="00C21795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0C18A046" w14:textId="77777777" w:rsidR="00000000" w:rsidRDefault="00C2179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Адильриза Кисым</w:t>
      </w:r>
    </w:p>
    <w:p w14:paraId="27C9667D" w14:textId="77777777" w:rsidR="00000000" w:rsidRDefault="00C2179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Strong Middle</w:t>
      </w:r>
    </w:p>
    <w:p w14:paraId="746D80B4" w14:textId="77777777" w:rsidR="00000000" w:rsidRDefault="00C2179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27EF7B8B" w14:textId="77777777" w:rsidR="00000000" w:rsidRDefault="00C2179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Crocos Systems (2 г. 5 мес.): проектный менеджер с аналитическими задачами. Интеграции с Digital ID и через SmartBridge (REST API, Swagger, SQL), PRD и функциональные спецификации, UAT. Портфель из 10 госпроектов (Минобороны, Минсельхоз и др.).</w:t>
      </w:r>
    </w:p>
    <w:p w14:paraId="29634A9B" w14:textId="77777777" w:rsidR="00000000" w:rsidRDefault="00C2179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Транстелеко</w:t>
      </w:r>
      <w:r>
        <w:rPr>
          <w:rFonts w:ascii="Calibri" w:eastAsia="Times New Roman" w:hAnsi="Calibri" w:cs="Calibri"/>
          <w:color w:val="1F1F1F"/>
          <w:sz w:val="22"/>
          <w:szCs w:val="22"/>
        </w:rPr>
        <w:t>м (1 г. 5 мес.): AS-IS/TO-BE IT-ландшафта, целевая интеграционная архитектура на базе API-шлюза, функциональные и нефункциональные требования, BPMN, GAP-анализ.</w:t>
      </w:r>
    </w:p>
    <w:p w14:paraId="6131DE3E" w14:textId="77777777" w:rsidR="00000000" w:rsidRDefault="00C2179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5127EABB" w14:textId="77777777" w:rsidR="00000000" w:rsidRDefault="00C21795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Видит архитектуру на уровне ландшафта и интеграций.</w:t>
      </w:r>
    </w:p>
    <w:p w14:paraId="0364EB98" w14:textId="77777777" w:rsidR="00000000" w:rsidRDefault="00C21795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Опыт госпроектов и работы </w:t>
      </w:r>
      <w:r>
        <w:rPr>
          <w:rFonts w:ascii="Calibri" w:eastAsia="Times New Roman" w:hAnsi="Calibri" w:cs="Calibri"/>
          <w:color w:val="1F1F1F"/>
          <w:sz w:val="22"/>
          <w:szCs w:val="22"/>
        </w:rPr>
        <w:t>с заказчиком.</w:t>
      </w:r>
    </w:p>
    <w:p w14:paraId="51AEC9A9" w14:textId="77777777" w:rsidR="00000000" w:rsidRDefault="00C21795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Английский C1, понимает весь жизненный цикл разработки.</w:t>
      </w:r>
    </w:p>
    <w:p w14:paraId="397B2F03" w14:textId="77777777" w:rsidR="00000000" w:rsidRDefault="00C2179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45C75F08" w14:textId="77777777" w:rsidR="00000000" w:rsidRDefault="00C21795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Все позиции названы «проектный менеджер». Доля аналитической работы относительно управления неясна.</w:t>
      </w:r>
    </w:p>
    <w:p w14:paraId="0C9580B0" w14:textId="77777777" w:rsidR="00000000" w:rsidRDefault="00C21795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Заметная часть опыта связана с аудитом, рисками (COSO, ISO) и PMO, а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с аналитикой.</w:t>
      </w:r>
    </w:p>
    <w:p w14:paraId="5E769E0D" w14:textId="77777777" w:rsidR="00000000" w:rsidRDefault="00C21795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Нет подтверждения самостоятельной детальной проработки спецификаций.</w:t>
      </w:r>
    </w:p>
    <w:p w14:paraId="079A48D2" w14:textId="77777777" w:rsidR="00000000" w:rsidRDefault="00C2179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Под вопросом</w:t>
      </w:r>
    </w:p>
    <w:p w14:paraId="44E84993" w14:textId="77777777" w:rsidR="00000000" w:rsidRDefault="00C2179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Сильный гибрид PM и аналитика с интеграционным мышлением. Для Senior аналитика нужно подтвердить глубину практиче</w:t>
      </w:r>
      <w:r>
        <w:rPr>
          <w:rFonts w:ascii="Calibri" w:hAnsi="Calibri" w:cs="Calibri"/>
          <w:color w:val="1F1F1F"/>
          <w:sz w:val="22"/>
          <w:szCs w:val="22"/>
        </w:rPr>
        <w:t>ской аналитической работы.</w:t>
      </w:r>
    </w:p>
    <w:sectPr w:rsidR="00000000" w:rsidSect="00C21795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72331E"/>
    <w:multiLevelType w:val="multilevel"/>
    <w:tmpl w:val="61DE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C3F35"/>
    <w:multiLevelType w:val="multilevel"/>
    <w:tmpl w:val="156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1628D"/>
    <w:multiLevelType w:val="multilevel"/>
    <w:tmpl w:val="F4D0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95"/>
    <w:rsid w:val="00C2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E9C4A3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