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8FC48" w14:textId="77777777" w:rsidR="00000000" w:rsidRDefault="00A77FC0" w:rsidP="00A77FC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10433BFD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Бекмагамбетов Болат Нуралыевич</w:t>
      </w:r>
    </w:p>
    <w:p w14:paraId="7E61069D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6B47AD98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37DB8419" w14:textId="77777777" w:rsidR="00000000" w:rsidRDefault="00A77FC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Home Credit Bank (2 года): старший системный аналитик. BRD/FSD, AS-IS/TO-BE, участие в проектировании архитектуры, BPMN/UML, UAT, бэклог.</w:t>
      </w:r>
    </w:p>
    <w:p w14:paraId="7B6791DD" w14:textId="77777777" w:rsidR="00000000" w:rsidRDefault="00A77FC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One Technologies (около 1,5 года): ведущий аналитик. Мобильный банкинг, REST/SOAP, PL/SQL, микросервисы, Postman/Swagg</w:t>
      </w:r>
      <w:r>
        <w:rPr>
          <w:rFonts w:ascii="Calibri" w:eastAsia="Times New Roman" w:hAnsi="Calibri" w:cs="Calibri"/>
          <w:color w:val="1F1F1F"/>
          <w:sz w:val="22"/>
          <w:szCs w:val="22"/>
        </w:rPr>
        <w:t>er, Jira/Confluence.</w:t>
      </w:r>
    </w:p>
    <w:p w14:paraId="4F53C2DF" w14:textId="77777777" w:rsidR="00000000" w:rsidRDefault="00A77FC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управленческий опыт: директор IT-департамента (ITIL), Chief PM в Astana Hub, аналитик в НИТ.</w:t>
      </w:r>
    </w:p>
    <w:p w14:paraId="5B67BAF4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357C0998" w14:textId="77777777" w:rsidR="00000000" w:rsidRDefault="00A77FC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Банковский домен, полный цикл от требований до промышленного запуска.</w:t>
      </w:r>
    </w:p>
    <w:p w14:paraId="7288D5B8" w14:textId="77777777" w:rsidR="00000000" w:rsidRDefault="00A77FC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Понимает архитектуру, интеграции и процессы управл</w:t>
      </w:r>
      <w:r>
        <w:rPr>
          <w:rFonts w:ascii="Calibri" w:eastAsia="Times New Roman" w:hAnsi="Calibri" w:cs="Calibri"/>
          <w:color w:val="1F1F1F"/>
          <w:sz w:val="22"/>
          <w:szCs w:val="22"/>
        </w:rPr>
        <w:t>ения IT.</w:t>
      </w:r>
    </w:p>
    <w:p w14:paraId="067BFB51" w14:textId="77777777" w:rsidR="00000000" w:rsidRDefault="00A77FC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руководства командой и работы со стейкхолдерами.</w:t>
      </w:r>
    </w:p>
    <w:p w14:paraId="5D65157C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09F625B2" w14:textId="77777777" w:rsidR="00000000" w:rsidRDefault="00A77FC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Обязанности описаны общими формулировками, без конкретных кейсов и масштаба.</w:t>
      </w:r>
    </w:p>
    <w:p w14:paraId="4310C381" w14:textId="77777777" w:rsidR="00000000" w:rsidRDefault="00A77FC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Карьера чередует аналитику, продукт и управление. Целевая должность в резюме: «Руководитель проекто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в».</w:t>
      </w:r>
    </w:p>
    <w:p w14:paraId="7528FB49" w14:textId="77777777" w:rsidR="00000000" w:rsidRDefault="00A77FC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 августа 2026 года не работает.</w:t>
      </w:r>
    </w:p>
    <w:p w14:paraId="403D0E0A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Стоит рассматривать</w:t>
      </w:r>
    </w:p>
    <w:p w14:paraId="01506C7B" w14:textId="77777777" w:rsidR="00000000" w:rsidRDefault="00A77FC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По опыту и стеку соответствует Senior, есть банковская специфика. Нужно подтвердить реальную глубину аналитической работы и мотивацию работать именно анали</w:t>
      </w:r>
      <w:r>
        <w:rPr>
          <w:rFonts w:ascii="Calibri" w:hAnsi="Calibri" w:cs="Calibri"/>
          <w:color w:val="1F1F1F"/>
          <w:sz w:val="22"/>
          <w:szCs w:val="22"/>
        </w:rPr>
        <w:t>тиком.</w:t>
      </w:r>
    </w:p>
    <w:sectPr w:rsidR="00000000" w:rsidSect="00A77FC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F4DA6"/>
    <w:multiLevelType w:val="multilevel"/>
    <w:tmpl w:val="20E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92226"/>
    <w:multiLevelType w:val="multilevel"/>
    <w:tmpl w:val="6B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F3F37"/>
    <w:multiLevelType w:val="multilevel"/>
    <w:tmpl w:val="DE5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C0"/>
    <w:rsid w:val="00A7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8EDC41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