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564616" w:rsidP="00564616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:rsidR="00000000" w:rsidRDefault="0056461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Kussainov Darkhan. Первичный вывод: «Под вопросом», Strong Middle.</w:t>
      </w:r>
    </w:p>
    <w:p w:rsidR="00000000" w:rsidRDefault="00564616" w:rsidP="0056461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:rsidR="00000000" w:rsidRDefault="00564616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опирается на сильную сторону: данные, перенос из legacy-системы, миграции. Исторические данные иной структуры — прямая задача проекта.</w:t>
      </w:r>
    </w:p>
    <w:p w:rsidR="00000000" w:rsidRDefault="00564616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закрывает сомнение: чистого опыта системного аналитика около 1,5 года, проектирование API и интеграционных спецификац</w:t>
      </w:r>
      <w:r>
        <w:rPr>
          <w:rFonts w:ascii="Calibri" w:eastAsia="Times New Roman" w:hAnsi="Calibri" w:cs="Calibri"/>
          <w:color w:val="1F1F1F"/>
          <w:sz w:val="22"/>
          <w:szCs w:val="22"/>
        </w:rPr>
        <w:t>ий в резюме не показано.</w:t>
      </w:r>
    </w:p>
    <w:p w:rsidR="00000000" w:rsidRDefault="00564616" w:rsidP="0056461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:rsidR="00000000" w:rsidRDefault="0056461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Миграция и трансформация данных, требования к качеству данных, роль экспертов, интеграционная спецификация, описание API.</w:t>
      </w:r>
    </w:p>
    <w:p w:rsidR="00000000" w:rsidRDefault="00564616" w:rsidP="0056461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:rsidR="00000000" w:rsidRDefault="00564616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опыт в данных переносится в системный анализ</w:t>
      </w:r>
      <w:r>
        <w:rPr>
          <w:rFonts w:ascii="Calibri" w:eastAsia="Times New Roman" w:hAnsi="Calibri" w:cs="Calibri"/>
          <w:color w:val="1F1F1F"/>
          <w:sz w:val="22"/>
          <w:szCs w:val="22"/>
        </w:rPr>
        <w:t>, а не остаётся отчётностью.</w:t>
      </w:r>
    </w:p>
    <w:p w:rsidR="00000000" w:rsidRDefault="00564616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Базовую интеграционную грамотность.</w:t>
      </w:r>
    </w:p>
    <w:p w:rsidR="00000000" w:rsidRDefault="00564616" w:rsidP="0056461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:rsidR="00000000" w:rsidRDefault="00564616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 6.1: инвентаризация источников, профилирование данных, таблица соответствия, правила преобразования, утверждение экспертами, сверка (количество, контрольные суммы, </w:t>
      </w:r>
      <w:r>
        <w:rPr>
          <w:rFonts w:ascii="Calibri" w:eastAsia="Times New Roman" w:hAnsi="Calibri" w:cs="Calibri"/>
          <w:color w:val="1F1F1F"/>
          <w:sz w:val="22"/>
          <w:szCs w:val="22"/>
        </w:rPr>
        <w:t>выборочная проверка), обработка неоднозначных данных (карантин, ручная проверка), пометка происхождения.</w:t>
      </w:r>
    </w:p>
    <w:p w:rsidR="00000000" w:rsidRDefault="00564616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 6.2: аутентификация, формат, параметры, ответы, ошибки, ограничения, идемпотентность, версия, тестовый контур. Тревожный сигнал — только «эндпоинт и </w:t>
      </w:r>
      <w:r>
        <w:rPr>
          <w:rFonts w:ascii="Calibri" w:eastAsia="Times New Roman" w:hAnsi="Calibri" w:cs="Calibri"/>
          <w:color w:val="1F1F1F"/>
          <w:sz w:val="22"/>
          <w:szCs w:val="22"/>
        </w:rPr>
        <w:t>JSON».</w:t>
      </w:r>
    </w:p>
    <w:sectPr w:rsidR="00000000" w:rsidSect="00564616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0B9F"/>
    <w:multiLevelType w:val="multilevel"/>
    <w:tmpl w:val="054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37AFC"/>
    <w:multiLevelType w:val="multilevel"/>
    <w:tmpl w:val="B14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57E6C"/>
    <w:multiLevelType w:val="multilevel"/>
    <w:tmpl w:val="7D58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16"/>
    <w:rsid w:val="0056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