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p14">
  <w:body>
    <w:p>
      <w:pPr>
        <w:spacing w:before="260" w:after="260" w:line="276" w:lineRule="auto"/>
      </w:pPr>
      <w:r>
        <w:rPr>
          <w:rFonts w:ascii="Times New Roman" w:hAnsi="Times New Roman" w:eastAsia="Times New Roman" w:cs="Times New Roman"/>
          <w:sz w:val="22"/>
          <w:szCs w:val="22"/>
        </w:rPr>
      </w:r>
    </w:p>
    <w:p>
      <w:pPr>
        <w:spacing w:before="520" w:after="110" w:line="276" w:lineRule="auto"/>
        <w:jc w:val="center"/>
      </w:pPr>
      <w:r>
        <w:rPr>
          <w:rFonts w:ascii="Times New Roman" w:hAnsi="Times New Roman" w:eastAsia="Times New Roman" w:cs="Times New Roman"/>
          <w:b/>
          <w:bCs/>
          <w:color w:val="1F4D78"/>
          <w:sz w:val="64"/>
          <w:szCs w:val="64"/>
        </w:rPr>
        <w:t xml:space="preserve">AQARIX</w:t>
      </w:r>
    </w:p>
    <w:p>
      <w:pPr>
        <w:spacing w:before="0" w:after="90" w:line="276" w:lineRule="auto"/>
        <w:jc w:val="center"/>
      </w:pPr>
      <w:r>
        <w:rPr>
          <w:rFonts w:ascii="Times New Roman" w:hAnsi="Times New Roman" w:eastAsia="Times New Roman" w:cs="Times New Roman"/>
          <w:sz w:val="32"/>
          <w:szCs w:val="32"/>
        </w:rPr>
        <w:t xml:space="preserve">Business &amp; Technical Proposal</w:t>
      </w:r>
    </w:p>
    <w:p>
      <w:pPr>
        <w:pBdr>
          <w:bottom w:val="single" w:color="2E74B5" w:sz="8" w:space="4"/>
        </w:pBdr>
        <w:spacing w:before="0" w:after="180" w:line="276" w:lineRule="auto"/>
      </w:pPr>
      <w:r>
        <w:rPr>
          <w:rFonts w:ascii="Times New Roman" w:hAnsi="Times New Roman" w:eastAsia="Times New Roman" w:cs="Times New Roman"/>
          <w:sz w:val="22"/>
          <w:szCs w:val="22"/>
        </w:rPr>
      </w:r>
    </w:p>
    <w:p>
      <w:pPr>
        <w:spacing w:before="180" w:after="80" w:line="276" w:lineRule="auto"/>
        <w:jc w:val="center"/>
      </w:pPr>
      <w:r>
        <w:rPr>
          <w:rFonts w:ascii="Times New Roman" w:hAnsi="Times New Roman" w:eastAsia="Times New Roman" w:cs="Times New Roman"/>
          <w:i/>
          <w:iCs/>
          <w:sz w:val="25"/>
          <w:szCs w:val="25"/>
        </w:rPr>
        <w:t xml:space="preserve">Supervised AI Real Estate Marketplace and CRM for Jordan</w:t>
      </w:r>
    </w:p>
    <w:p>
      <w:pPr>
        <w:spacing w:before="60" w:after="60" w:line="276" w:lineRule="auto"/>
        <w:jc w:val="center"/>
      </w:pPr>
      <w:r>
        <w:rPr>
          <w:rFonts w:ascii="Times New Roman" w:hAnsi="Times New Roman" w:eastAsia="Times New Roman" w:cs="Times New Roman"/>
          <w:sz w:val="21"/>
          <w:szCs w:val="21"/>
        </w:rPr>
        <w:t xml:space="preserve">Buyer/Investor Intelligence | Seller/Dealer CRM | Managed Lead Rooms | AqariX Agency</w:t>
      </w:r>
    </w:p>
    <w:p>
      <w:pPr>
        <w:spacing w:before="620" w:after="35" w:line="276" w:lineRule="auto"/>
        <w:jc w:val="center"/>
      </w:pPr>
      <w:r>
        <w:rPr>
          <w:rFonts w:ascii="Times New Roman" w:hAnsi="Times New Roman" w:eastAsia="Times New Roman" w:cs="Times New Roman"/>
          <w:sz w:val="21"/>
          <w:szCs w:val="21"/>
        </w:rPr>
        <w:t xml:space="preserve">Prepared by: AqariX Founding Team</w:t>
      </w:r>
    </w:p>
    <w:p>
      <w:pPr>
        <w:spacing w:before="0" w:after="35" w:line="276" w:lineRule="auto"/>
        <w:jc w:val="center"/>
      </w:pPr>
      <w:r>
        <w:rPr>
          <w:rFonts w:ascii="Times New Roman" w:hAnsi="Times New Roman" w:eastAsia="Times New Roman" w:cs="Times New Roman"/>
          <w:sz w:val="21"/>
          <w:szCs w:val="21"/>
        </w:rPr>
        <w:t xml:space="preserve">Version 1.1 | May 2026</w:t>
      </w:r>
    </w:p>
    <w:p>
      <w:pPr>
        <w:spacing w:before="35" w:after="35" w:line="276" w:lineRule="auto"/>
        <w:jc w:val="center"/>
      </w:pPr>
      <w:r>
        <w:rPr>
          <w:rFonts w:ascii="Times New Roman" w:hAnsi="Times New Roman" w:eastAsia="Times New Roman" w:cs="Times New Roman"/>
          <w:b/>
          <w:bCs/>
          <w:color w:val="1F4D78"/>
          <w:sz w:val="21"/>
          <w:szCs w:val="21"/>
        </w:rPr>
        <w:t xml:space="preserve">CONFIDENTIAL</w:t>
      </w:r>
    </w:p>
    <w:p>
      <w:r>
        <w:br w:type="page"/>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Table of Contents</w:t>
      </w:r>
    </w:p>
    <w:p>
      <w:pPr>
        <w:keepLines/>
        <w:spacing w:before="70" w:after="90" w:line="276" w:lineRule="auto"/>
      </w:pPr>
      <w:r>
        <w:rPr>
          <w:rFonts w:ascii="Times New Roman" w:hAnsi="Times New Roman" w:eastAsia="Times New Roman" w:cs="Times New Roman"/>
          <w:sz w:val="21"/>
          <w:szCs w:val="21"/>
        </w:rPr>
        <w:t xml:space="preserve">This refreshed contents list reflects the Version 1.1 role-complete proposal structure and final render QA pagination.</w:t>
      </w:r>
    </w:p>
    <w:p>
      <w:pPr>
        <w:tabs>
          <w:tab w:val="right" w:pos="9360"/>
        </w:tabs>
        <w:spacing w:before="35" w:after="35" w:line="276" w:lineRule="auto"/>
      </w:pPr>
      <w:r>
        <w:rPr>
          <w:rFonts w:ascii="Times New Roman" w:hAnsi="Times New Roman" w:eastAsia="Times New Roman" w:cs="Times New Roman"/>
          <w:sz w:val="21"/>
          <w:szCs w:val="21"/>
        </w:rPr>
        <w:t xml:space="preserve">1. Executive Summary</w:t>
        <w:tab/>
      </w:r>
      <w:r>
        <w:rPr>
          <w:rFonts w:ascii="Times New Roman" w:hAnsi="Times New Roman" w:eastAsia="Times New Roman" w:cs="Times New Roman"/>
          <w:sz w:val="21"/>
          <w:szCs w:val="21"/>
        </w:rPr>
        <w:t xml:space="preserve">3</w:t>
      </w:r>
    </w:p>
    <w:p>
      <w:pPr>
        <w:tabs>
          <w:tab w:val="right" w:pos="9360"/>
        </w:tabs>
        <w:spacing w:before="35" w:after="35" w:line="276" w:lineRule="auto"/>
      </w:pPr>
      <w:r>
        <w:rPr>
          <w:rFonts w:ascii="Times New Roman" w:hAnsi="Times New Roman" w:eastAsia="Times New Roman" w:cs="Times New Roman"/>
          <w:sz w:val="21"/>
          <w:szCs w:val="21"/>
        </w:rPr>
        <w:t xml:space="preserve">2. Market Problem and Timing</w:t>
        <w:tab/>
      </w:r>
      <w:r>
        <w:rPr>
          <w:rFonts w:ascii="Times New Roman" w:hAnsi="Times New Roman" w:eastAsia="Times New Roman" w:cs="Times New Roman"/>
          <w:sz w:val="21"/>
          <w:szCs w:val="21"/>
        </w:rPr>
        <w:t xml:space="preserve">3</w:t>
      </w:r>
    </w:p>
    <w:p>
      <w:pPr>
        <w:tabs>
          <w:tab w:val="right" w:pos="9360"/>
        </w:tabs>
        <w:spacing w:before="35" w:after="35" w:line="276" w:lineRule="auto"/>
      </w:pPr>
      <w:r>
        <w:rPr>
          <w:rFonts w:ascii="Times New Roman" w:hAnsi="Times New Roman" w:eastAsia="Times New Roman" w:cs="Times New Roman"/>
          <w:sz w:val="21"/>
          <w:szCs w:val="21"/>
        </w:rPr>
        <w:t xml:space="preserve">3. Product Vision and Role-Based Platform</w:t>
        <w:tab/>
      </w:r>
      <w:r>
        <w:rPr>
          <w:rFonts w:ascii="Times New Roman" w:hAnsi="Times New Roman" w:eastAsia="Times New Roman" w:cs="Times New Roman"/>
          <w:sz w:val="21"/>
          <w:szCs w:val="21"/>
        </w:rPr>
        <w:t xml:space="preserve">4</w:t>
      </w:r>
    </w:p>
    <w:p>
      <w:pPr>
        <w:tabs>
          <w:tab w:val="right" w:pos="9360"/>
        </w:tabs>
        <w:spacing w:before="35" w:after="35" w:line="276" w:lineRule="auto"/>
      </w:pPr>
      <w:r>
        <w:rPr>
          <w:rFonts w:ascii="Times New Roman" w:hAnsi="Times New Roman" w:eastAsia="Times New Roman" w:cs="Times New Roman"/>
          <w:sz w:val="21"/>
          <w:szCs w:val="21"/>
        </w:rPr>
        <w:t xml:space="preserve">4. Buyer and Investor Experience</w:t>
        <w:tab/>
      </w:r>
      <w:r>
        <w:rPr>
          <w:rFonts w:ascii="Times New Roman" w:hAnsi="Times New Roman" w:eastAsia="Times New Roman" w:cs="Times New Roman"/>
          <w:sz w:val="21"/>
          <w:szCs w:val="21"/>
        </w:rPr>
        <w:t xml:space="preserve">5</w:t>
      </w:r>
    </w:p>
    <w:p>
      <w:pPr>
        <w:tabs>
          <w:tab w:val="right" w:pos="9360"/>
        </w:tabs>
        <w:spacing w:before="35" w:after="35" w:line="276" w:lineRule="auto"/>
      </w:pPr>
      <w:r>
        <w:rPr>
          <w:rFonts w:ascii="Times New Roman" w:hAnsi="Times New Roman" w:eastAsia="Times New Roman" w:cs="Times New Roman"/>
          <w:sz w:val="21"/>
          <w:szCs w:val="21"/>
        </w:rPr>
        <w:t xml:space="preserve">5. Seller and Dealer Experience</w:t>
        <w:tab/>
      </w:r>
      <w:r>
        <w:rPr>
          <w:rFonts w:ascii="Times New Roman" w:hAnsi="Times New Roman" w:eastAsia="Times New Roman" w:cs="Times New Roman"/>
          <w:sz w:val="21"/>
          <w:szCs w:val="21"/>
        </w:rPr>
        <w:t xml:space="preserve">6</w:t>
      </w:r>
    </w:p>
    <w:p>
      <w:pPr>
        <w:tabs>
          <w:tab w:val="right" w:pos="9360"/>
        </w:tabs>
        <w:spacing w:before="35" w:after="35" w:line="276" w:lineRule="auto"/>
      </w:pPr>
      <w:r>
        <w:rPr>
          <w:rFonts w:ascii="Times New Roman" w:hAnsi="Times New Roman" w:eastAsia="Times New Roman" w:cs="Times New Roman"/>
          <w:sz w:val="21"/>
          <w:szCs w:val="21"/>
        </w:rPr>
        <w:t xml:space="preserve">6. Managed Lead Room and CRM Architecture</w:t>
        <w:tab/>
      </w:r>
      <w:r>
        <w:rPr>
          <w:rFonts w:ascii="Times New Roman" w:hAnsi="Times New Roman" w:eastAsia="Times New Roman" w:cs="Times New Roman"/>
          <w:sz w:val="21"/>
          <w:szCs w:val="21"/>
        </w:rPr>
        <w:t xml:space="preserve">7</w:t>
      </w:r>
    </w:p>
    <w:p>
      <w:pPr>
        <w:tabs>
          <w:tab w:val="right" w:pos="9360"/>
        </w:tabs>
        <w:spacing w:before="35" w:after="35" w:line="276" w:lineRule="auto"/>
      </w:pPr>
      <w:r>
        <w:rPr>
          <w:rFonts w:ascii="Times New Roman" w:hAnsi="Times New Roman" w:eastAsia="Times New Roman" w:cs="Times New Roman"/>
          <w:sz w:val="21"/>
          <w:szCs w:val="21"/>
        </w:rPr>
        <w:t xml:space="preserve">7. AqariX Agency</w:t>
        <w:tab/>
      </w:r>
      <w:r>
        <w:rPr>
          <w:rFonts w:ascii="Times New Roman" w:hAnsi="Times New Roman" w:eastAsia="Times New Roman" w:cs="Times New Roman"/>
          <w:sz w:val="21"/>
          <w:szCs w:val="21"/>
        </w:rPr>
        <w:t xml:space="preserve">7</w:t>
      </w:r>
    </w:p>
    <w:p>
      <w:pPr>
        <w:tabs>
          <w:tab w:val="right" w:pos="9360"/>
        </w:tabs>
        <w:spacing w:before="35" w:after="35" w:line="276" w:lineRule="auto"/>
      </w:pPr>
      <w:r>
        <w:rPr>
          <w:rFonts w:ascii="Times New Roman" w:hAnsi="Times New Roman" w:eastAsia="Times New Roman" w:cs="Times New Roman"/>
          <w:sz w:val="21"/>
          <w:szCs w:val="21"/>
        </w:rPr>
        <w:t xml:space="preserve">8. AI, Data, and Forecasting Architecture</w:t>
        <w:tab/>
      </w:r>
      <w:r>
        <w:rPr>
          <w:rFonts w:ascii="Times New Roman" w:hAnsi="Times New Roman" w:eastAsia="Times New Roman" w:cs="Times New Roman"/>
          <w:sz w:val="21"/>
          <w:szCs w:val="21"/>
        </w:rPr>
        <w:t xml:space="preserve">8</w:t>
      </w:r>
    </w:p>
    <w:p>
      <w:pPr>
        <w:tabs>
          <w:tab w:val="right" w:pos="9360"/>
        </w:tabs>
        <w:spacing w:before="35" w:after="35" w:line="276" w:lineRule="auto"/>
      </w:pPr>
      <w:r>
        <w:rPr>
          <w:rFonts w:ascii="Times New Roman" w:hAnsi="Times New Roman" w:eastAsia="Times New Roman" w:cs="Times New Roman"/>
          <w:sz w:val="21"/>
          <w:szCs w:val="21"/>
        </w:rPr>
        <w:t xml:space="preserve">9. Monetization Strategy</w:t>
        <w:tab/>
      </w:r>
      <w:r>
        <w:rPr>
          <w:rFonts w:ascii="Times New Roman" w:hAnsi="Times New Roman" w:eastAsia="Times New Roman" w:cs="Times New Roman"/>
          <w:sz w:val="21"/>
          <w:szCs w:val="21"/>
        </w:rPr>
        <w:t xml:space="preserve">9</w:t>
      </w:r>
    </w:p>
    <w:p>
      <w:pPr>
        <w:tabs>
          <w:tab w:val="right" w:pos="9360"/>
        </w:tabs>
        <w:spacing w:before="35" w:after="35" w:line="276" w:lineRule="auto"/>
      </w:pPr>
      <w:r>
        <w:rPr>
          <w:rFonts w:ascii="Times New Roman" w:hAnsi="Times New Roman" w:eastAsia="Times New Roman" w:cs="Times New Roman"/>
          <w:sz w:val="21"/>
          <w:szCs w:val="21"/>
        </w:rPr>
        <w:t xml:space="preserve">10. Technical Stack and Product Interfaces</w:t>
        <w:tab/>
      </w:r>
      <w:r>
        <w:rPr>
          <w:rFonts w:ascii="Times New Roman" w:hAnsi="Times New Roman" w:eastAsia="Times New Roman" w:cs="Times New Roman"/>
          <w:sz w:val="21"/>
          <w:szCs w:val="21"/>
        </w:rPr>
        <w:t xml:space="preserve">10</w:t>
      </w:r>
    </w:p>
    <w:p>
      <w:pPr>
        <w:tabs>
          <w:tab w:val="right" w:pos="9360"/>
        </w:tabs>
        <w:spacing w:before="35" w:after="35" w:line="276" w:lineRule="auto"/>
      </w:pPr>
      <w:r>
        <w:rPr>
          <w:rFonts w:ascii="Times New Roman" w:hAnsi="Times New Roman" w:eastAsia="Times New Roman" w:cs="Times New Roman"/>
          <w:sz w:val="21"/>
          <w:szCs w:val="21"/>
        </w:rPr>
        <w:t xml:space="preserve">11. Role-Complete MVP Roadmap</w:t>
        <w:tab/>
      </w:r>
      <w:r>
        <w:rPr>
          <w:rFonts w:ascii="Times New Roman" w:hAnsi="Times New Roman" w:eastAsia="Times New Roman" w:cs="Times New Roman"/>
          <w:sz w:val="21"/>
          <w:szCs w:val="21"/>
        </w:rPr>
        <w:t xml:space="preserve">11</w:t>
      </w:r>
    </w:p>
    <w:p>
      <w:pPr>
        <w:tabs>
          <w:tab w:val="right" w:pos="9360"/>
        </w:tabs>
        <w:spacing w:before="35" w:after="35" w:line="276" w:lineRule="auto"/>
      </w:pPr>
      <w:r>
        <w:rPr>
          <w:rFonts w:ascii="Times New Roman" w:hAnsi="Times New Roman" w:eastAsia="Times New Roman" w:cs="Times New Roman"/>
          <w:sz w:val="21"/>
          <w:szCs w:val="21"/>
        </w:rPr>
        <w:t xml:space="preserve">12. Recommended Enhancements and Expansion Ideas</w:t>
        <w:tab/>
      </w:r>
      <w:r>
        <w:rPr>
          <w:rFonts w:ascii="Times New Roman" w:hAnsi="Times New Roman" w:eastAsia="Times New Roman" w:cs="Times New Roman"/>
          <w:sz w:val="21"/>
          <w:szCs w:val="21"/>
        </w:rPr>
        <w:t xml:space="preserve">11</w:t>
      </w:r>
    </w:p>
    <w:p>
      <w:pPr>
        <w:tabs>
          <w:tab w:val="right" w:pos="9360"/>
        </w:tabs>
        <w:spacing w:before="35" w:after="35" w:line="276" w:lineRule="auto"/>
      </w:pPr>
      <w:r>
        <w:rPr>
          <w:rFonts w:ascii="Times New Roman" w:hAnsi="Times New Roman" w:eastAsia="Times New Roman" w:cs="Times New Roman"/>
          <w:sz w:val="21"/>
          <w:szCs w:val="21"/>
        </w:rPr>
        <w:t xml:space="preserve">13. Risks, Compliance, and Mitigation</w:t>
        <w:tab/>
      </w:r>
      <w:r>
        <w:rPr>
          <w:rFonts w:ascii="Times New Roman" w:hAnsi="Times New Roman" w:eastAsia="Times New Roman" w:cs="Times New Roman"/>
          <w:sz w:val="21"/>
          <w:szCs w:val="21"/>
        </w:rPr>
        <w:t xml:space="preserve">12</w:t>
      </w:r>
    </w:p>
    <w:p>
      <w:pPr>
        <w:tabs>
          <w:tab w:val="right" w:pos="9360"/>
        </w:tabs>
        <w:spacing w:before="35" w:after="35" w:line="276" w:lineRule="auto"/>
      </w:pPr>
      <w:r>
        <w:rPr>
          <w:rFonts w:ascii="Times New Roman" w:hAnsi="Times New Roman" w:eastAsia="Times New Roman" w:cs="Times New Roman"/>
          <w:sz w:val="21"/>
          <w:szCs w:val="21"/>
        </w:rPr>
        <w:t xml:space="preserve">14. Conclusion</w:t>
        <w:tab/>
      </w:r>
      <w:r>
        <w:rPr>
          <w:rFonts w:ascii="Times New Roman" w:hAnsi="Times New Roman" w:eastAsia="Times New Roman" w:cs="Times New Roman"/>
          <w:sz w:val="21"/>
          <w:szCs w:val="21"/>
        </w:rPr>
        <w:t xml:space="preserve">13</w:t>
      </w:r>
    </w:p>
    <w:p>
      <w:pPr>
        <w:tabs>
          <w:tab w:val="right" w:pos="9360"/>
        </w:tabs>
        <w:spacing w:before="35" w:after="35" w:line="276" w:lineRule="auto"/>
      </w:pPr>
      <w:r>
        <w:rPr>
          <w:rFonts w:ascii="Times New Roman" w:hAnsi="Times New Roman" w:eastAsia="Times New Roman" w:cs="Times New Roman"/>
          <w:sz w:val="21"/>
          <w:szCs w:val="21"/>
        </w:rPr>
        <w:t xml:space="preserve">Appendix A. Sources and Evidence</w:t>
        <w:tab/>
      </w:r>
      <w:r>
        <w:rPr>
          <w:rFonts w:ascii="Times New Roman" w:hAnsi="Times New Roman" w:eastAsia="Times New Roman" w:cs="Times New Roman"/>
          <w:sz w:val="21"/>
          <w:szCs w:val="21"/>
        </w:rPr>
        <w:t xml:space="preserve">14</w:t>
      </w:r>
    </w:p>
    <w:p>
      <w:r>
        <w:br w:type="page"/>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1. Executive Summary</w:t>
      </w:r>
    </w:p>
    <w:p>
      <w:pPr>
        <w:keepLines/>
        <w:spacing w:before="70" w:after="90" w:line="276" w:lineRule="auto"/>
      </w:pPr>
      <w:r>
        <w:rPr>
          <w:rFonts w:ascii="Times New Roman" w:hAnsi="Times New Roman" w:eastAsia="Times New Roman" w:cs="Times New Roman"/>
          <w:sz w:val="21"/>
          <w:szCs w:val="21"/>
        </w:rPr>
        <w:t xml:space="preserve">AqariX is a supervised AI real estate marketplace and CRM platform for Jordan. Version 1.1 expands the product from a smart valuation and listing application into a role-complete operating system for buyers, investors, sellers, dealers, and AqariX administrators. The platform does not only help users discover properties; it guides them from entry-data intake to targeted offerings, detailed offer analysis, supervised communication, and CRM-driven follow-up.</w:t>
      </w:r>
    </w:p>
    <w:p>
      <w:pPr>
        <w:keepLines/>
        <w:spacing w:before="70" w:after="90" w:line="276" w:lineRule="auto"/>
      </w:pPr>
      <w:r>
        <w:rPr>
          <w:rFonts w:ascii="Times New Roman" w:hAnsi="Times New Roman" w:eastAsia="Times New Roman" w:cs="Times New Roman"/>
          <w:sz w:val="21"/>
          <w:szCs w:val="21"/>
        </w:rPr>
        <w:t xml:space="preserve">The central product promise is simple: buyers and investors get evidence-backed decisions, while sellers and real estate dealers get better pricing, stronger marketing, and a managed lead pipeline that keeps high-intent users inside AqariX. AqariX becomes both the intelligence layer and the transaction coordination layer for the market.</w:t>
      </w:r>
    </w:p>
    <w:p>
      <w:pPr>
        <w:shd w:val="clear" w:color="auto" w:fill="EAF4F8"/>
        <w:spacing w:before="120" w:after="120" w:line="276" w:lineRule="auto"/>
      </w:pPr>
      <w:r>
        <w:rPr>
          <w:rFonts w:ascii="Times New Roman" w:hAnsi="Times New Roman" w:eastAsia="Times New Roman" w:cs="Times New Roman"/>
          <w:b/>
          <w:bCs/>
          <w:color w:val="1F4D78"/>
          <w:sz w:val="21"/>
          <w:szCs w:val="21"/>
        </w:rPr>
        <w:t xml:space="preserve">Version 1.1 direction: </w:t>
      </w:r>
      <w:r>
        <w:rPr>
          <w:rFonts w:ascii="Times New Roman" w:hAnsi="Times New Roman" w:eastAsia="Times New Roman" w:cs="Times New Roman"/>
          <w:sz w:val="21"/>
          <w:szCs w:val="21"/>
        </w:rPr>
        <w:t xml:space="preserve">Launch a role-complete MVP: every user type has a dedicated UI and dashboard, while the deepest initial capabilities focus on matched offerings, offer analysis, seller pricing support, managed lead rooms, and dealer CRM retention.</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2200"/>
        <w:gridCol w:w="7160"/>
      </w:tblGrid>
      <w:tr>
        <w:tc>
          <w:tcPr>
            <w:tcW w:w="22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Strategic pillar</w:t>
            </w:r>
          </w:p>
        </w:tc>
        <w:tc>
          <w:tcPr>
            <w:tcW w:w="71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Version 1.1 meaning</w:t>
            </w:r>
          </w:p>
        </w:tc>
      </w:tr>
      <w:tr>
        <w:tc>
          <w:tcPr>
            <w:tcW w:w="2200" w:type="dxa"/>
            <w:vAlign w:val="center"/>
          </w:tcPr>
          <w:p>
            <w:pPr>
              <w:spacing w:before="20" w:after="20" w:line="276" w:lineRule="auto"/>
            </w:pPr>
            <w:r>
              <w:rPr>
                <w:rFonts w:ascii="Times New Roman" w:hAnsi="Times New Roman" w:eastAsia="Times New Roman" w:cs="Times New Roman"/>
                <w:sz w:val="18"/>
                <w:szCs w:val="18"/>
              </w:rPr>
              <w:t xml:space="preserve">Buyer/investor intelligence</w:t>
            </w:r>
          </w:p>
        </w:tc>
        <w:tc>
          <w:tcPr>
            <w:tcW w:w="7160" w:type="dxa"/>
            <w:vAlign w:val="center"/>
          </w:tcPr>
          <w:p>
            <w:pPr>
              <w:spacing w:before="20" w:after="20" w:line="276" w:lineRule="auto"/>
            </w:pPr>
            <w:r>
              <w:rPr>
                <w:rFonts w:ascii="Times New Roman" w:hAnsi="Times New Roman" w:eastAsia="Times New Roman" w:cs="Times New Roman"/>
                <w:sz w:val="18"/>
                <w:szCs w:val="18"/>
              </w:rPr>
              <w:t xml:space="preserve">Entry-data intake, AI-matched offerings, price fairness, 3-to-5-year forecasts, nearby opportunity recommendations, and buy / sell / hold guidance.</w:t>
            </w:r>
          </w:p>
        </w:tc>
      </w:tr>
      <w:tr>
        <w:tc>
          <w:tcPr>
            <w:tcW w:w="22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Seller/dealer CRM</w:t>
            </w:r>
          </w:p>
        </w:tc>
        <w:tc>
          <w:tcPr>
            <w:tcW w:w="71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Free trial, listings, AI pricing and bargain range, marketing assistant, lead pipeline, boost tools, and listing performance analytics.</w:t>
            </w:r>
          </w:p>
        </w:tc>
      </w:tr>
      <w:tr>
        <w:tc>
          <w:tcPr>
            <w:tcW w:w="2200" w:type="dxa"/>
            <w:vAlign w:val="center"/>
          </w:tcPr>
          <w:p>
            <w:pPr>
              <w:spacing w:before="20" w:after="20" w:line="276" w:lineRule="auto"/>
            </w:pPr>
            <w:r>
              <w:rPr>
                <w:rFonts w:ascii="Times New Roman" w:hAnsi="Times New Roman" w:eastAsia="Times New Roman" w:cs="Times New Roman"/>
                <w:sz w:val="18"/>
                <w:szCs w:val="18"/>
              </w:rPr>
              <w:t xml:space="preserve">Managed lead room</w:t>
            </w:r>
          </w:p>
        </w:tc>
        <w:tc>
          <w:tcPr>
            <w:tcW w:w="7160" w:type="dxa"/>
            <w:vAlign w:val="center"/>
          </w:tcPr>
          <w:p>
            <w:pPr>
              <w:spacing w:before="20" w:after="20" w:line="276" w:lineRule="auto"/>
            </w:pPr>
            <w:r>
              <w:rPr>
                <w:rFonts w:ascii="Times New Roman" w:hAnsi="Times New Roman" w:eastAsia="Times New Roman" w:cs="Times New Roman"/>
                <w:sz w:val="18"/>
                <w:szCs w:val="18"/>
              </w:rPr>
              <w:t xml:space="preserve">A supervised communication layer for inquiry, qualification, viewing, negotiation, closing support, and post-close learning.</w:t>
            </w:r>
          </w:p>
        </w:tc>
      </w:tr>
      <w:tr>
        <w:tc>
          <w:tcPr>
            <w:tcW w:w="22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AqariX Agency</w:t>
            </w:r>
          </w:p>
        </w:tc>
        <w:tc>
          <w:tcPr>
            <w:tcW w:w="71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 paid add-on service for listing content, social media production, campaign assets, reels, and dealer growth packages.</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Market evidence</w:t>
      </w:r>
    </w:p>
    <w:p>
      <w:pPr>
        <w:keepLines/>
        <w:spacing w:before="70" w:after="90" w:line="276" w:lineRule="auto"/>
      </w:pPr>
      <w:r>
        <w:rPr>
          <w:rFonts w:ascii="Times New Roman" w:hAnsi="Times New Roman" w:eastAsia="Times New Roman" w:cs="Times New Roman"/>
          <w:sz w:val="21"/>
          <w:szCs w:val="21"/>
        </w:rPr>
        <w:t xml:space="preserve">Jordan's market timing supports this positioning. Public reporting cited about JD 6.4B in real estate trading volume during the first 11 months of 2025, while the first four months of 2026 showed softer activity at about JOD 1.984B in trading volume and lower property sales. At the same time, foreign direct investment rose to about USD 2.02B in 2025. AqariX should use these signals carefully: the market is large enough to matter, but the softer 2026 activity makes trust, pricing accuracy, and qualified demand more valuable.</w:t>
      </w:r>
    </w:p>
    <w:p>
      <w:pPr>
        <w:keepLines/>
        <w:spacing w:before="70" w:after="90" w:line="276" w:lineRule="auto"/>
      </w:pPr>
      <w:r>
        <w:rPr>
          <w:rFonts w:ascii="Times New Roman" w:hAnsi="Times New Roman" w:eastAsia="Times New Roman" w:cs="Times New Roman"/>
          <w:sz w:val="21"/>
          <w:szCs w:val="21"/>
        </w:rPr>
        <w:t xml:space="preserve">The AI PropTech opportunity is also maturing. Investors and customers increasingly judge AI products by data quality, explainability, security, and measurable ROI rather than novelty alone. AqariX's defensible advantage should therefore be the quality of its local property data loop and supervised transaction workflows, not generic AI branding.</w:t>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2. Market Problem and Timing</w:t>
      </w:r>
    </w:p>
    <w:p>
      <w:pPr>
        <w:keepLines/>
        <w:spacing w:before="70" w:after="90" w:line="276" w:lineRule="auto"/>
      </w:pPr>
      <w:r>
        <w:rPr>
          <w:rFonts w:ascii="Times New Roman" w:hAnsi="Times New Roman" w:eastAsia="Times New Roman" w:cs="Times New Roman"/>
          <w:sz w:val="21"/>
          <w:szCs w:val="21"/>
        </w:rPr>
        <w:t xml:space="preserve">The Jordanian real estate market remains fragmented across broker networks, classified websites, Facebook groups, informal referrals, and private WhatsApp communication. This creates a high-friction market where users struggle to verify fair price, future location potential, seller credibility, and deal seriousness.</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Buyer and investor pain points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Price opacity: buyers cannot easily know whether a listed price is fair, inflated, or an unusually good value.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Weak forecasting: investors rarely receive clear 3-to-5-year price outlooks tied to location momentum, infrastructure, rental demand, and comparable properties.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Poor discovery: standard listing feeds are chronological or paid-placement-heavy, not matched to user intent, risk appetite, budget, or investment horizon.</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No supervised next step: once a user likes an offering, communication often moves outside the platform, where AqariX loses trust control and market-learning data.</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Seller and dealer pain points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Mispricing: sellers often list too high, wait too long, then discount without understanding the real bargain range.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Weak marketing: many listings have poor copy, poor photos, unclear value propositions, and no structured campaign plan.</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Scattered leads: brokers and dealers manage prospects across phone calls, WhatsApp, spreadsheets, and memory, which makes follow-up inconsistent.</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Low platform retention: once a serious investor appears, dealers tend to move the relationship off-platform unless AqariX provides CRM value and supervised workflow value.</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AqariX opportunity</w:t>
      </w:r>
    </w:p>
    <w:p>
      <w:pPr>
        <w:keepLines/>
        <w:spacing w:before="70" w:after="90" w:line="276" w:lineRule="auto"/>
      </w:pPr>
      <w:r>
        <w:rPr>
          <w:rFonts w:ascii="Times New Roman" w:hAnsi="Times New Roman" w:eastAsia="Times New Roman" w:cs="Times New Roman"/>
          <w:sz w:val="21"/>
          <w:szCs w:val="21"/>
        </w:rPr>
        <w:t xml:space="preserve">AqariX can become the trusted coordination layer between market participants. The platform should create value before, during, and after contact: before contact through valuation and matching, during contact through managed lead rooms, and after contact through CRM analytics, market learning, and repeat-deal workflows.</w:t>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3. Product Vision and Role-Based Platform</w:t>
      </w:r>
    </w:p>
    <w:p>
      <w:pPr>
        <w:keepLines/>
        <w:spacing w:before="70" w:after="90" w:line="276" w:lineRule="auto"/>
      </w:pPr>
      <w:r>
        <w:rPr>
          <w:rFonts w:ascii="Times New Roman" w:hAnsi="Times New Roman" w:eastAsia="Times New Roman" w:cs="Times New Roman"/>
          <w:sz w:val="21"/>
          <w:szCs w:val="21"/>
        </w:rPr>
        <w:t xml:space="preserve">AqariX should not present the same interface to every user. Each role needs a different first screen, different dashboard, different calls to action, and different success metric. This separation makes the app feel built for the user's job rather than like a generic property listing board.</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1500"/>
        <w:gridCol w:w="3000"/>
        <w:gridCol w:w="4860"/>
      </w:tblGrid>
      <w:tr>
        <w:tc>
          <w:tcPr>
            <w:tcW w:w="15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Role</w:t>
            </w:r>
          </w:p>
        </w:tc>
        <w:tc>
          <w:tcPr>
            <w:tcW w:w="30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Primary UI</w:t>
            </w:r>
          </w:p>
        </w:tc>
        <w:tc>
          <w:tcPr>
            <w:tcW w:w="48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Core value</w:t>
            </w:r>
          </w:p>
        </w:tc>
      </w:tr>
      <w:tr>
        <w:tc>
          <w:tcPr>
            <w:tcW w:w="1500" w:type="dxa"/>
            <w:vAlign w:val="center"/>
          </w:tcPr>
          <w:p>
            <w:pPr>
              <w:spacing w:before="20" w:after="20" w:line="276" w:lineRule="auto"/>
            </w:pPr>
            <w:r>
              <w:rPr>
                <w:rFonts w:ascii="Times New Roman" w:hAnsi="Times New Roman" w:eastAsia="Times New Roman" w:cs="Times New Roman"/>
                <w:sz w:val="18"/>
                <w:szCs w:val="18"/>
              </w:rPr>
              <w:t xml:space="preserve">Buyer</w:t>
            </w:r>
          </w:p>
        </w:tc>
        <w:tc>
          <w:tcPr>
            <w:tcW w:w="3000" w:type="dxa"/>
            <w:vAlign w:val="center"/>
          </w:tcPr>
          <w:p>
            <w:pPr>
              <w:spacing w:before="20" w:after="20" w:line="276" w:lineRule="auto"/>
            </w:pPr>
            <w:r>
              <w:rPr>
                <w:rFonts w:ascii="Times New Roman" w:hAnsi="Times New Roman" w:eastAsia="Times New Roman" w:cs="Times New Roman"/>
                <w:sz w:val="18"/>
                <w:szCs w:val="18"/>
              </w:rPr>
              <w:t xml:space="preserve">Home search, filters, map, saved offerings, lead room</w:t>
            </w:r>
          </w:p>
        </w:tc>
        <w:tc>
          <w:tcPr>
            <w:tcW w:w="4860" w:type="dxa"/>
            <w:vAlign w:val="center"/>
          </w:tcPr>
          <w:p>
            <w:pPr>
              <w:spacing w:before="20" w:after="20" w:line="276" w:lineRule="auto"/>
            </w:pPr>
            <w:r>
              <w:rPr>
                <w:rFonts w:ascii="Times New Roman" w:hAnsi="Times New Roman" w:eastAsia="Times New Roman" w:cs="Times New Roman"/>
                <w:sz w:val="18"/>
                <w:szCs w:val="18"/>
              </w:rPr>
              <w:t xml:space="preserve">Find fairly priced properties and negotiate with better information.</w:t>
            </w:r>
          </w:p>
        </w:tc>
      </w:tr>
      <w:tr>
        <w:tc>
          <w:tcPr>
            <w:tcW w:w="15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Investor</w:t>
            </w:r>
          </w:p>
        </w:tc>
        <w:tc>
          <w:tcPr>
            <w:tcW w:w="30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Investment intake, ranked offerings, forecasts, portfolio dashboard</w:t>
            </w:r>
          </w:p>
        </w:tc>
        <w:tc>
          <w:tcPr>
            <w:tcW w:w="4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Identify undervalued assets, future locations, and nearby opportunities.</w:t>
            </w:r>
          </w:p>
        </w:tc>
      </w:tr>
      <w:tr>
        <w:tc>
          <w:tcPr>
            <w:tcW w:w="1500" w:type="dxa"/>
            <w:vAlign w:val="center"/>
          </w:tcPr>
          <w:p>
            <w:pPr>
              <w:spacing w:before="20" w:after="20" w:line="276" w:lineRule="auto"/>
            </w:pPr>
            <w:r>
              <w:rPr>
                <w:rFonts w:ascii="Times New Roman" w:hAnsi="Times New Roman" w:eastAsia="Times New Roman" w:cs="Times New Roman"/>
                <w:sz w:val="18"/>
                <w:szCs w:val="18"/>
              </w:rPr>
              <w:t xml:space="preserve">Seller</w:t>
            </w:r>
          </w:p>
        </w:tc>
        <w:tc>
          <w:tcPr>
            <w:tcW w:w="3000" w:type="dxa"/>
            <w:vAlign w:val="center"/>
          </w:tcPr>
          <w:p>
            <w:pPr>
              <w:spacing w:before="20" w:after="20" w:line="276" w:lineRule="auto"/>
            </w:pPr>
            <w:r>
              <w:rPr>
                <w:rFonts w:ascii="Times New Roman" w:hAnsi="Times New Roman" w:eastAsia="Times New Roman" w:cs="Times New Roman"/>
                <w:sz w:val="18"/>
                <w:szCs w:val="18"/>
              </w:rPr>
              <w:t xml:space="preserve">Free trial, property setup, pricing assistant, marketing assistant</w:t>
            </w:r>
          </w:p>
        </w:tc>
        <w:tc>
          <w:tcPr>
            <w:tcW w:w="4860" w:type="dxa"/>
            <w:vAlign w:val="center"/>
          </w:tcPr>
          <w:p>
            <w:pPr>
              <w:spacing w:before="20" w:after="20" w:line="276" w:lineRule="auto"/>
            </w:pPr>
            <w:r>
              <w:rPr>
                <w:rFonts w:ascii="Times New Roman" w:hAnsi="Times New Roman" w:eastAsia="Times New Roman" w:cs="Times New Roman"/>
                <w:sz w:val="18"/>
                <w:szCs w:val="18"/>
              </w:rPr>
              <w:t xml:space="preserve">Price correctly, market better, and convert qualified demand.</w:t>
            </w:r>
          </w:p>
        </w:tc>
      </w:tr>
      <w:tr>
        <w:tc>
          <w:tcPr>
            <w:tcW w:w="15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Dealer/Broker</w:t>
            </w:r>
          </w:p>
        </w:tc>
        <w:tc>
          <w:tcPr>
            <w:tcW w:w="30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CRM pipeline, listings, leads, tasks, boost and agency orders</w:t>
            </w:r>
          </w:p>
        </w:tc>
        <w:tc>
          <w:tcPr>
            <w:tcW w:w="4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Keep investors active inside AqariX and manage follow-up professionally.</w:t>
            </w:r>
          </w:p>
        </w:tc>
      </w:tr>
      <w:tr>
        <w:tc>
          <w:tcPr>
            <w:tcW w:w="1500" w:type="dxa"/>
            <w:vAlign w:val="center"/>
          </w:tcPr>
          <w:p>
            <w:pPr>
              <w:spacing w:before="20" w:after="20" w:line="276" w:lineRule="auto"/>
            </w:pPr>
            <w:r>
              <w:rPr>
                <w:rFonts w:ascii="Times New Roman" w:hAnsi="Times New Roman" w:eastAsia="Times New Roman" w:cs="Times New Roman"/>
                <w:sz w:val="18"/>
                <w:szCs w:val="18"/>
              </w:rPr>
              <w:t xml:space="preserve">AqariX Admin</w:t>
            </w:r>
          </w:p>
        </w:tc>
        <w:tc>
          <w:tcPr>
            <w:tcW w:w="3000" w:type="dxa"/>
            <w:vAlign w:val="center"/>
          </w:tcPr>
          <w:p>
            <w:pPr>
              <w:spacing w:before="20" w:after="20" w:line="276" w:lineRule="auto"/>
            </w:pPr>
            <w:r>
              <w:rPr>
                <w:rFonts w:ascii="Times New Roman" w:hAnsi="Times New Roman" w:eastAsia="Times New Roman" w:cs="Times New Roman"/>
                <w:sz w:val="18"/>
                <w:szCs w:val="18"/>
              </w:rPr>
              <w:t xml:space="preserve">Lead supervision, quality flags, marketplace KPIs, agency operations</w:t>
            </w:r>
          </w:p>
        </w:tc>
        <w:tc>
          <w:tcPr>
            <w:tcW w:w="4860" w:type="dxa"/>
            <w:vAlign w:val="center"/>
          </w:tcPr>
          <w:p>
            <w:pPr>
              <w:spacing w:before="20" w:after="20" w:line="276" w:lineRule="auto"/>
            </w:pPr>
            <w:r>
              <w:rPr>
                <w:rFonts w:ascii="Times New Roman" w:hAnsi="Times New Roman" w:eastAsia="Times New Roman" w:cs="Times New Roman"/>
                <w:sz w:val="18"/>
                <w:szCs w:val="18"/>
              </w:rPr>
              <w:t xml:space="preserve">Protect trust, monitor communication, and improve the data loop.</w:t>
            </w:r>
          </w:p>
        </w:tc>
      </w:tr>
      <w:tr>
        <w:tc>
          <w:tcPr>
            <w:tcW w:w="15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Agency Operator</w:t>
            </w:r>
          </w:p>
        </w:tc>
        <w:tc>
          <w:tcPr>
            <w:tcW w:w="30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Campaign orders, asset workflow, delivery status, reporting</w:t>
            </w:r>
          </w:p>
        </w:tc>
        <w:tc>
          <w:tcPr>
            <w:tcW w:w="4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Produce seller/dealer content linked directly to property performance.</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General platform features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Search filters on the home screen: city, neighborhood, price, area, property type, bedrooms, investment purpose, expected yield, listing freshness, and verified status.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Role-specific dashboards: each user sees the KPIs, tasks, alerts, and recommendations that match their role.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AqariX Score: a compact trust and value signal combining price gap, location momentum, forecast, demand, liquidity, and listing quality.</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Arabic-first capability: English can remain the proposal language, but RTL Arabic support should be a product requirement from day one.</w:t>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4. Buyer and Investor Experience</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Entry-data intake</w:t>
      </w:r>
    </w:p>
    <w:p>
      <w:pPr>
        <w:keepLines/>
        <w:spacing w:before="70" w:after="90" w:line="276" w:lineRule="auto"/>
      </w:pPr>
      <w:r>
        <w:rPr>
          <w:rFonts w:ascii="Times New Roman" w:hAnsi="Times New Roman" w:eastAsia="Times New Roman" w:cs="Times New Roman"/>
          <w:sz w:val="21"/>
          <w:szCs w:val="21"/>
        </w:rPr>
        <w:t xml:space="preserve">The buyer/investor journey begins with a structured intake. AqariX asks for budget, preferred cities, property type, purpose, risk tolerance, investment horizon, cash or financing status, expected rental use, family/lifestyle needs, and location preferences. This intake becomes the first user vector for matching.</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Targeted offerings feed</w:t>
      </w:r>
    </w:p>
    <w:p>
      <w:pPr>
        <w:keepLines/>
        <w:spacing w:before="70" w:after="90" w:line="276" w:lineRule="auto"/>
      </w:pPr>
      <w:r>
        <w:rPr>
          <w:rFonts w:ascii="Times New Roman" w:hAnsi="Times New Roman" w:eastAsia="Times New Roman" w:cs="Times New Roman"/>
          <w:sz w:val="21"/>
          <w:szCs w:val="21"/>
        </w:rPr>
        <w:t xml:space="preserve">The home feed should combine map-first discovery with ranked offerings. Listings are not only sorted by recency or paid placement; they are scored against the user's stated entry data and behavioral signals. Sponsored listings can appear, but only when they are compatible enough to preserve trust.</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Offering analysis assistant</w:t>
      </w:r>
    </w:p>
    <w:p>
      <w:pPr>
        <w:keepLines/>
        <w:spacing w:before="70" w:after="90" w:line="276" w:lineRule="auto"/>
      </w:pPr>
      <w:r>
        <w:rPr>
          <w:rFonts w:ascii="Times New Roman" w:hAnsi="Times New Roman" w:eastAsia="Times New Roman" w:cs="Times New Roman"/>
          <w:sz w:val="21"/>
          <w:szCs w:val="21"/>
        </w:rPr>
        <w:t xml:space="preserve">Every serious offering should include a detailed AI analysis assistant. The assistant explains whether the listing appears underpriced, fair, or overpriced; provides a bargain range; forecasts expected price movement over a 3-to-5-year horizon; and evaluates the future of the location based on infrastructure, amenities, demand, liquidity, and comparable offerings.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2200"/>
        <w:gridCol w:w="7160"/>
      </w:tblGrid>
      <w:tr>
        <w:tc>
          <w:tcPr>
            <w:tcW w:w="22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Analysis field</w:t>
            </w:r>
          </w:p>
        </w:tc>
        <w:tc>
          <w:tcPr>
            <w:tcW w:w="71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Description</w:t>
            </w:r>
          </w:p>
        </w:tc>
      </w:tr>
      <w:tr>
        <w:tc>
          <w:tcPr>
            <w:tcW w:w="2200" w:type="dxa"/>
            <w:vAlign w:val="center"/>
          </w:tcPr>
          <w:p>
            <w:pPr>
              <w:spacing w:before="20" w:after="20" w:line="276" w:lineRule="auto"/>
            </w:pPr>
            <w:r>
              <w:rPr>
                <w:rFonts w:ascii="Times New Roman" w:hAnsi="Times New Roman" w:eastAsia="Times New Roman" w:cs="Times New Roman"/>
                <w:sz w:val="18"/>
                <w:szCs w:val="18"/>
              </w:rPr>
              <w:t xml:space="preserve">Fair value</w:t>
            </w:r>
          </w:p>
        </w:tc>
        <w:tc>
          <w:tcPr>
            <w:tcW w:w="7160" w:type="dxa"/>
            <w:vAlign w:val="center"/>
          </w:tcPr>
          <w:p>
            <w:pPr>
              <w:spacing w:before="20" w:after="20" w:line="276" w:lineRule="auto"/>
            </w:pPr>
            <w:r>
              <w:rPr>
                <w:rFonts w:ascii="Times New Roman" w:hAnsi="Times New Roman" w:eastAsia="Times New Roman" w:cs="Times New Roman"/>
                <w:sz w:val="18"/>
                <w:szCs w:val="18"/>
              </w:rPr>
              <w:t xml:space="preserve">AqariX AVM estimate for the property, shown with confidence rather than as a guaranteed exact price.</w:t>
            </w:r>
          </w:p>
        </w:tc>
      </w:tr>
      <w:tr>
        <w:tc>
          <w:tcPr>
            <w:tcW w:w="22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Listed-price gap</w:t>
            </w:r>
          </w:p>
        </w:tc>
        <w:tc>
          <w:tcPr>
            <w:tcW w:w="71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Difference between seller asking price and estimated fair value.</w:t>
            </w:r>
          </w:p>
        </w:tc>
      </w:tr>
      <w:tr>
        <w:tc>
          <w:tcPr>
            <w:tcW w:w="2200" w:type="dxa"/>
            <w:vAlign w:val="center"/>
          </w:tcPr>
          <w:p>
            <w:pPr>
              <w:spacing w:before="20" w:after="20" w:line="276" w:lineRule="auto"/>
            </w:pPr>
            <w:r>
              <w:rPr>
                <w:rFonts w:ascii="Times New Roman" w:hAnsi="Times New Roman" w:eastAsia="Times New Roman" w:cs="Times New Roman"/>
                <w:sz w:val="18"/>
                <w:szCs w:val="18"/>
              </w:rPr>
              <w:t xml:space="preserve">Bargain range</w:t>
            </w:r>
          </w:p>
        </w:tc>
        <w:tc>
          <w:tcPr>
            <w:tcW w:w="7160" w:type="dxa"/>
            <w:vAlign w:val="center"/>
          </w:tcPr>
          <w:p>
            <w:pPr>
              <w:spacing w:before="20" w:after="20" w:line="276" w:lineRule="auto"/>
            </w:pPr>
            <w:r>
              <w:rPr>
                <w:rFonts w:ascii="Times New Roman" w:hAnsi="Times New Roman" w:eastAsia="Times New Roman" w:cs="Times New Roman"/>
                <w:sz w:val="18"/>
                <w:szCs w:val="18"/>
              </w:rPr>
              <w:t xml:space="preserve">Suggested negotiation range for buyer and seller decision support.</w:t>
            </w:r>
          </w:p>
        </w:tc>
      </w:tr>
      <w:tr>
        <w:tc>
          <w:tcPr>
            <w:tcW w:w="22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Forecast horizon</w:t>
            </w:r>
          </w:p>
        </w:tc>
        <w:tc>
          <w:tcPr>
            <w:tcW w:w="71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3-to-5-year outlook with conservative, base, and optimistic scenarios where data allows.</w:t>
            </w:r>
          </w:p>
        </w:tc>
      </w:tr>
      <w:tr>
        <w:tc>
          <w:tcPr>
            <w:tcW w:w="2200" w:type="dxa"/>
            <w:vAlign w:val="center"/>
          </w:tcPr>
          <w:p>
            <w:pPr>
              <w:spacing w:before="20" w:after="20" w:line="276" w:lineRule="auto"/>
            </w:pPr>
            <w:r>
              <w:rPr>
                <w:rFonts w:ascii="Times New Roman" w:hAnsi="Times New Roman" w:eastAsia="Times New Roman" w:cs="Times New Roman"/>
                <w:sz w:val="18"/>
                <w:szCs w:val="18"/>
              </w:rPr>
              <w:t xml:space="preserve">Location momentum</w:t>
            </w:r>
          </w:p>
        </w:tc>
        <w:tc>
          <w:tcPr>
            <w:tcW w:w="7160" w:type="dxa"/>
            <w:vAlign w:val="center"/>
          </w:tcPr>
          <w:p>
            <w:pPr>
              <w:spacing w:before="20" w:after="20" w:line="276" w:lineRule="auto"/>
            </w:pPr>
            <w:r>
              <w:rPr>
                <w:rFonts w:ascii="Times New Roman" w:hAnsi="Times New Roman" w:eastAsia="Times New Roman" w:cs="Times New Roman"/>
                <w:sz w:val="18"/>
                <w:szCs w:val="18"/>
              </w:rPr>
              <w:t xml:space="preserve">Future potential tied to infrastructure, POIs, demand shifts, rental interest, and comparable price movement.</w:t>
            </w:r>
          </w:p>
        </w:tc>
      </w:tr>
      <w:tr>
        <w:tc>
          <w:tcPr>
            <w:tcW w:w="22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Liquidity estimate</w:t>
            </w:r>
          </w:p>
        </w:tc>
        <w:tc>
          <w:tcPr>
            <w:tcW w:w="71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Expected ease of resale or rental based on demand, property type, zone, and price band.</w:t>
            </w:r>
          </w:p>
        </w:tc>
      </w:tr>
      <w:tr>
        <w:tc>
          <w:tcPr>
            <w:tcW w:w="2200" w:type="dxa"/>
            <w:vAlign w:val="center"/>
          </w:tcPr>
          <w:p>
            <w:pPr>
              <w:spacing w:before="20" w:after="20" w:line="276" w:lineRule="auto"/>
            </w:pPr>
            <w:r>
              <w:rPr>
                <w:rFonts w:ascii="Times New Roman" w:hAnsi="Times New Roman" w:eastAsia="Times New Roman" w:cs="Times New Roman"/>
                <w:sz w:val="18"/>
                <w:szCs w:val="18"/>
              </w:rPr>
              <w:t xml:space="preserve">Recommendation label</w:t>
            </w:r>
          </w:p>
        </w:tc>
        <w:tc>
          <w:tcPr>
            <w:tcW w:w="7160" w:type="dxa"/>
            <w:vAlign w:val="center"/>
          </w:tcPr>
          <w:p>
            <w:pPr>
              <w:spacing w:before="20" w:after="20" w:line="276" w:lineRule="auto"/>
            </w:pPr>
            <w:r>
              <w:rPr>
                <w:rFonts w:ascii="Times New Roman" w:hAnsi="Times New Roman" w:eastAsia="Times New Roman" w:cs="Times New Roman"/>
                <w:sz w:val="18"/>
                <w:szCs w:val="18"/>
              </w:rPr>
              <w:t xml:space="preserve">Decision-support label such as Strong Buy, Watch, Negotiate, Overpriced, Sell, or Invest Nearby.</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Nearby opportunity scout</w:t>
      </w:r>
    </w:p>
    <w:p>
      <w:pPr>
        <w:keepLines/>
        <w:spacing w:before="70" w:after="90" w:line="276" w:lineRule="auto"/>
      </w:pPr>
      <w:r>
        <w:rPr>
          <w:rFonts w:ascii="Times New Roman" w:hAnsi="Times New Roman" w:eastAsia="Times New Roman" w:cs="Times New Roman"/>
          <w:sz w:val="21"/>
          <w:szCs w:val="21"/>
        </w:rPr>
        <w:t xml:space="preserve">When a selected offering looks overpriced or weak, AqariX should not end the journey. It should recommend nearby alternatives that better fit the user's goal, such as similar apartments at a better price per sqm, higher-yield rental properties, or future-growth locations near the user's original target area.</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Buyer/investor dashboard</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Saved offerings, saved searches, and price-drop alerts.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Forecast watchlist showing expected appreciation, confidence, and recent market changes.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Lead room status for each active inquiry.</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Comparison view for up to four offerings across price, score, forecast, yield, and location factors.</w:t>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5. Seller and Dealer Experience</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Seller free trial</w:t>
      </w:r>
    </w:p>
    <w:p>
      <w:pPr>
        <w:keepLines/>
        <w:spacing w:before="70" w:after="90" w:line="276" w:lineRule="auto"/>
      </w:pPr>
      <w:r>
        <w:rPr>
          <w:rFonts w:ascii="Times New Roman" w:hAnsi="Times New Roman" w:eastAsia="Times New Roman" w:cs="Times New Roman"/>
          <w:sz w:val="21"/>
          <w:szCs w:val="21"/>
        </w:rPr>
        <w:t xml:space="preserve">Sellers and dealers should enter through a free trial that proves immediate value. The trial should include limited listing creation, a limited number of AI pricing assistant runs, basic lead tracking, and upgrade prompts when the seller wants more listings, more assistant usage, boosts, or agency production.</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Property listing and AI pricing assistant</w:t>
      </w:r>
    </w:p>
    <w:p>
      <w:pPr>
        <w:keepLines/>
        <w:spacing w:before="70" w:after="90" w:line="276" w:lineRule="auto"/>
      </w:pPr>
      <w:r>
        <w:rPr>
          <w:rFonts w:ascii="Times New Roman" w:hAnsi="Times New Roman" w:eastAsia="Times New Roman" w:cs="Times New Roman"/>
          <w:sz w:val="21"/>
          <w:szCs w:val="21"/>
        </w:rPr>
        <w:t xml:space="preserve">The seller flow collects address or approximate location, property type, size, age, floor, condition, view, amenities, photos, title deed or verification signals where available, and desired timeline. AqariX then produces a market-backed suggested listing price, bargain range, comparable properties, and pricing strategy.</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Marketing assistant</w:t>
      </w:r>
    </w:p>
    <w:p>
      <w:pPr>
        <w:keepLines/>
        <w:spacing w:before="70" w:after="90" w:line="276" w:lineRule="auto"/>
      </w:pPr>
      <w:r>
        <w:rPr>
          <w:rFonts w:ascii="Times New Roman" w:hAnsi="Times New Roman" w:eastAsia="Times New Roman" w:cs="Times New Roman"/>
          <w:sz w:val="21"/>
          <w:szCs w:val="21"/>
        </w:rPr>
        <w:t xml:space="preserve">The seller-side AI assistant should help create stronger listing copy, photo guidance, social media captions, short video scripts, buyer persona recommendations, and boost campaign suggestions. The assistant should be practical: it tells the seller which photos are missing, which value points to emphasize, and whether the current price will likely slow demand.</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Dealer CRM architecture</w:t>
      </w:r>
    </w:p>
    <w:p>
      <w:pPr>
        <w:keepLines/>
        <w:spacing w:before="70" w:after="90" w:line="276" w:lineRule="auto"/>
      </w:pPr>
      <w:r>
        <w:rPr>
          <w:rFonts w:ascii="Times New Roman" w:hAnsi="Times New Roman" w:eastAsia="Times New Roman" w:cs="Times New Roman"/>
          <w:sz w:val="21"/>
          <w:szCs w:val="21"/>
        </w:rPr>
        <w:t xml:space="preserve">Dealers need enough CRM value to keep investor relationships inside AqariX. The dealer dashboard should include lead stages, tasks, next actions, viewing appointments, message summaries, listing performance, boost credits, agency orders, and pipeline value. The goal is not to replace every enterprise CRM on day one; it is to make AqariX the best place to manage AqariX-originated investor demand.</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2300"/>
        <w:gridCol w:w="7060"/>
      </w:tblGrid>
      <w:tr>
        <w:tc>
          <w:tcPr>
            <w:tcW w:w="23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Seller/dealer workflow</w:t>
            </w:r>
          </w:p>
        </w:tc>
        <w:tc>
          <w:tcPr>
            <w:tcW w:w="70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What AqariX provides</w:t>
            </w:r>
          </w:p>
        </w:tc>
      </w:tr>
      <w:tr>
        <w:tc>
          <w:tcPr>
            <w:tcW w:w="2300" w:type="dxa"/>
            <w:vAlign w:val="center"/>
          </w:tcPr>
          <w:p>
            <w:pPr>
              <w:spacing w:before="20" w:after="20" w:line="276" w:lineRule="auto"/>
            </w:pPr>
            <w:r>
              <w:rPr>
                <w:rFonts w:ascii="Times New Roman" w:hAnsi="Times New Roman" w:eastAsia="Times New Roman" w:cs="Times New Roman"/>
                <w:sz w:val="18"/>
                <w:szCs w:val="18"/>
              </w:rPr>
              <w:t xml:space="preserve">Trial activation</w:t>
            </w:r>
          </w:p>
        </w:tc>
        <w:tc>
          <w:tcPr>
            <w:tcW w:w="7060" w:type="dxa"/>
            <w:vAlign w:val="center"/>
          </w:tcPr>
          <w:p>
            <w:pPr>
              <w:spacing w:before="20" w:after="20" w:line="276" w:lineRule="auto"/>
            </w:pPr>
            <w:r>
              <w:rPr>
                <w:rFonts w:ascii="Times New Roman" w:hAnsi="Times New Roman" w:eastAsia="Times New Roman" w:cs="Times New Roman"/>
                <w:sz w:val="18"/>
                <w:szCs w:val="18"/>
              </w:rPr>
              <w:t xml:space="preserve">Free account, trial badge, listing limit, assistant usage limit, and upgrade path.</w:t>
            </w:r>
          </w:p>
        </w:tc>
      </w:tr>
      <w:tr>
        <w:tc>
          <w:tcPr>
            <w:tcW w:w="2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Listing setup</w:t>
            </w:r>
          </w:p>
        </w:tc>
        <w:tc>
          <w:tcPr>
            <w:tcW w:w="7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Structured listing form, media checklist, price estimate, confidence range, and verification prompts.</w:t>
            </w:r>
          </w:p>
        </w:tc>
      </w:tr>
      <w:tr>
        <w:tc>
          <w:tcPr>
            <w:tcW w:w="2300" w:type="dxa"/>
            <w:vAlign w:val="center"/>
          </w:tcPr>
          <w:p>
            <w:pPr>
              <w:spacing w:before="20" w:after="20" w:line="276" w:lineRule="auto"/>
            </w:pPr>
            <w:r>
              <w:rPr>
                <w:rFonts w:ascii="Times New Roman" w:hAnsi="Times New Roman" w:eastAsia="Times New Roman" w:cs="Times New Roman"/>
                <w:sz w:val="18"/>
                <w:szCs w:val="18"/>
              </w:rPr>
              <w:t xml:space="preserve">Pricing strategy</w:t>
            </w:r>
          </w:p>
        </w:tc>
        <w:tc>
          <w:tcPr>
            <w:tcW w:w="7060" w:type="dxa"/>
            <w:vAlign w:val="center"/>
          </w:tcPr>
          <w:p>
            <w:pPr>
              <w:spacing w:before="20" w:after="20" w:line="276" w:lineRule="auto"/>
            </w:pPr>
            <w:r>
              <w:rPr>
                <w:rFonts w:ascii="Times New Roman" w:hAnsi="Times New Roman" w:eastAsia="Times New Roman" w:cs="Times New Roman"/>
                <w:sz w:val="18"/>
                <w:szCs w:val="18"/>
              </w:rPr>
              <w:t xml:space="preserve">Fair value, suggested asking price, bargain range, days-on-market risk, and comparable evidence.</w:t>
            </w:r>
          </w:p>
        </w:tc>
      </w:tr>
      <w:tr>
        <w:tc>
          <w:tcPr>
            <w:tcW w:w="2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Lead management</w:t>
            </w:r>
          </w:p>
        </w:tc>
        <w:tc>
          <w:tcPr>
            <w:tcW w:w="7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Qualified inquiries, status stages, reminders, notes, viewing schedule, and AqariX supervision flags.</w:t>
            </w:r>
          </w:p>
        </w:tc>
      </w:tr>
      <w:tr>
        <w:tc>
          <w:tcPr>
            <w:tcW w:w="2300" w:type="dxa"/>
            <w:vAlign w:val="center"/>
          </w:tcPr>
          <w:p>
            <w:pPr>
              <w:spacing w:before="20" w:after="20" w:line="276" w:lineRule="auto"/>
            </w:pPr>
            <w:r>
              <w:rPr>
                <w:rFonts w:ascii="Times New Roman" w:hAnsi="Times New Roman" w:eastAsia="Times New Roman" w:cs="Times New Roman"/>
                <w:sz w:val="18"/>
                <w:szCs w:val="18"/>
              </w:rPr>
              <w:t xml:space="preserve">Growth tools</w:t>
            </w:r>
          </w:p>
        </w:tc>
        <w:tc>
          <w:tcPr>
            <w:tcW w:w="7060" w:type="dxa"/>
            <w:vAlign w:val="center"/>
          </w:tcPr>
          <w:p>
            <w:pPr>
              <w:spacing w:before="20" w:after="20" w:line="276" w:lineRule="auto"/>
            </w:pPr>
            <w:r>
              <w:rPr>
                <w:rFonts w:ascii="Times New Roman" w:hAnsi="Times New Roman" w:eastAsia="Times New Roman" w:cs="Times New Roman"/>
                <w:sz w:val="18"/>
                <w:szCs w:val="18"/>
              </w:rPr>
              <w:t xml:space="preserve">Smart Boosts, agency content packages, promoted listings, dealer profile, and performance analytics.</w:t>
            </w:r>
          </w:p>
        </w:tc>
      </w:tr>
    </w:tbl>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6. Managed Lead Room and CRM Architecture</w:t>
      </w:r>
    </w:p>
    <w:p>
      <w:pPr>
        <w:keepLines/>
        <w:spacing w:before="70" w:after="90" w:line="276" w:lineRule="auto"/>
      </w:pPr>
      <w:r>
        <w:rPr>
          <w:rFonts w:ascii="Times New Roman" w:hAnsi="Times New Roman" w:eastAsia="Times New Roman" w:cs="Times New Roman"/>
          <w:sz w:val="21"/>
          <w:szCs w:val="21"/>
        </w:rPr>
        <w:t xml:space="preserve">The Managed Lead Room is the default communication model. When a buyer or investor chooses an offering, AqariX creates a supervised deal workspace instead of simply exposing a phone number and losing the relationship. The room keeps communication organized, protects trust, and gives AqariX structured data about demand, objections, negotiation behavior, and closing outcomes.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1900"/>
        <w:gridCol w:w="7460"/>
      </w:tblGrid>
      <w:tr>
        <w:tc>
          <w:tcPr>
            <w:tcW w:w="19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Stage</w:t>
            </w:r>
          </w:p>
        </w:tc>
        <w:tc>
          <w:tcPr>
            <w:tcW w:w="74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Platform behavior</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New inquiry</w:t>
            </w:r>
          </w:p>
        </w:tc>
        <w:tc>
          <w:tcPr>
            <w:tcW w:w="7460" w:type="dxa"/>
            <w:vAlign w:val="center"/>
          </w:tcPr>
          <w:p>
            <w:pPr>
              <w:spacing w:before="20" w:after="20" w:line="276" w:lineRule="auto"/>
            </w:pPr>
            <w:r>
              <w:rPr>
                <w:rFonts w:ascii="Times New Roman" w:hAnsi="Times New Roman" w:eastAsia="Times New Roman" w:cs="Times New Roman"/>
                <w:sz w:val="18"/>
                <w:szCs w:val="18"/>
              </w:rPr>
              <w:t xml:space="preserve">Capture buyer intent, property of interest, budget fit, and preferred contact method.</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Qualified</w:t>
            </w:r>
          </w:p>
        </w:tc>
        <w:tc>
          <w:tcPr>
            <w:tcW w:w="74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Confirm seriousness, financing readiness, timeline, and whether AqariX should involve the seller, dealer, or admin.</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Viewing scheduled</w:t>
            </w:r>
          </w:p>
        </w:tc>
        <w:tc>
          <w:tcPr>
            <w:tcW w:w="7460" w:type="dxa"/>
            <w:vAlign w:val="center"/>
          </w:tcPr>
          <w:p>
            <w:pPr>
              <w:spacing w:before="20" w:after="20" w:line="276" w:lineRule="auto"/>
            </w:pPr>
            <w:r>
              <w:rPr>
                <w:rFonts w:ascii="Times New Roman" w:hAnsi="Times New Roman" w:eastAsia="Times New Roman" w:cs="Times New Roman"/>
                <w:sz w:val="18"/>
                <w:szCs w:val="18"/>
              </w:rPr>
              <w:t xml:space="preserve">Coordinate appointment options, reminders, map location, notes, and attendance confirmation.</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Offer made</w:t>
            </w:r>
          </w:p>
        </w:tc>
        <w:tc>
          <w:tcPr>
            <w:tcW w:w="74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Record offer amount, reasoning, suggested counter range, and relevant AVM/comparable context.</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Negotiation</w:t>
            </w:r>
          </w:p>
        </w:tc>
        <w:tc>
          <w:tcPr>
            <w:tcW w:w="7460" w:type="dxa"/>
            <w:vAlign w:val="center"/>
          </w:tcPr>
          <w:p>
            <w:pPr>
              <w:spacing w:before="20" w:after="20" w:line="276" w:lineRule="auto"/>
            </w:pPr>
            <w:r>
              <w:rPr>
                <w:rFonts w:ascii="Times New Roman" w:hAnsi="Times New Roman" w:eastAsia="Times New Roman" w:cs="Times New Roman"/>
                <w:sz w:val="18"/>
                <w:szCs w:val="18"/>
              </w:rPr>
              <w:t xml:space="preserve">Track counteroffers, seller constraints, buyer objections, and AqariX assistant guidance.</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Closing support</w:t>
            </w:r>
          </w:p>
        </w:tc>
        <w:tc>
          <w:tcPr>
            <w:tcW w:w="74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Maintain checklist for documents, payment steps, inspection notes, and broker/admin handoff.</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Closed</w:t>
            </w:r>
          </w:p>
        </w:tc>
        <w:tc>
          <w:tcPr>
            <w:tcW w:w="7460" w:type="dxa"/>
            <w:vAlign w:val="center"/>
          </w:tcPr>
          <w:p>
            <w:pPr>
              <w:spacing w:before="20" w:after="20" w:line="276" w:lineRule="auto"/>
            </w:pPr>
            <w:r>
              <w:rPr>
                <w:rFonts w:ascii="Times New Roman" w:hAnsi="Times New Roman" w:eastAsia="Times New Roman" w:cs="Times New Roman"/>
                <w:sz w:val="18"/>
                <w:szCs w:val="18"/>
              </w:rPr>
              <w:t xml:space="preserve">Capture final price, lead source, time-to-close, satisfaction, and data for model calibration.</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Archived</w:t>
            </w:r>
          </w:p>
        </w:tc>
        <w:tc>
          <w:tcPr>
            <w:tcW w:w="74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Preserve record, reason for loss, next best offering, and reactivation reminder.</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Supervision principles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AqariX should supervise the process without creating unnecessary friction for serious users.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Contact details can be revealed after qualification when appropriate, but the lead room remains the official record and follow-up workspace.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Admins should see risk flags for spam, abuse, suspicious pricing, repeated off-platform leakage, or unresolved disputes.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Dealers should see AqariX as a CRM and qualified lead engine, not only as an advertising channel.</w:t>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7. AqariX Agency</w:t>
      </w:r>
    </w:p>
    <w:p>
      <w:pPr>
        <w:keepLines/>
        <w:spacing w:before="70" w:after="90" w:line="276" w:lineRule="auto"/>
      </w:pPr>
      <w:r>
        <w:rPr>
          <w:rFonts w:ascii="Times New Roman" w:hAnsi="Times New Roman" w:eastAsia="Times New Roman" w:cs="Times New Roman"/>
          <w:sz w:val="21"/>
          <w:szCs w:val="21"/>
        </w:rPr>
        <w:t xml:space="preserve">AqariX Agency should launch as a paid MVP add-on rather than a separate disconnected business. The service sells social media production and listing-content support to sellers, dealers, and developers. It improves marketplace quality while creating service revenue before the full SaaS model matures.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1900"/>
        <w:gridCol w:w="1900"/>
        <w:gridCol w:w="5560"/>
      </w:tblGrid>
      <w:tr>
        <w:tc>
          <w:tcPr>
            <w:tcW w:w="19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Package</w:t>
            </w:r>
          </w:p>
        </w:tc>
        <w:tc>
          <w:tcPr>
            <w:tcW w:w="19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Target</w:t>
            </w:r>
          </w:p>
        </w:tc>
        <w:tc>
          <w:tcPr>
            <w:tcW w:w="55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Deliverables</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Listing Starter</w:t>
            </w:r>
          </w:p>
        </w:tc>
        <w:tc>
          <w:tcPr>
            <w:tcW w:w="1900" w:type="dxa"/>
            <w:vAlign w:val="center"/>
          </w:tcPr>
          <w:p>
            <w:pPr>
              <w:spacing w:before="20" w:after="20" w:line="276" w:lineRule="auto"/>
            </w:pPr>
            <w:r>
              <w:rPr>
                <w:rFonts w:ascii="Times New Roman" w:hAnsi="Times New Roman" w:eastAsia="Times New Roman" w:cs="Times New Roman"/>
                <w:sz w:val="18"/>
                <w:szCs w:val="18"/>
              </w:rPr>
              <w:t xml:space="preserve">Individual seller</w:t>
            </w:r>
          </w:p>
        </w:tc>
        <w:tc>
          <w:tcPr>
            <w:tcW w:w="5560" w:type="dxa"/>
            <w:vAlign w:val="center"/>
          </w:tcPr>
          <w:p>
            <w:pPr>
              <w:spacing w:before="20" w:after="20" w:line="276" w:lineRule="auto"/>
            </w:pPr>
            <w:r>
              <w:rPr>
                <w:rFonts w:ascii="Times New Roman" w:hAnsi="Times New Roman" w:eastAsia="Times New Roman" w:cs="Times New Roman"/>
                <w:sz w:val="18"/>
                <w:szCs w:val="18"/>
              </w:rPr>
              <w:t xml:space="preserve">Listing copy, photo checklist, pricing headline, social caption pack, and posting guidance.</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Reels and Social Push</w:t>
            </w:r>
          </w:p>
        </w:tc>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Seller or dealer</w:t>
            </w:r>
          </w:p>
        </w:tc>
        <w:tc>
          <w:tcPr>
            <w:tcW w:w="55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Short-form video script, reel editing brief, Arabic/English captions, and campaign posting calendar.</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Dealer Growth</w:t>
            </w:r>
          </w:p>
        </w:tc>
        <w:tc>
          <w:tcPr>
            <w:tcW w:w="1900" w:type="dxa"/>
            <w:vAlign w:val="center"/>
          </w:tcPr>
          <w:p>
            <w:pPr>
              <w:spacing w:before="20" w:after="20" w:line="276" w:lineRule="auto"/>
            </w:pPr>
            <w:r>
              <w:rPr>
                <w:rFonts w:ascii="Times New Roman" w:hAnsi="Times New Roman" w:eastAsia="Times New Roman" w:cs="Times New Roman"/>
                <w:sz w:val="18"/>
                <w:szCs w:val="18"/>
              </w:rPr>
              <w:t xml:space="preserve">Broker office</w:t>
            </w:r>
          </w:p>
        </w:tc>
        <w:tc>
          <w:tcPr>
            <w:tcW w:w="5560" w:type="dxa"/>
            <w:vAlign w:val="center"/>
          </w:tcPr>
          <w:p>
            <w:pPr>
              <w:spacing w:before="20" w:after="20" w:line="276" w:lineRule="auto"/>
            </w:pPr>
            <w:r>
              <w:rPr>
                <w:rFonts w:ascii="Times New Roman" w:hAnsi="Times New Roman" w:eastAsia="Times New Roman" w:cs="Times New Roman"/>
                <w:sz w:val="18"/>
                <w:szCs w:val="18"/>
              </w:rPr>
              <w:t xml:space="preserve">Monthly listing content bundle, dealer profile optimization, lead-room scripts, and performance review.</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Project Launch</w:t>
            </w:r>
          </w:p>
        </w:tc>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Developer</w:t>
            </w:r>
          </w:p>
        </w:tc>
        <w:tc>
          <w:tcPr>
            <w:tcW w:w="55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Launch campaign assets, investor-facing offer sheets, dashboard screenshots, and targeted lead-room setup.</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Agency workflow</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Seller/dealer selects an agency package from the listing or dealer dashboard.</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Agency operator receives a task board with property details, desired audience, media requirements, delivery date, and approval status.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Approved assets attach back to the listing, Smart Boost campaign, or dealer profile.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Performance data closes the loop: views, saves, lead-room starts, cost per qualified lead, and conversion stage.</w:t>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8. AI, Data, and Forecasting Architecture</w:t>
      </w:r>
    </w:p>
    <w:p>
      <w:pPr>
        <w:keepLines/>
        <w:spacing w:before="70" w:after="90" w:line="276" w:lineRule="auto"/>
      </w:pPr>
      <w:r>
        <w:rPr>
          <w:rFonts w:ascii="Times New Roman" w:hAnsi="Times New Roman" w:eastAsia="Times New Roman" w:cs="Times New Roman"/>
          <w:sz w:val="21"/>
          <w:szCs w:val="21"/>
        </w:rPr>
        <w:t xml:space="preserve">AqariX should treat AI as an evidence layer, not as a decorative chatbot. The system needs structured property data, geospatial features, comparable listings, user behavior, lead-room outcomes, and seller/dealer performance data. Over time, this creates a defensible local dataset that generic competitors cannot easily copy.</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Core AI modules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2300"/>
        <w:gridCol w:w="7060"/>
      </w:tblGrid>
      <w:tr>
        <w:tc>
          <w:tcPr>
            <w:tcW w:w="23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Module</w:t>
            </w:r>
          </w:p>
        </w:tc>
        <w:tc>
          <w:tcPr>
            <w:tcW w:w="70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Purpose</w:t>
            </w:r>
          </w:p>
        </w:tc>
      </w:tr>
      <w:tr>
        <w:tc>
          <w:tcPr>
            <w:tcW w:w="2300" w:type="dxa"/>
            <w:vAlign w:val="center"/>
          </w:tcPr>
          <w:p>
            <w:pPr>
              <w:spacing w:before="20" w:after="20" w:line="276" w:lineRule="auto"/>
            </w:pPr>
            <w:r>
              <w:rPr>
                <w:rFonts w:ascii="Times New Roman" w:hAnsi="Times New Roman" w:eastAsia="Times New Roman" w:cs="Times New Roman"/>
                <w:sz w:val="18"/>
                <w:szCs w:val="18"/>
              </w:rPr>
              <w:t xml:space="preserve">Automated Valuation Model</w:t>
            </w:r>
          </w:p>
        </w:tc>
        <w:tc>
          <w:tcPr>
            <w:tcW w:w="7060" w:type="dxa"/>
            <w:vAlign w:val="center"/>
          </w:tcPr>
          <w:p>
            <w:pPr>
              <w:spacing w:before="20" w:after="20" w:line="276" w:lineRule="auto"/>
            </w:pPr>
            <w:r>
              <w:rPr>
                <w:rFonts w:ascii="Times New Roman" w:hAnsi="Times New Roman" w:eastAsia="Times New Roman" w:cs="Times New Roman"/>
                <w:sz w:val="18"/>
                <w:szCs w:val="18"/>
              </w:rPr>
              <w:t xml:space="preserve">Estimate fair market value using property attributes, geospatial features, comparable listings, and transaction or verified outcome data where available.</w:t>
            </w:r>
          </w:p>
        </w:tc>
      </w:tr>
      <w:tr>
        <w:tc>
          <w:tcPr>
            <w:tcW w:w="2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Forecasting model</w:t>
            </w:r>
          </w:p>
        </w:tc>
        <w:tc>
          <w:tcPr>
            <w:tcW w:w="7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Estimate future price direction over 3-to-5 years using regional time series, demand signals, infrastructure changes, and comparable area trends.</w:t>
            </w:r>
          </w:p>
        </w:tc>
      </w:tr>
      <w:tr>
        <w:tc>
          <w:tcPr>
            <w:tcW w:w="2300" w:type="dxa"/>
            <w:vAlign w:val="center"/>
          </w:tcPr>
          <w:p>
            <w:pPr>
              <w:spacing w:before="20" w:after="20" w:line="276" w:lineRule="auto"/>
            </w:pPr>
            <w:r>
              <w:rPr>
                <w:rFonts w:ascii="Times New Roman" w:hAnsi="Times New Roman" w:eastAsia="Times New Roman" w:cs="Times New Roman"/>
                <w:sz w:val="18"/>
                <w:szCs w:val="18"/>
              </w:rPr>
              <w:t xml:space="preserve">Recommendation engine</w:t>
            </w:r>
          </w:p>
        </w:tc>
        <w:tc>
          <w:tcPr>
            <w:tcW w:w="7060" w:type="dxa"/>
            <w:vAlign w:val="center"/>
          </w:tcPr>
          <w:p>
            <w:pPr>
              <w:spacing w:before="20" w:after="20" w:line="276" w:lineRule="auto"/>
            </w:pPr>
            <w:r>
              <w:rPr>
                <w:rFonts w:ascii="Times New Roman" w:hAnsi="Times New Roman" w:eastAsia="Times New Roman" w:cs="Times New Roman"/>
                <w:sz w:val="18"/>
                <w:szCs w:val="18"/>
              </w:rPr>
              <w:t xml:space="preserve">Match users to offerings using intake data, behavior, budget, risk tolerance, location interest, and listing compatibility.</w:t>
            </w:r>
          </w:p>
        </w:tc>
      </w:tr>
      <w:tr>
        <w:tc>
          <w:tcPr>
            <w:tcW w:w="2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Offering assistant</w:t>
            </w:r>
          </w:p>
        </w:tc>
        <w:tc>
          <w:tcPr>
            <w:tcW w:w="7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Explain price gap, forecast, location future, comparable evidence, risks, and nearby alternatives in human-readable form.</w:t>
            </w:r>
          </w:p>
        </w:tc>
      </w:tr>
      <w:tr>
        <w:tc>
          <w:tcPr>
            <w:tcW w:w="2300" w:type="dxa"/>
            <w:vAlign w:val="center"/>
          </w:tcPr>
          <w:p>
            <w:pPr>
              <w:spacing w:before="20" w:after="20" w:line="276" w:lineRule="auto"/>
            </w:pPr>
            <w:r>
              <w:rPr>
                <w:rFonts w:ascii="Times New Roman" w:hAnsi="Times New Roman" w:eastAsia="Times New Roman" w:cs="Times New Roman"/>
                <w:sz w:val="18"/>
                <w:szCs w:val="18"/>
              </w:rPr>
              <w:t xml:space="preserve">Seller assistant</w:t>
            </w:r>
          </w:p>
        </w:tc>
        <w:tc>
          <w:tcPr>
            <w:tcW w:w="7060" w:type="dxa"/>
            <w:vAlign w:val="center"/>
          </w:tcPr>
          <w:p>
            <w:pPr>
              <w:spacing w:before="20" w:after="20" w:line="276" w:lineRule="auto"/>
            </w:pPr>
            <w:r>
              <w:rPr>
                <w:rFonts w:ascii="Times New Roman" w:hAnsi="Times New Roman" w:eastAsia="Times New Roman" w:cs="Times New Roman"/>
                <w:sz w:val="18"/>
                <w:szCs w:val="18"/>
              </w:rPr>
              <w:t xml:space="preserve">Support pricing, bargain range, listing copy, photo guidance, social captions, campaign plans, and dealer follow-up scripts.</w:t>
            </w:r>
          </w:p>
        </w:tc>
      </w:tr>
      <w:tr>
        <w:tc>
          <w:tcPr>
            <w:tcW w:w="2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CRM intelligence</w:t>
            </w:r>
          </w:p>
        </w:tc>
        <w:tc>
          <w:tcPr>
            <w:tcW w:w="7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Summarize lead-room activity, recommend next actions, detect low-quality leads, and surface likely conversion blockers.</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Safety and explainability</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Show confidence ranges and comparable evidence instead of presenting AI output as certainty.</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Label recommendations as decision support, not financial or legal advice.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Log data sources and model version behind valuation and forecast outputs.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Allow admin review of disputed valuations, suspicious listings, and high-risk communications.</w:t>
      </w:r>
    </w:p>
    <w:p>
      <w:r>
        <w:br w:type="page"/>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9. Monetization Strategy</w:t>
      </w:r>
    </w:p>
    <w:p>
      <w:pPr>
        <w:keepLines/>
        <w:spacing w:before="70" w:after="90" w:line="276" w:lineRule="auto"/>
      </w:pPr>
      <w:r>
        <w:rPr>
          <w:rFonts w:ascii="Times New Roman" w:hAnsi="Times New Roman" w:eastAsia="Times New Roman" w:cs="Times New Roman"/>
          <w:sz w:val="21"/>
          <w:szCs w:val="21"/>
        </w:rPr>
        <w:t xml:space="preserve">Version 1.1 broadens monetization from ads and reports into a multi-sided model. Revenue should come from seller/dealer workflow value, supervised transaction value, investor intelligence, and agency services. This is important because marketplace advertising alone is vulnerable to competition and off-platform leakage.</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2500"/>
        <w:gridCol w:w="2100"/>
        <w:gridCol w:w="4760"/>
      </w:tblGrid>
      <w:tr>
        <w:tc>
          <w:tcPr>
            <w:tcW w:w="25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Revenue stream</w:t>
            </w:r>
          </w:p>
        </w:tc>
        <w:tc>
          <w:tcPr>
            <w:tcW w:w="21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Target</w:t>
            </w:r>
          </w:p>
        </w:tc>
        <w:tc>
          <w:tcPr>
            <w:tcW w:w="47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Mechanic</w:t>
            </w:r>
          </w:p>
        </w:tc>
      </w:tr>
      <w:tr>
        <w:tc>
          <w:tcPr>
            <w:tcW w:w="2500" w:type="dxa"/>
            <w:vAlign w:val="center"/>
          </w:tcPr>
          <w:p>
            <w:pPr>
              <w:spacing w:before="20" w:after="20" w:line="276" w:lineRule="auto"/>
            </w:pPr>
            <w:r>
              <w:rPr>
                <w:rFonts w:ascii="Times New Roman" w:hAnsi="Times New Roman" w:eastAsia="Times New Roman" w:cs="Times New Roman"/>
                <w:sz w:val="18"/>
                <w:szCs w:val="18"/>
              </w:rPr>
              <w:t xml:space="preserve">Seller free trial conversion</w:t>
            </w:r>
          </w:p>
        </w:tc>
        <w:tc>
          <w:tcPr>
            <w:tcW w:w="2100" w:type="dxa"/>
            <w:vAlign w:val="center"/>
          </w:tcPr>
          <w:p>
            <w:pPr>
              <w:spacing w:before="20" w:after="20" w:line="276" w:lineRule="auto"/>
            </w:pPr>
            <w:r>
              <w:rPr>
                <w:rFonts w:ascii="Times New Roman" w:hAnsi="Times New Roman" w:eastAsia="Times New Roman" w:cs="Times New Roman"/>
                <w:sz w:val="18"/>
                <w:szCs w:val="18"/>
              </w:rPr>
              <w:t xml:space="preserve">Individual sellers</w:t>
            </w:r>
          </w:p>
        </w:tc>
        <w:tc>
          <w:tcPr>
            <w:tcW w:w="4760" w:type="dxa"/>
            <w:vAlign w:val="center"/>
          </w:tcPr>
          <w:p>
            <w:pPr>
              <w:spacing w:before="20" w:after="20" w:line="276" w:lineRule="auto"/>
            </w:pPr>
            <w:r>
              <w:rPr>
                <w:rFonts w:ascii="Times New Roman" w:hAnsi="Times New Roman" w:eastAsia="Times New Roman" w:cs="Times New Roman"/>
                <w:sz w:val="18"/>
                <w:szCs w:val="18"/>
              </w:rPr>
              <w:t xml:space="preserve">Free trial upgrades into paid listing, AI assistant, boost, and agency access.</w:t>
            </w:r>
          </w:p>
        </w:tc>
      </w:tr>
      <w:tr>
        <w:tc>
          <w:tcPr>
            <w:tcW w:w="25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Dealer CRM subscription</w:t>
            </w:r>
          </w:p>
        </w:tc>
        <w:tc>
          <w:tcPr>
            <w:tcW w:w="21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Brokers and dealer offices</w:t>
            </w:r>
          </w:p>
        </w:tc>
        <w:tc>
          <w:tcPr>
            <w:tcW w:w="47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Monthly fee for lead pipeline, listing management, performance analytics, and team workflow.</w:t>
            </w:r>
          </w:p>
        </w:tc>
      </w:tr>
      <w:tr>
        <w:tc>
          <w:tcPr>
            <w:tcW w:w="2500" w:type="dxa"/>
            <w:vAlign w:val="center"/>
          </w:tcPr>
          <w:p>
            <w:pPr>
              <w:spacing w:before="20" w:after="20" w:line="276" w:lineRule="auto"/>
            </w:pPr>
            <w:r>
              <w:rPr>
                <w:rFonts w:ascii="Times New Roman" w:hAnsi="Times New Roman" w:eastAsia="Times New Roman" w:cs="Times New Roman"/>
                <w:sz w:val="18"/>
                <w:szCs w:val="18"/>
              </w:rPr>
              <w:t xml:space="preserve">Managed lead room fees</w:t>
            </w:r>
          </w:p>
        </w:tc>
        <w:tc>
          <w:tcPr>
            <w:tcW w:w="2100" w:type="dxa"/>
            <w:vAlign w:val="center"/>
          </w:tcPr>
          <w:p>
            <w:pPr>
              <w:spacing w:before="20" w:after="20" w:line="276" w:lineRule="auto"/>
            </w:pPr>
            <w:r>
              <w:rPr>
                <w:rFonts w:ascii="Times New Roman" w:hAnsi="Times New Roman" w:eastAsia="Times New Roman" w:cs="Times New Roman"/>
                <w:sz w:val="18"/>
                <w:szCs w:val="18"/>
              </w:rPr>
              <w:t xml:space="preserve">Sellers, dealers, developers</w:t>
            </w:r>
          </w:p>
        </w:tc>
        <w:tc>
          <w:tcPr>
            <w:tcW w:w="4760" w:type="dxa"/>
            <w:vAlign w:val="center"/>
          </w:tcPr>
          <w:p>
            <w:pPr>
              <w:spacing w:before="20" w:after="20" w:line="276" w:lineRule="auto"/>
            </w:pPr>
            <w:r>
              <w:rPr>
                <w:rFonts w:ascii="Times New Roman" w:hAnsi="Times New Roman" w:eastAsia="Times New Roman" w:cs="Times New Roman"/>
                <w:sz w:val="18"/>
                <w:szCs w:val="18"/>
              </w:rPr>
              <w:t xml:space="preserve">Fee per qualified lead, viewing, successful transaction, or premium supervised negotiation support.</w:t>
            </w:r>
          </w:p>
        </w:tc>
      </w:tr>
      <w:tr>
        <w:tc>
          <w:tcPr>
            <w:tcW w:w="25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Smart Boosts</w:t>
            </w:r>
          </w:p>
        </w:tc>
        <w:tc>
          <w:tcPr>
            <w:tcW w:w="21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Sellers and dealers</w:t>
            </w:r>
          </w:p>
        </w:tc>
        <w:tc>
          <w:tcPr>
            <w:tcW w:w="47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Paid distribution of listings to compatible buyers/investors based on recommendation fit.</w:t>
            </w:r>
          </w:p>
        </w:tc>
      </w:tr>
      <w:tr>
        <w:tc>
          <w:tcPr>
            <w:tcW w:w="2500" w:type="dxa"/>
            <w:vAlign w:val="center"/>
          </w:tcPr>
          <w:p>
            <w:pPr>
              <w:spacing w:before="20" w:after="20" w:line="276" w:lineRule="auto"/>
            </w:pPr>
            <w:r>
              <w:rPr>
                <w:rFonts w:ascii="Times New Roman" w:hAnsi="Times New Roman" w:eastAsia="Times New Roman" w:cs="Times New Roman"/>
                <w:sz w:val="18"/>
                <w:szCs w:val="18"/>
              </w:rPr>
              <w:t xml:space="preserve">Premium investor reports</w:t>
            </w:r>
          </w:p>
        </w:tc>
        <w:tc>
          <w:tcPr>
            <w:tcW w:w="2100" w:type="dxa"/>
            <w:vAlign w:val="center"/>
          </w:tcPr>
          <w:p>
            <w:pPr>
              <w:spacing w:before="20" w:after="20" w:line="276" w:lineRule="auto"/>
            </w:pPr>
            <w:r>
              <w:rPr>
                <w:rFonts w:ascii="Times New Roman" w:hAnsi="Times New Roman" w:eastAsia="Times New Roman" w:cs="Times New Roman"/>
                <w:sz w:val="18"/>
                <w:szCs w:val="18"/>
              </w:rPr>
              <w:t xml:space="preserve">Buyers and investors</w:t>
            </w:r>
          </w:p>
        </w:tc>
        <w:tc>
          <w:tcPr>
            <w:tcW w:w="4760" w:type="dxa"/>
            <w:vAlign w:val="center"/>
          </w:tcPr>
          <w:p>
            <w:pPr>
              <w:spacing w:before="20" w:after="20" w:line="276" w:lineRule="auto"/>
            </w:pPr>
            <w:r>
              <w:rPr>
                <w:rFonts w:ascii="Times New Roman" w:hAnsi="Times New Roman" w:eastAsia="Times New Roman" w:cs="Times New Roman"/>
                <w:sz w:val="18"/>
                <w:szCs w:val="18"/>
              </w:rPr>
              <w:t xml:space="preserve">Detailed offering analysis, forecast PDF, comparable report, and area opportunity scan.</w:t>
            </w:r>
          </w:p>
        </w:tc>
      </w:tr>
      <w:tr>
        <w:tc>
          <w:tcPr>
            <w:tcW w:w="25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B2B analytics SaaS</w:t>
            </w:r>
          </w:p>
        </w:tc>
        <w:tc>
          <w:tcPr>
            <w:tcW w:w="21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Developers and institutions</w:t>
            </w:r>
          </w:p>
        </w:tc>
        <w:tc>
          <w:tcPr>
            <w:tcW w:w="47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Market heatmaps, demand trends, yield forecasts, API access, and data exports.</w:t>
            </w:r>
          </w:p>
        </w:tc>
      </w:tr>
      <w:tr>
        <w:tc>
          <w:tcPr>
            <w:tcW w:w="2500" w:type="dxa"/>
            <w:vAlign w:val="center"/>
          </w:tcPr>
          <w:p>
            <w:pPr>
              <w:spacing w:before="20" w:after="20" w:line="276" w:lineRule="auto"/>
            </w:pPr>
            <w:r>
              <w:rPr>
                <w:rFonts w:ascii="Times New Roman" w:hAnsi="Times New Roman" w:eastAsia="Times New Roman" w:cs="Times New Roman"/>
                <w:sz w:val="18"/>
                <w:szCs w:val="18"/>
              </w:rPr>
              <w:t xml:space="preserve">AqariX Agency</w:t>
            </w:r>
          </w:p>
        </w:tc>
        <w:tc>
          <w:tcPr>
            <w:tcW w:w="2100" w:type="dxa"/>
            <w:vAlign w:val="center"/>
          </w:tcPr>
          <w:p>
            <w:pPr>
              <w:spacing w:before="20" w:after="20" w:line="276" w:lineRule="auto"/>
            </w:pPr>
            <w:r>
              <w:rPr>
                <w:rFonts w:ascii="Times New Roman" w:hAnsi="Times New Roman" w:eastAsia="Times New Roman" w:cs="Times New Roman"/>
                <w:sz w:val="18"/>
                <w:szCs w:val="18"/>
              </w:rPr>
              <w:t xml:space="preserve">Sellers, dealers, developers</w:t>
            </w:r>
          </w:p>
        </w:tc>
        <w:tc>
          <w:tcPr>
            <w:tcW w:w="4760" w:type="dxa"/>
            <w:vAlign w:val="center"/>
          </w:tcPr>
          <w:p>
            <w:pPr>
              <w:spacing w:before="20" w:after="20" w:line="276" w:lineRule="auto"/>
            </w:pPr>
            <w:r>
              <w:rPr>
                <w:rFonts w:ascii="Times New Roman" w:hAnsi="Times New Roman" w:eastAsia="Times New Roman" w:cs="Times New Roman"/>
                <w:sz w:val="18"/>
                <w:szCs w:val="18"/>
              </w:rPr>
              <w:t xml:space="preserve">Paid content production, social media packages, reels, campaign assets, and launch support.</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Suggested pricing tiers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2100"/>
        <w:gridCol w:w="1700"/>
        <w:gridCol w:w="5560"/>
      </w:tblGrid>
      <w:tr>
        <w:tc>
          <w:tcPr>
            <w:tcW w:w="21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Tier</w:t>
            </w:r>
          </w:p>
        </w:tc>
        <w:tc>
          <w:tcPr>
            <w:tcW w:w="17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Monthly price</w:t>
            </w:r>
          </w:p>
        </w:tc>
        <w:tc>
          <w:tcPr>
            <w:tcW w:w="55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Included value</w:t>
            </w:r>
          </w:p>
        </w:tc>
      </w:tr>
      <w:tr>
        <w:tc>
          <w:tcPr>
            <w:tcW w:w="2100" w:type="dxa"/>
            <w:vAlign w:val="center"/>
          </w:tcPr>
          <w:p>
            <w:pPr>
              <w:spacing w:before="20" w:after="20" w:line="276" w:lineRule="auto"/>
            </w:pPr>
            <w:r>
              <w:rPr>
                <w:rFonts w:ascii="Times New Roman" w:hAnsi="Times New Roman" w:eastAsia="Times New Roman" w:cs="Times New Roman"/>
                <w:sz w:val="18"/>
                <w:szCs w:val="18"/>
              </w:rPr>
              <w:t xml:space="preserve">Free user</w:t>
            </w:r>
          </w:p>
        </w:tc>
        <w:tc>
          <w:tcPr>
            <w:tcW w:w="1700" w:type="dxa"/>
            <w:vAlign w:val="center"/>
          </w:tcPr>
          <w:p>
            <w:pPr>
              <w:spacing w:before="20" w:after="20" w:line="276" w:lineRule="auto"/>
            </w:pPr>
            <w:r>
              <w:rPr>
                <w:rFonts w:ascii="Times New Roman" w:hAnsi="Times New Roman" w:eastAsia="Times New Roman" w:cs="Times New Roman"/>
                <w:sz w:val="18"/>
                <w:szCs w:val="18"/>
              </w:rPr>
              <w:t xml:space="preserve">0 JOD</w:t>
            </w:r>
          </w:p>
        </w:tc>
        <w:tc>
          <w:tcPr>
            <w:tcW w:w="5560" w:type="dxa"/>
            <w:vAlign w:val="center"/>
          </w:tcPr>
          <w:p>
            <w:pPr>
              <w:spacing w:before="20" w:after="20" w:line="276" w:lineRule="auto"/>
            </w:pPr>
            <w:r>
              <w:rPr>
                <w:rFonts w:ascii="Times New Roman" w:hAnsi="Times New Roman" w:eastAsia="Times New Roman" w:cs="Times New Roman"/>
                <w:sz w:val="18"/>
                <w:szCs w:val="18"/>
              </w:rPr>
              <w:t xml:space="preserve">Basic search, limited valuations, saved listings, and entry-level alerts.</w:t>
            </w:r>
          </w:p>
        </w:tc>
      </w:tr>
      <w:tr>
        <w:tc>
          <w:tcPr>
            <w:tcW w:w="21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Standard buyer/investor</w:t>
            </w:r>
          </w:p>
        </w:tc>
        <w:tc>
          <w:tcPr>
            <w:tcW w:w="17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3-7 JOD</w:t>
            </w:r>
          </w:p>
        </w:tc>
        <w:tc>
          <w:tcPr>
            <w:tcW w:w="55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Unlimited saved searches, comparison tool, richer analysis, and forecast watchlist.</w:t>
            </w:r>
          </w:p>
        </w:tc>
      </w:tr>
      <w:tr>
        <w:tc>
          <w:tcPr>
            <w:tcW w:w="2100" w:type="dxa"/>
            <w:vAlign w:val="center"/>
          </w:tcPr>
          <w:p>
            <w:pPr>
              <w:spacing w:before="20" w:after="20" w:line="276" w:lineRule="auto"/>
            </w:pPr>
            <w:r>
              <w:rPr>
                <w:rFonts w:ascii="Times New Roman" w:hAnsi="Times New Roman" w:eastAsia="Times New Roman" w:cs="Times New Roman"/>
                <w:sz w:val="18"/>
                <w:szCs w:val="18"/>
              </w:rPr>
              <w:t xml:space="preserve">Seller trial</w:t>
            </w:r>
          </w:p>
        </w:tc>
        <w:tc>
          <w:tcPr>
            <w:tcW w:w="1700" w:type="dxa"/>
            <w:vAlign w:val="center"/>
          </w:tcPr>
          <w:p>
            <w:pPr>
              <w:spacing w:before="20" w:after="20" w:line="276" w:lineRule="auto"/>
            </w:pPr>
            <w:r>
              <w:rPr>
                <w:rFonts w:ascii="Times New Roman" w:hAnsi="Times New Roman" w:eastAsia="Times New Roman" w:cs="Times New Roman"/>
                <w:sz w:val="18"/>
                <w:szCs w:val="18"/>
              </w:rPr>
              <w:t xml:space="preserve">0 JOD for trial</w:t>
            </w:r>
          </w:p>
        </w:tc>
        <w:tc>
          <w:tcPr>
            <w:tcW w:w="5560" w:type="dxa"/>
            <w:vAlign w:val="center"/>
          </w:tcPr>
          <w:p>
            <w:pPr>
              <w:spacing w:before="20" w:after="20" w:line="276" w:lineRule="auto"/>
            </w:pPr>
            <w:r>
              <w:rPr>
                <w:rFonts w:ascii="Times New Roman" w:hAnsi="Times New Roman" w:eastAsia="Times New Roman" w:cs="Times New Roman"/>
                <w:sz w:val="18"/>
                <w:szCs w:val="18"/>
              </w:rPr>
              <w:t xml:space="preserve">Limited listings, pricing assistant sample, basic leads, and upgrade prompt.</w:t>
            </w:r>
          </w:p>
        </w:tc>
      </w:tr>
      <w:tr>
        <w:tc>
          <w:tcPr>
            <w:tcW w:w="21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Seller/Dealer Pro</w:t>
            </w:r>
          </w:p>
        </w:tc>
        <w:tc>
          <w:tcPr>
            <w:tcW w:w="17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15-49 JOD</w:t>
            </w:r>
          </w:p>
        </w:tc>
        <w:tc>
          <w:tcPr>
            <w:tcW w:w="55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Listing management, CRM pipeline, boosts, assistant usage, performance dashboard, and agency access.</w:t>
            </w:r>
          </w:p>
        </w:tc>
      </w:tr>
      <w:tr>
        <w:tc>
          <w:tcPr>
            <w:tcW w:w="2100" w:type="dxa"/>
            <w:vAlign w:val="center"/>
          </w:tcPr>
          <w:p>
            <w:pPr>
              <w:spacing w:before="20" w:after="20" w:line="276" w:lineRule="auto"/>
            </w:pPr>
            <w:r>
              <w:rPr>
                <w:rFonts w:ascii="Times New Roman" w:hAnsi="Times New Roman" w:eastAsia="Times New Roman" w:cs="Times New Roman"/>
                <w:sz w:val="18"/>
                <w:szCs w:val="18"/>
              </w:rPr>
              <w:t xml:space="preserve">Developer/Investor SaaS</w:t>
            </w:r>
          </w:p>
        </w:tc>
        <w:tc>
          <w:tcPr>
            <w:tcW w:w="1700" w:type="dxa"/>
            <w:vAlign w:val="center"/>
          </w:tcPr>
          <w:p>
            <w:pPr>
              <w:spacing w:before="20" w:after="20" w:line="276" w:lineRule="auto"/>
            </w:pPr>
            <w:r>
              <w:rPr>
                <w:rFonts w:ascii="Times New Roman" w:hAnsi="Times New Roman" w:eastAsia="Times New Roman" w:cs="Times New Roman"/>
                <w:sz w:val="18"/>
                <w:szCs w:val="18"/>
              </w:rPr>
              <w:t xml:space="preserve">99-299 JOD</w:t>
            </w:r>
          </w:p>
        </w:tc>
        <w:tc>
          <w:tcPr>
            <w:tcW w:w="5560" w:type="dxa"/>
            <w:vAlign w:val="center"/>
          </w:tcPr>
          <w:p>
            <w:pPr>
              <w:spacing w:before="20" w:after="20" w:line="276" w:lineRule="auto"/>
            </w:pPr>
            <w:r>
              <w:rPr>
                <w:rFonts w:ascii="Times New Roman" w:hAnsi="Times New Roman" w:eastAsia="Times New Roman" w:cs="Times New Roman"/>
                <w:sz w:val="18"/>
                <w:szCs w:val="18"/>
              </w:rPr>
              <w:t xml:space="preserve">Market dashboards, forecasts, bulk reports, exports, API access, and project lead rooms.</w:t>
            </w:r>
          </w:p>
        </w:tc>
      </w:tr>
      <w:tr>
        <w:tc>
          <w:tcPr>
            <w:tcW w:w="21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Agency packages</w:t>
            </w:r>
          </w:p>
        </w:tc>
        <w:tc>
          <w:tcPr>
            <w:tcW w:w="17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Per package</w:t>
            </w:r>
          </w:p>
        </w:tc>
        <w:tc>
          <w:tcPr>
            <w:tcW w:w="55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Content and campaign services priced by listing, monthly bundle, or project launch.</w:t>
            </w:r>
          </w:p>
        </w:tc>
      </w:tr>
    </w:tbl>
    <w:p>
      <w:r>
        <w:br w:type="page"/>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10. Technical Stack and Product Interfaces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1900"/>
        <w:gridCol w:w="2600"/>
        <w:gridCol w:w="4860"/>
      </w:tblGrid>
      <w:tr>
        <w:tc>
          <w:tcPr>
            <w:tcW w:w="19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Layer</w:t>
            </w:r>
          </w:p>
        </w:tc>
        <w:tc>
          <w:tcPr>
            <w:tcW w:w="26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Recommended technology</w:t>
            </w:r>
          </w:p>
        </w:tc>
        <w:tc>
          <w:tcPr>
            <w:tcW w:w="48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Rationale</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Mobile app</w:t>
            </w:r>
          </w:p>
        </w:tc>
        <w:tc>
          <w:tcPr>
            <w:tcW w:w="2600" w:type="dxa"/>
            <w:vAlign w:val="center"/>
          </w:tcPr>
          <w:p>
            <w:pPr>
              <w:spacing w:before="20" w:after="20" w:line="276" w:lineRule="auto"/>
            </w:pPr>
            <w:r>
              <w:rPr>
                <w:rFonts w:ascii="Times New Roman" w:hAnsi="Times New Roman" w:eastAsia="Times New Roman" w:cs="Times New Roman"/>
                <w:sz w:val="18"/>
                <w:szCs w:val="18"/>
              </w:rPr>
              <w:t xml:space="preserve">Flutter</w:t>
            </w:r>
          </w:p>
        </w:tc>
        <w:tc>
          <w:tcPr>
            <w:tcW w:w="4860" w:type="dxa"/>
            <w:vAlign w:val="center"/>
          </w:tcPr>
          <w:p>
            <w:pPr>
              <w:spacing w:before="20" w:after="20" w:line="276" w:lineRule="auto"/>
            </w:pPr>
            <w:r>
              <w:rPr>
                <w:rFonts w:ascii="Times New Roman" w:hAnsi="Times New Roman" w:eastAsia="Times New Roman" w:cs="Times New Roman"/>
                <w:sz w:val="18"/>
                <w:szCs w:val="18"/>
              </w:rPr>
              <w:t xml:space="preserve">Single codebase for iOS and Android with native-feeling performance.</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Backend</w:t>
            </w:r>
          </w:p>
        </w:tc>
        <w:tc>
          <w:tcPr>
            <w:tcW w:w="26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FastAPI</w:t>
            </w:r>
          </w:p>
        </w:tc>
        <w:tc>
          <w:tcPr>
            <w:tcW w:w="4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Python-native ML serving, async APIs, and clean OpenAPI documentation.</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Database</w:t>
            </w:r>
          </w:p>
        </w:tc>
        <w:tc>
          <w:tcPr>
            <w:tcW w:w="2600" w:type="dxa"/>
            <w:vAlign w:val="center"/>
          </w:tcPr>
          <w:p>
            <w:pPr>
              <w:spacing w:before="20" w:after="20" w:line="276" w:lineRule="auto"/>
            </w:pPr>
            <w:r>
              <w:rPr>
                <w:rFonts w:ascii="Times New Roman" w:hAnsi="Times New Roman" w:eastAsia="Times New Roman" w:cs="Times New Roman"/>
                <w:sz w:val="18"/>
                <w:szCs w:val="18"/>
              </w:rPr>
              <w:t xml:space="preserve">PostgreSQL + PostGIS</w:t>
            </w:r>
          </w:p>
        </w:tc>
        <w:tc>
          <w:tcPr>
            <w:tcW w:w="4860" w:type="dxa"/>
            <w:vAlign w:val="center"/>
          </w:tcPr>
          <w:p>
            <w:pPr>
              <w:spacing w:before="20" w:after="20" w:line="276" w:lineRule="auto"/>
            </w:pPr>
            <w:r>
              <w:rPr>
                <w:rFonts w:ascii="Times New Roman" w:hAnsi="Times New Roman" w:eastAsia="Times New Roman" w:cs="Times New Roman"/>
                <w:sz w:val="18"/>
                <w:szCs w:val="18"/>
              </w:rPr>
              <w:t xml:space="preserve">Structured property data, geospatial queries, zones, and proximity features.</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Vector search</w:t>
            </w:r>
          </w:p>
        </w:tc>
        <w:tc>
          <w:tcPr>
            <w:tcW w:w="26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Pinecone or Milvus</w:t>
            </w:r>
          </w:p>
        </w:tc>
        <w:tc>
          <w:tcPr>
            <w:tcW w:w="4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High-speed matching between user profiles and property/offering embeddings.</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ML stack</w:t>
            </w:r>
          </w:p>
        </w:tc>
        <w:tc>
          <w:tcPr>
            <w:tcW w:w="2600" w:type="dxa"/>
            <w:vAlign w:val="center"/>
          </w:tcPr>
          <w:p>
            <w:pPr>
              <w:spacing w:before="20" w:after="20" w:line="276" w:lineRule="auto"/>
            </w:pPr>
            <w:r>
              <w:rPr>
                <w:rFonts w:ascii="Times New Roman" w:hAnsi="Times New Roman" w:eastAsia="Times New Roman" w:cs="Times New Roman"/>
                <w:sz w:val="18"/>
                <w:szCs w:val="18"/>
              </w:rPr>
              <w:t xml:space="preserve">XGBoost, LightGBM, Prophet, PyTorch</w:t>
            </w:r>
          </w:p>
        </w:tc>
        <w:tc>
          <w:tcPr>
            <w:tcW w:w="4860" w:type="dxa"/>
            <w:vAlign w:val="center"/>
          </w:tcPr>
          <w:p>
            <w:pPr>
              <w:spacing w:before="20" w:after="20" w:line="276" w:lineRule="auto"/>
            </w:pPr>
            <w:r>
              <w:rPr>
                <w:rFonts w:ascii="Times New Roman" w:hAnsi="Times New Roman" w:eastAsia="Times New Roman" w:cs="Times New Roman"/>
                <w:sz w:val="18"/>
                <w:szCs w:val="18"/>
              </w:rPr>
              <w:t xml:space="preserve">AVM, forecasting, embeddings, and assistant support.</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Data pipelines</w:t>
            </w:r>
          </w:p>
        </w:tc>
        <w:tc>
          <w:tcPr>
            <w:tcW w:w="26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Scrapy, Airflow, validation jobs</w:t>
            </w:r>
          </w:p>
        </w:tc>
        <w:tc>
          <w:tcPr>
            <w:tcW w:w="4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Listing ingestion, cleaning, deduplication, and scheduled retraining.</w:t>
            </w:r>
          </w:p>
        </w:tc>
      </w:tr>
      <w:tr>
        <w:tc>
          <w:tcPr>
            <w:tcW w:w="1900" w:type="dxa"/>
            <w:vAlign w:val="center"/>
          </w:tcPr>
          <w:p>
            <w:pPr>
              <w:spacing w:before="20" w:after="20" w:line="276" w:lineRule="auto"/>
            </w:pPr>
            <w:r>
              <w:rPr>
                <w:rFonts w:ascii="Times New Roman" w:hAnsi="Times New Roman" w:eastAsia="Times New Roman" w:cs="Times New Roman"/>
                <w:sz w:val="18"/>
                <w:szCs w:val="18"/>
              </w:rPr>
              <w:t xml:space="preserve">Analytics</w:t>
            </w:r>
          </w:p>
        </w:tc>
        <w:tc>
          <w:tcPr>
            <w:tcW w:w="2600" w:type="dxa"/>
            <w:vAlign w:val="center"/>
          </w:tcPr>
          <w:p>
            <w:pPr>
              <w:spacing w:before="20" w:after="20" w:line="276" w:lineRule="auto"/>
            </w:pPr>
            <w:r>
              <w:rPr>
                <w:rFonts w:ascii="Times New Roman" w:hAnsi="Times New Roman" w:eastAsia="Times New Roman" w:cs="Times New Roman"/>
                <w:sz w:val="18"/>
                <w:szCs w:val="18"/>
              </w:rPr>
              <w:t xml:space="preserve">Mixpanel + Sentry</w:t>
            </w:r>
          </w:p>
        </w:tc>
        <w:tc>
          <w:tcPr>
            <w:tcW w:w="4860" w:type="dxa"/>
            <w:vAlign w:val="center"/>
          </w:tcPr>
          <w:p>
            <w:pPr>
              <w:spacing w:before="20" w:after="20" w:line="276" w:lineRule="auto"/>
            </w:pPr>
            <w:r>
              <w:rPr>
                <w:rFonts w:ascii="Times New Roman" w:hAnsi="Times New Roman" w:eastAsia="Times New Roman" w:cs="Times New Roman"/>
                <w:sz w:val="18"/>
                <w:szCs w:val="18"/>
              </w:rPr>
              <w:t xml:space="preserve">Funnel metrics, behavior tracking, lead-room events, and error monitoring.</w:t>
            </w:r>
          </w:p>
        </w:tc>
      </w:tr>
      <w:tr>
        <w:tc>
          <w:tcPr>
            <w:tcW w:w="1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Auth</w:t>
            </w:r>
          </w:p>
        </w:tc>
        <w:tc>
          <w:tcPr>
            <w:tcW w:w="26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Firebase Auth or JWT-based auth</w:t>
            </w:r>
          </w:p>
        </w:tc>
        <w:tc>
          <w:tcPr>
            <w:tcW w:w="4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Role-aware access control, social login, and admin/dealer separation.</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Key product interfaces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User roles: Buyer, Investor, Seller, Dealer/Broker, AqariX Admin, Agency Operator.</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Offering analysis object: fair value, listed-price gap, bargain range, forecast horizon, confidence level, comparable properties, location momentum, liquidity estimate, and recommendation label.</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Lead room object: property, buyer/investor, seller/dealer, stage, messages, tasks, appointments, offer history, admin flags, and outcome.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Seller trial object: trial start/end, listing limit, assistant usage, upgrade status, agency add-on eligibility, and conversion trigger.</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Dashboards: buyer/investor intelligence dashboard, seller/dealer CRM dashboard, admin supervision dashboard, and agency operations dashboard.</w:t>
      </w:r>
    </w:p>
    <w:p>
      <w:pPr>
        <w:pStyle w:val="Heading2"/>
        <w:keepNext/>
        <w:spacing w:before="220" w:after="100" w:line="276" w:lineRule="auto"/>
      </w:pPr>
      <w:r>
        <w:rPr>
          <w:rFonts w:ascii="Times New Roman" w:hAnsi="Times New Roman" w:eastAsia="Times New Roman" w:cs="Times New Roman"/>
          <w:b/>
          <w:bCs/>
          <w:color w:val="2E74B5"/>
          <w:sz w:val="25"/>
          <w:szCs w:val="25"/>
        </w:rPr>
        <w:t xml:space="preserve">Screen-level MVP map</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1600"/>
        <w:gridCol w:w="3900"/>
        <w:gridCol w:w="3860"/>
      </w:tblGrid>
      <w:tr>
        <w:tc>
          <w:tcPr>
            <w:tcW w:w="16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Role</w:t>
            </w:r>
          </w:p>
        </w:tc>
        <w:tc>
          <w:tcPr>
            <w:tcW w:w="39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Core screens</w:t>
            </w:r>
          </w:p>
        </w:tc>
        <w:tc>
          <w:tcPr>
            <w:tcW w:w="38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Primary workflow</w:t>
            </w:r>
          </w:p>
        </w:tc>
      </w:tr>
      <w:tr>
        <w:tc>
          <w:tcPr>
            <w:tcW w:w="1600" w:type="dxa"/>
            <w:vAlign w:val="center"/>
          </w:tcPr>
          <w:p>
            <w:pPr>
              <w:spacing w:before="20" w:after="20" w:line="276" w:lineRule="auto"/>
            </w:pPr>
            <w:r>
              <w:rPr>
                <w:rFonts w:ascii="Times New Roman" w:hAnsi="Times New Roman" w:eastAsia="Times New Roman" w:cs="Times New Roman"/>
                <w:sz w:val="18"/>
                <w:szCs w:val="18"/>
              </w:rPr>
              <w:t xml:space="preserve">Buyer/Investor</w:t>
            </w:r>
          </w:p>
        </w:tc>
        <w:tc>
          <w:tcPr>
            <w:tcW w:w="3900" w:type="dxa"/>
            <w:vAlign w:val="center"/>
          </w:tcPr>
          <w:p>
            <w:pPr>
              <w:spacing w:before="20" w:after="20" w:line="276" w:lineRule="auto"/>
            </w:pPr>
            <w:r>
              <w:rPr>
                <w:rFonts w:ascii="Times New Roman" w:hAnsi="Times New Roman" w:eastAsia="Times New Roman" w:cs="Times New Roman"/>
                <w:sz w:val="18"/>
                <w:szCs w:val="18"/>
              </w:rPr>
              <w:t xml:space="preserve">Intake, home/map, offering detail, analysis, comparison, saved, lead room, dashboard</w:t>
            </w:r>
          </w:p>
        </w:tc>
        <w:tc>
          <w:tcPr>
            <w:tcW w:w="3860" w:type="dxa"/>
            <w:vAlign w:val="center"/>
          </w:tcPr>
          <w:p>
            <w:pPr>
              <w:spacing w:before="20" w:after="20" w:line="276" w:lineRule="auto"/>
            </w:pPr>
            <w:r>
              <w:rPr>
                <w:rFonts w:ascii="Times New Roman" w:hAnsi="Times New Roman" w:eastAsia="Times New Roman" w:cs="Times New Roman"/>
                <w:sz w:val="18"/>
                <w:szCs w:val="18"/>
              </w:rPr>
              <w:t xml:space="preserve">Enter preferences, receive matched offerings, inspect analysis, compare, and start supervised communication.</w:t>
            </w:r>
          </w:p>
        </w:tc>
      </w:tr>
      <w:tr>
        <w:tc>
          <w:tcPr>
            <w:tcW w:w="16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Seller/Dealer</w:t>
            </w:r>
          </w:p>
        </w:tc>
        <w:tc>
          <w:tcPr>
            <w:tcW w:w="3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Trial, listing setup, pricing assistant, marketing assistant, CRM pipeline, boosts, agency orders, dashboard</w:t>
            </w:r>
          </w:p>
        </w:tc>
        <w:tc>
          <w:tcPr>
            <w:tcW w:w="3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List property, price intelligently, market better, manage leads, and upgrade.</w:t>
            </w:r>
          </w:p>
        </w:tc>
      </w:tr>
      <w:tr>
        <w:tc>
          <w:tcPr>
            <w:tcW w:w="1600" w:type="dxa"/>
            <w:vAlign w:val="center"/>
          </w:tcPr>
          <w:p>
            <w:pPr>
              <w:spacing w:before="20" w:after="20" w:line="276" w:lineRule="auto"/>
            </w:pPr>
            <w:r>
              <w:rPr>
                <w:rFonts w:ascii="Times New Roman" w:hAnsi="Times New Roman" w:eastAsia="Times New Roman" w:cs="Times New Roman"/>
                <w:sz w:val="18"/>
                <w:szCs w:val="18"/>
              </w:rPr>
              <w:t xml:space="preserve">Admin</w:t>
            </w:r>
          </w:p>
        </w:tc>
        <w:tc>
          <w:tcPr>
            <w:tcW w:w="3900" w:type="dxa"/>
            <w:vAlign w:val="center"/>
          </w:tcPr>
          <w:p>
            <w:pPr>
              <w:spacing w:before="20" w:after="20" w:line="276" w:lineRule="auto"/>
            </w:pPr>
            <w:r>
              <w:rPr>
                <w:rFonts w:ascii="Times New Roman" w:hAnsi="Times New Roman" w:eastAsia="Times New Roman" w:cs="Times New Roman"/>
                <w:sz w:val="18"/>
                <w:szCs w:val="18"/>
              </w:rPr>
              <w:t xml:space="preserve">Lead rooms, quality flags, user/listing review, marketplace KPIs, agency queue</w:t>
            </w:r>
          </w:p>
        </w:tc>
        <w:tc>
          <w:tcPr>
            <w:tcW w:w="3860" w:type="dxa"/>
            <w:vAlign w:val="center"/>
          </w:tcPr>
          <w:p>
            <w:pPr>
              <w:spacing w:before="20" w:after="20" w:line="276" w:lineRule="auto"/>
            </w:pPr>
            <w:r>
              <w:rPr>
                <w:rFonts w:ascii="Times New Roman" w:hAnsi="Times New Roman" w:eastAsia="Times New Roman" w:cs="Times New Roman"/>
                <w:sz w:val="18"/>
                <w:szCs w:val="18"/>
              </w:rPr>
              <w:t xml:space="preserve">Supervise communication, resolve issues, monitor platform health, and improve trust.</w:t>
            </w:r>
          </w:p>
        </w:tc>
      </w:tr>
      <w:tr>
        <w:tc>
          <w:tcPr>
            <w:tcW w:w="16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Agency Operator</w:t>
            </w:r>
          </w:p>
        </w:tc>
        <w:tc>
          <w:tcPr>
            <w:tcW w:w="39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Orders, asset checklist, production status, approvals, campaign reporting</w:t>
            </w:r>
          </w:p>
        </w:tc>
        <w:tc>
          <w:tcPr>
            <w:tcW w:w="38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Deliver paid media assets and connect them back to listing performance.</w:t>
            </w:r>
          </w:p>
        </w:tc>
      </w:tr>
    </w:tbl>
    <w:p>
      <w:r>
        <w:br w:type="page"/>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11. Role-Complete MVP Roadmap</w:t>
      </w:r>
    </w:p>
    <w:p>
      <w:pPr>
        <w:keepLines/>
        <w:spacing w:before="70" w:after="90" w:line="276" w:lineRule="auto"/>
      </w:pPr>
      <w:r>
        <w:rPr>
          <w:rFonts w:ascii="Times New Roman" w:hAnsi="Times New Roman" w:eastAsia="Times New Roman" w:cs="Times New Roman"/>
          <w:sz w:val="21"/>
          <w:szCs w:val="21"/>
        </w:rPr>
        <w:t xml:space="preserve">The MVP should be heavy balanced: all major roles exist from the first release, but the product does not try to automate every enterprise use case immediately. The first version should feel complete enough for each user type to understand why AqariX exists.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2100"/>
        <w:gridCol w:w="1600"/>
        <w:gridCol w:w="5660"/>
      </w:tblGrid>
      <w:tr>
        <w:tc>
          <w:tcPr>
            <w:tcW w:w="21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Phase</w:t>
            </w:r>
          </w:p>
        </w:tc>
        <w:tc>
          <w:tcPr>
            <w:tcW w:w="16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Timeline</w:t>
            </w:r>
          </w:p>
        </w:tc>
        <w:tc>
          <w:tcPr>
            <w:tcW w:w="56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Outcome</w:t>
            </w:r>
          </w:p>
        </w:tc>
      </w:tr>
      <w:tr>
        <w:tc>
          <w:tcPr>
            <w:tcW w:w="2100" w:type="dxa"/>
            <w:vAlign w:val="center"/>
          </w:tcPr>
          <w:p>
            <w:pPr>
              <w:spacing w:before="20" w:after="20" w:line="276" w:lineRule="auto"/>
            </w:pPr>
            <w:r>
              <w:rPr>
                <w:rFonts w:ascii="Times New Roman" w:hAnsi="Times New Roman" w:eastAsia="Times New Roman" w:cs="Times New Roman"/>
                <w:sz w:val="18"/>
                <w:szCs w:val="18"/>
              </w:rPr>
              <w:t xml:space="preserve">Phase 0 - Foundation</w:t>
            </w:r>
          </w:p>
        </w:tc>
        <w:tc>
          <w:tcPr>
            <w:tcW w:w="1600" w:type="dxa"/>
            <w:vAlign w:val="center"/>
          </w:tcPr>
          <w:p>
            <w:pPr>
              <w:spacing w:before="20" w:after="20" w:line="276" w:lineRule="auto"/>
            </w:pPr>
            <w:r>
              <w:rPr>
                <w:rFonts w:ascii="Times New Roman" w:hAnsi="Times New Roman" w:eastAsia="Times New Roman" w:cs="Times New Roman"/>
                <w:sz w:val="18"/>
                <w:szCs w:val="18"/>
              </w:rPr>
              <w:t xml:space="preserve">Weeks 1-4</w:t>
            </w:r>
          </w:p>
        </w:tc>
        <w:tc>
          <w:tcPr>
            <w:tcW w:w="5660" w:type="dxa"/>
            <w:vAlign w:val="center"/>
          </w:tcPr>
          <w:p>
            <w:pPr>
              <w:spacing w:before="20" w:after="20" w:line="276" w:lineRule="auto"/>
            </w:pPr>
            <w:r>
              <w:rPr>
                <w:rFonts w:ascii="Times New Roman" w:hAnsi="Times New Roman" w:eastAsia="Times New Roman" w:cs="Times New Roman"/>
                <w:sz w:val="18"/>
                <w:szCs w:val="18"/>
              </w:rPr>
              <w:t xml:space="preserve">Data schema, PostGIS setup, listing ingestion plan, initial zones, auth roles, and design system.</w:t>
            </w:r>
          </w:p>
        </w:tc>
      </w:tr>
      <w:tr>
        <w:tc>
          <w:tcPr>
            <w:tcW w:w="21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Phase 1 - AI/data core</w:t>
            </w:r>
          </w:p>
        </w:tc>
        <w:tc>
          <w:tcPr>
            <w:tcW w:w="16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Weeks 5-12</w:t>
            </w:r>
          </w:p>
        </w:tc>
        <w:tc>
          <w:tcPr>
            <w:tcW w:w="56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AVM baseline, comparable logic, recommendation baseline, forecast prototype, and offering-analysis API.</w:t>
            </w:r>
          </w:p>
        </w:tc>
      </w:tr>
      <w:tr>
        <w:tc>
          <w:tcPr>
            <w:tcW w:w="2100" w:type="dxa"/>
            <w:vAlign w:val="center"/>
          </w:tcPr>
          <w:p>
            <w:pPr>
              <w:spacing w:before="20" w:after="20" w:line="276" w:lineRule="auto"/>
            </w:pPr>
            <w:r>
              <w:rPr>
                <w:rFonts w:ascii="Times New Roman" w:hAnsi="Times New Roman" w:eastAsia="Times New Roman" w:cs="Times New Roman"/>
                <w:sz w:val="18"/>
                <w:szCs w:val="18"/>
              </w:rPr>
              <w:t xml:space="preserve">Phase 2 - Role-complete MVP</w:t>
            </w:r>
          </w:p>
        </w:tc>
        <w:tc>
          <w:tcPr>
            <w:tcW w:w="1600" w:type="dxa"/>
            <w:vAlign w:val="center"/>
          </w:tcPr>
          <w:p>
            <w:pPr>
              <w:spacing w:before="20" w:after="20" w:line="276" w:lineRule="auto"/>
            </w:pPr>
            <w:r>
              <w:rPr>
                <w:rFonts w:ascii="Times New Roman" w:hAnsi="Times New Roman" w:eastAsia="Times New Roman" w:cs="Times New Roman"/>
                <w:sz w:val="18"/>
                <w:szCs w:val="18"/>
              </w:rPr>
              <w:t xml:space="preserve">Weeks 9-20</w:t>
            </w:r>
          </w:p>
        </w:tc>
        <w:tc>
          <w:tcPr>
            <w:tcW w:w="5660" w:type="dxa"/>
            <w:vAlign w:val="center"/>
          </w:tcPr>
          <w:p>
            <w:pPr>
              <w:spacing w:before="20" w:after="20" w:line="276" w:lineRule="auto"/>
            </w:pPr>
            <w:r>
              <w:rPr>
                <w:rFonts w:ascii="Times New Roman" w:hAnsi="Times New Roman" w:eastAsia="Times New Roman" w:cs="Times New Roman"/>
                <w:sz w:val="18"/>
                <w:szCs w:val="18"/>
              </w:rPr>
              <w:t xml:space="preserve">Buyer/investor app, seller/dealer portal, managed lead room, admin dashboard, and agency order flow.</w:t>
            </w:r>
          </w:p>
        </w:tc>
      </w:tr>
      <w:tr>
        <w:tc>
          <w:tcPr>
            <w:tcW w:w="21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Phase 3 - Closed beta</w:t>
            </w:r>
          </w:p>
        </w:tc>
        <w:tc>
          <w:tcPr>
            <w:tcW w:w="16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Weeks 21-28</w:t>
            </w:r>
          </w:p>
        </w:tc>
        <w:tc>
          <w:tcPr>
            <w:tcW w:w="56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200-500 beta users, seller/dealer trial, supervised lead-room testing, agency pilot, and model calibration.</w:t>
            </w:r>
          </w:p>
        </w:tc>
      </w:tr>
      <w:tr>
        <w:tc>
          <w:tcPr>
            <w:tcW w:w="2100" w:type="dxa"/>
            <w:vAlign w:val="center"/>
          </w:tcPr>
          <w:p>
            <w:pPr>
              <w:spacing w:before="20" w:after="20" w:line="276" w:lineRule="auto"/>
            </w:pPr>
            <w:r>
              <w:rPr>
                <w:rFonts w:ascii="Times New Roman" w:hAnsi="Times New Roman" w:eastAsia="Times New Roman" w:cs="Times New Roman"/>
                <w:sz w:val="18"/>
                <w:szCs w:val="18"/>
              </w:rPr>
              <w:t xml:space="preserve">Phase 4 - Public launch</w:t>
            </w:r>
          </w:p>
        </w:tc>
        <w:tc>
          <w:tcPr>
            <w:tcW w:w="1600" w:type="dxa"/>
            <w:vAlign w:val="center"/>
          </w:tcPr>
          <w:p>
            <w:pPr>
              <w:spacing w:before="20" w:after="20" w:line="276" w:lineRule="auto"/>
            </w:pPr>
            <w:r>
              <w:rPr>
                <w:rFonts w:ascii="Times New Roman" w:hAnsi="Times New Roman" w:eastAsia="Times New Roman" w:cs="Times New Roman"/>
                <w:sz w:val="18"/>
                <w:szCs w:val="18"/>
              </w:rPr>
              <w:t xml:space="preserve">Weeks 29-36</w:t>
            </w:r>
          </w:p>
        </w:tc>
        <w:tc>
          <w:tcPr>
            <w:tcW w:w="5660" w:type="dxa"/>
            <w:vAlign w:val="center"/>
          </w:tcPr>
          <w:p>
            <w:pPr>
              <w:spacing w:before="20" w:after="20" w:line="276" w:lineRule="auto"/>
            </w:pPr>
            <w:r>
              <w:rPr>
                <w:rFonts w:ascii="Times New Roman" w:hAnsi="Times New Roman" w:eastAsia="Times New Roman" w:cs="Times New Roman"/>
                <w:sz w:val="18"/>
                <w:szCs w:val="18"/>
              </w:rPr>
              <w:t xml:space="preserve">Amman/Irbid launch, paid campaigns, dealer CRM subscriptions, Smart Boosts, premium reports, and B2B outreach.</w:t>
            </w:r>
          </w:p>
        </w:tc>
      </w:tr>
    </w:tbl>
    <w:p>
      <w:pPr>
        <w:pStyle w:val="Heading2"/>
        <w:keepNext/>
        <w:spacing w:before="220" w:after="100" w:line="276" w:lineRule="auto"/>
      </w:pPr>
      <w:r>
        <w:rPr>
          <w:rFonts w:ascii="Times New Roman" w:hAnsi="Times New Roman" w:eastAsia="Times New Roman" w:cs="Times New Roman"/>
          <w:b/>
          <w:bCs/>
          <w:color w:val="2E74B5"/>
          <w:sz w:val="25"/>
          <w:szCs w:val="25"/>
        </w:rPr>
        <w:t xml:space="preserve">MVP success metrics</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4300"/>
        <w:gridCol w:w="5060"/>
      </w:tblGrid>
      <w:tr>
        <w:tc>
          <w:tcPr>
            <w:tcW w:w="43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Metric</w:t>
            </w:r>
          </w:p>
        </w:tc>
        <w:tc>
          <w:tcPr>
            <w:tcW w:w="50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Target by Week 36</w:t>
            </w:r>
          </w:p>
        </w:tc>
      </w:tr>
      <w:tr>
        <w:tc>
          <w:tcPr>
            <w:tcW w:w="4300" w:type="dxa"/>
            <w:vAlign w:val="center"/>
          </w:tcPr>
          <w:p>
            <w:pPr>
              <w:spacing w:before="20" w:after="20" w:line="276" w:lineRule="auto"/>
            </w:pPr>
            <w:r>
              <w:rPr>
                <w:rFonts w:ascii="Times New Roman" w:hAnsi="Times New Roman" w:eastAsia="Times New Roman" w:cs="Times New Roman"/>
                <w:sz w:val="18"/>
                <w:szCs w:val="18"/>
              </w:rPr>
              <w:t xml:space="preserve">Registered users</w:t>
            </w:r>
          </w:p>
        </w:tc>
        <w:tc>
          <w:tcPr>
            <w:tcW w:w="5060" w:type="dxa"/>
            <w:vAlign w:val="center"/>
          </w:tcPr>
          <w:p>
            <w:pPr>
              <w:spacing w:before="20" w:after="20" w:line="276" w:lineRule="auto"/>
            </w:pPr>
            <w:r>
              <w:rPr>
                <w:rFonts w:ascii="Times New Roman" w:hAnsi="Times New Roman" w:eastAsia="Times New Roman" w:cs="Times New Roman"/>
                <w:sz w:val="18"/>
                <w:szCs w:val="18"/>
              </w:rPr>
              <w:t xml:space="preserve">5,000+</w:t>
            </w:r>
          </w:p>
        </w:tc>
      </w:tr>
      <w:tr>
        <w:tc>
          <w:tcPr>
            <w:tcW w:w="4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Monthly active users</w:t>
            </w:r>
          </w:p>
        </w:tc>
        <w:tc>
          <w:tcPr>
            <w:tcW w:w="5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1,500+</w:t>
            </w:r>
          </w:p>
        </w:tc>
      </w:tr>
      <w:tr>
        <w:tc>
          <w:tcPr>
            <w:tcW w:w="4300" w:type="dxa"/>
            <w:vAlign w:val="center"/>
          </w:tcPr>
          <w:p>
            <w:pPr>
              <w:spacing w:before="20" w:after="20" w:line="276" w:lineRule="auto"/>
            </w:pPr>
            <w:r>
              <w:rPr>
                <w:rFonts w:ascii="Times New Roman" w:hAnsi="Times New Roman" w:eastAsia="Times New Roman" w:cs="Times New Roman"/>
                <w:sz w:val="18"/>
                <w:szCs w:val="18"/>
              </w:rPr>
              <w:t xml:space="preserve">AI valuations / month</w:t>
            </w:r>
          </w:p>
        </w:tc>
        <w:tc>
          <w:tcPr>
            <w:tcW w:w="5060" w:type="dxa"/>
            <w:vAlign w:val="center"/>
          </w:tcPr>
          <w:p>
            <w:pPr>
              <w:spacing w:before="20" w:after="20" w:line="276" w:lineRule="auto"/>
            </w:pPr>
            <w:r>
              <w:rPr>
                <w:rFonts w:ascii="Times New Roman" w:hAnsi="Times New Roman" w:eastAsia="Times New Roman" w:cs="Times New Roman"/>
                <w:sz w:val="18"/>
                <w:szCs w:val="18"/>
              </w:rPr>
              <w:t xml:space="preserve">2,000+</w:t>
            </w:r>
          </w:p>
        </w:tc>
      </w:tr>
      <w:tr>
        <w:tc>
          <w:tcPr>
            <w:tcW w:w="4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Offering analysis views / month</w:t>
            </w:r>
          </w:p>
        </w:tc>
        <w:tc>
          <w:tcPr>
            <w:tcW w:w="5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3,000+</w:t>
            </w:r>
          </w:p>
        </w:tc>
      </w:tr>
      <w:tr>
        <w:tc>
          <w:tcPr>
            <w:tcW w:w="4300" w:type="dxa"/>
            <w:vAlign w:val="center"/>
          </w:tcPr>
          <w:p>
            <w:pPr>
              <w:spacing w:before="20" w:after="20" w:line="276" w:lineRule="auto"/>
            </w:pPr>
            <w:r>
              <w:rPr>
                <w:rFonts w:ascii="Times New Roman" w:hAnsi="Times New Roman" w:eastAsia="Times New Roman" w:cs="Times New Roman"/>
                <w:sz w:val="18"/>
                <w:szCs w:val="18"/>
              </w:rPr>
              <w:t xml:space="preserve">Lead-room conversion from analysis CTA</w:t>
            </w:r>
          </w:p>
        </w:tc>
        <w:tc>
          <w:tcPr>
            <w:tcW w:w="5060" w:type="dxa"/>
            <w:vAlign w:val="center"/>
          </w:tcPr>
          <w:p>
            <w:pPr>
              <w:spacing w:before="20" w:after="20" w:line="276" w:lineRule="auto"/>
            </w:pPr>
            <w:r>
              <w:rPr>
                <w:rFonts w:ascii="Times New Roman" w:hAnsi="Times New Roman" w:eastAsia="Times New Roman" w:cs="Times New Roman"/>
                <w:sz w:val="18"/>
                <w:szCs w:val="18"/>
              </w:rPr>
              <w:t xml:space="preserve">8-12%</w:t>
            </w:r>
          </w:p>
        </w:tc>
      </w:tr>
      <w:tr>
        <w:tc>
          <w:tcPr>
            <w:tcW w:w="4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Active seller/dealer accounts</w:t>
            </w:r>
          </w:p>
        </w:tc>
        <w:tc>
          <w:tcPr>
            <w:tcW w:w="5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150+</w:t>
            </w:r>
          </w:p>
        </w:tc>
      </w:tr>
      <w:tr>
        <w:tc>
          <w:tcPr>
            <w:tcW w:w="4300" w:type="dxa"/>
            <w:vAlign w:val="center"/>
          </w:tcPr>
          <w:p>
            <w:pPr>
              <w:spacing w:before="20" w:after="20" w:line="276" w:lineRule="auto"/>
            </w:pPr>
            <w:r>
              <w:rPr>
                <w:rFonts w:ascii="Times New Roman" w:hAnsi="Times New Roman" w:eastAsia="Times New Roman" w:cs="Times New Roman"/>
                <w:sz w:val="18"/>
                <w:szCs w:val="18"/>
              </w:rPr>
              <w:t xml:space="preserve">Paying dealer/CRM accounts</w:t>
            </w:r>
          </w:p>
        </w:tc>
        <w:tc>
          <w:tcPr>
            <w:tcW w:w="5060" w:type="dxa"/>
            <w:vAlign w:val="center"/>
          </w:tcPr>
          <w:p>
            <w:pPr>
              <w:spacing w:before="20" w:after="20" w:line="276" w:lineRule="auto"/>
            </w:pPr>
            <w:r>
              <w:rPr>
                <w:rFonts w:ascii="Times New Roman" w:hAnsi="Times New Roman" w:eastAsia="Times New Roman" w:cs="Times New Roman"/>
                <w:sz w:val="18"/>
                <w:szCs w:val="18"/>
              </w:rPr>
              <w:t xml:space="preserve">25-50</w:t>
            </w:r>
          </w:p>
        </w:tc>
      </w:tr>
      <w:tr>
        <w:tc>
          <w:tcPr>
            <w:tcW w:w="43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Agency package attach rate</w:t>
            </w:r>
          </w:p>
        </w:tc>
        <w:tc>
          <w:tcPr>
            <w:tcW w:w="50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5-10% of active sellers/dealers</w:t>
            </w:r>
          </w:p>
        </w:tc>
      </w:tr>
      <w:tr>
        <w:tc>
          <w:tcPr>
            <w:tcW w:w="4300" w:type="dxa"/>
            <w:vAlign w:val="center"/>
          </w:tcPr>
          <w:p>
            <w:pPr>
              <w:spacing w:before="20" w:after="20" w:line="276" w:lineRule="auto"/>
            </w:pPr>
            <w:r>
              <w:rPr>
                <w:rFonts w:ascii="Times New Roman" w:hAnsi="Times New Roman" w:eastAsia="Times New Roman" w:cs="Times New Roman"/>
                <w:sz w:val="18"/>
                <w:szCs w:val="18"/>
              </w:rPr>
              <w:t xml:space="preserve">AVM MAPE in supported zones</w:t>
            </w:r>
          </w:p>
        </w:tc>
        <w:tc>
          <w:tcPr>
            <w:tcW w:w="5060" w:type="dxa"/>
            <w:vAlign w:val="center"/>
          </w:tcPr>
          <w:p>
            <w:pPr>
              <w:spacing w:before="20" w:after="20" w:line="276" w:lineRule="auto"/>
            </w:pPr>
            <w:r>
              <w:rPr>
                <w:rFonts w:ascii="Times New Roman" w:hAnsi="Times New Roman" w:eastAsia="Times New Roman" w:cs="Times New Roman"/>
                <w:sz w:val="18"/>
                <w:szCs w:val="18"/>
              </w:rPr>
              <w:t xml:space="preserve">Below 12-15%, with confidence shown</w:t>
            </w:r>
          </w:p>
        </w:tc>
      </w:tr>
    </w:tbl>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12. Recommended Enhancements and Expansion Ideas</w:t>
      </w:r>
    </w:p>
    <w:p>
      <w:pPr>
        <w:keepLines/>
        <w:spacing w:before="70" w:after="90" w:line="276" w:lineRule="auto"/>
      </w:pPr>
      <w:r>
        <w:rPr>
          <w:rFonts w:ascii="Times New Roman" w:hAnsi="Times New Roman" w:eastAsia="Times New Roman" w:cs="Times New Roman"/>
          <w:sz w:val="21"/>
          <w:szCs w:val="21"/>
        </w:rPr>
        <w:t xml:space="preserve">The following ideas strengthen the platform moat and can be prioritized after the role-complete MVP proves demand. They should remain in the proposal as expansion options, not as requirements that block launch.</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Verified Listing Badge: confirm ownership, area, identity, and listing authenticity where operationally possible.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Mortgage and Affordability Calculator: estimate buyer budget, monthly payments, and financing readiness using local assumptions.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AqariX Score: turn multi-factor analysis into a recognizable brand asset on every listing card.</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Price Drop and Opportunity Alerts: notify users when saved or nearby offerings become more attractive.</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Rental Yield Calculator: estimate gross and net yield, break-even period, and risk for investor users.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Off-plan Project Tracker: let developers publish upcoming projects, milestones, payment schedules, and investor interest forms.</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Diaspora Mode: multi-currency, bilingual guidance, remote viewing, and trusted lead-room supervision for Jordanians abroad.</w:t>
      </w:r>
    </w:p>
    <w:p>
      <w:pPr>
        <w:ind w:left="720" w:hanging="360"/>
        <w:numPr>
          <w:ilvl w:val="0"/>
          <w:numId w:val="2"/>
        </w:numPr>
        <w:spacing w:before="30" w:after="45" w:line="276" w:lineRule="auto"/>
      </w:pPr>
      <w:r>
        <w:rPr>
          <w:rFonts w:ascii="Times New Roman" w:hAnsi="Times New Roman" w:eastAsia="Times New Roman" w:cs="Times New Roman"/>
          <w:sz w:val="20"/>
          <w:szCs w:val="20"/>
        </w:rPr>
        <w:t xml:space="preserve">API Access: paid AVM, market trends, and property intelligence APIs for banks, mortgage brokers, and legal or valuation firms.</w:t>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13. Risks, Compliance, and Mitigation</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2700"/>
        <w:gridCol w:w="6660"/>
      </w:tblGrid>
      <w:tr>
        <w:tc>
          <w:tcPr>
            <w:tcW w:w="27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Risk</w:t>
            </w:r>
          </w:p>
        </w:tc>
        <w:tc>
          <w:tcPr>
            <w:tcW w:w="66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Mitigation</w:t>
            </w:r>
          </w:p>
        </w:tc>
      </w:tr>
      <w:tr>
        <w:tc>
          <w:tcPr>
            <w:tcW w:w="2700" w:type="dxa"/>
            <w:vAlign w:val="center"/>
          </w:tcPr>
          <w:p>
            <w:pPr>
              <w:spacing w:before="20" w:after="20" w:line="276" w:lineRule="auto"/>
            </w:pPr>
            <w:r>
              <w:rPr>
                <w:rFonts w:ascii="Times New Roman" w:hAnsi="Times New Roman" w:eastAsia="Times New Roman" w:cs="Times New Roman"/>
                <w:sz w:val="18"/>
                <w:szCs w:val="18"/>
              </w:rPr>
              <w:t xml:space="preserve">Cold-start data quality</w:t>
            </w:r>
          </w:p>
        </w:tc>
        <w:tc>
          <w:tcPr>
            <w:tcW w:w="6660" w:type="dxa"/>
            <w:vAlign w:val="center"/>
          </w:tcPr>
          <w:p>
            <w:pPr>
              <w:spacing w:before="20" w:after="20" w:line="276" w:lineRule="auto"/>
            </w:pPr>
            <w:r>
              <w:rPr>
                <w:rFonts w:ascii="Times New Roman" w:hAnsi="Times New Roman" w:eastAsia="Times New Roman" w:cs="Times New Roman"/>
                <w:sz w:val="18"/>
                <w:szCs w:val="18"/>
              </w:rPr>
              <w:t xml:space="preserve">Launch in bounded zones, collect comparable evidence, label confidence, and use seller/dealer outcomes to calibrate.</w:t>
            </w:r>
          </w:p>
        </w:tc>
      </w:tr>
      <w:tr>
        <w:tc>
          <w:tcPr>
            <w:tcW w:w="27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AI trust and liability</w:t>
            </w:r>
          </w:p>
        </w:tc>
        <w:tc>
          <w:tcPr>
            <w:tcW w:w="66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Frame outputs as decision support, show confidence and sources, and include human review for disputes.</w:t>
            </w:r>
          </w:p>
        </w:tc>
      </w:tr>
      <w:tr>
        <w:tc>
          <w:tcPr>
            <w:tcW w:w="2700" w:type="dxa"/>
            <w:vAlign w:val="center"/>
          </w:tcPr>
          <w:p>
            <w:pPr>
              <w:spacing w:before="20" w:after="20" w:line="276" w:lineRule="auto"/>
            </w:pPr>
            <w:r>
              <w:rPr>
                <w:rFonts w:ascii="Times New Roman" w:hAnsi="Times New Roman" w:eastAsia="Times New Roman" w:cs="Times New Roman"/>
                <w:sz w:val="18"/>
                <w:szCs w:val="18"/>
              </w:rPr>
              <w:t xml:space="preserve">Off-platform leakage</w:t>
            </w:r>
          </w:p>
        </w:tc>
        <w:tc>
          <w:tcPr>
            <w:tcW w:w="6660" w:type="dxa"/>
            <w:vAlign w:val="center"/>
          </w:tcPr>
          <w:p>
            <w:pPr>
              <w:spacing w:before="20" w:after="20" w:line="276" w:lineRule="auto"/>
            </w:pPr>
            <w:r>
              <w:rPr>
                <w:rFonts w:ascii="Times New Roman" w:hAnsi="Times New Roman" w:eastAsia="Times New Roman" w:cs="Times New Roman"/>
                <w:sz w:val="18"/>
                <w:szCs w:val="18"/>
              </w:rPr>
              <w:t xml:space="preserve">Make the lead room valuable with reminders, records, assistant summaries, and dealer CRM reporting.</w:t>
            </w:r>
          </w:p>
        </w:tc>
      </w:tr>
      <w:tr>
        <w:tc>
          <w:tcPr>
            <w:tcW w:w="27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Broker resistance</w:t>
            </w:r>
          </w:p>
        </w:tc>
        <w:tc>
          <w:tcPr>
            <w:tcW w:w="66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Position AqariX as qualified demand, CRM, marketing, and trust infrastructure rather than a broker replacement.</w:t>
            </w:r>
          </w:p>
        </w:tc>
      </w:tr>
      <w:tr>
        <w:tc>
          <w:tcPr>
            <w:tcW w:w="2700" w:type="dxa"/>
            <w:vAlign w:val="center"/>
          </w:tcPr>
          <w:p>
            <w:pPr>
              <w:spacing w:before="20" w:after="20" w:line="276" w:lineRule="auto"/>
            </w:pPr>
            <w:r>
              <w:rPr>
                <w:rFonts w:ascii="Times New Roman" w:hAnsi="Times New Roman" w:eastAsia="Times New Roman" w:cs="Times New Roman"/>
                <w:sz w:val="18"/>
                <w:szCs w:val="18"/>
              </w:rPr>
              <w:t xml:space="preserve">Agency operations complexity</w:t>
            </w:r>
          </w:p>
        </w:tc>
        <w:tc>
          <w:tcPr>
            <w:tcW w:w="6660" w:type="dxa"/>
            <w:vAlign w:val="center"/>
          </w:tcPr>
          <w:p>
            <w:pPr>
              <w:spacing w:before="20" w:after="20" w:line="276" w:lineRule="auto"/>
            </w:pPr>
            <w:r>
              <w:rPr>
                <w:rFonts w:ascii="Times New Roman" w:hAnsi="Times New Roman" w:eastAsia="Times New Roman" w:cs="Times New Roman"/>
                <w:sz w:val="18"/>
                <w:szCs w:val="18"/>
              </w:rPr>
              <w:t xml:space="preserve">Start with simple packages, clear checklists, and manual delivery before automating production workflows.</w:t>
            </w:r>
          </w:p>
        </w:tc>
      </w:tr>
      <w:tr>
        <w:tc>
          <w:tcPr>
            <w:tcW w:w="27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Privacy and compliance</w:t>
            </w:r>
          </w:p>
        </w:tc>
        <w:tc>
          <w:tcPr>
            <w:tcW w:w="66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Use role-based access, consented data collection, message retention policies, and local legal review before launch.</w:t>
            </w:r>
          </w:p>
        </w:tc>
      </w:tr>
      <w:tr>
        <w:tc>
          <w:tcPr>
            <w:tcW w:w="2700" w:type="dxa"/>
            <w:vAlign w:val="center"/>
          </w:tcPr>
          <w:p>
            <w:pPr>
              <w:spacing w:before="20" w:after="20" w:line="276" w:lineRule="auto"/>
            </w:pPr>
            <w:r>
              <w:rPr>
                <w:rFonts w:ascii="Times New Roman" w:hAnsi="Times New Roman" w:eastAsia="Times New Roman" w:cs="Times New Roman"/>
                <w:sz w:val="18"/>
                <w:szCs w:val="18"/>
              </w:rPr>
              <w:t xml:space="preserve">Forecast overclaiming</w:t>
            </w:r>
          </w:p>
        </w:tc>
        <w:tc>
          <w:tcPr>
            <w:tcW w:w="6660" w:type="dxa"/>
            <w:vAlign w:val="center"/>
          </w:tcPr>
          <w:p>
            <w:pPr>
              <w:spacing w:before="20" w:after="20" w:line="276" w:lineRule="auto"/>
            </w:pPr>
            <w:r>
              <w:rPr>
                <w:rFonts w:ascii="Times New Roman" w:hAnsi="Times New Roman" w:eastAsia="Times New Roman" w:cs="Times New Roman"/>
                <w:sz w:val="18"/>
                <w:szCs w:val="18"/>
              </w:rPr>
              <w:t xml:space="preserve">Use conservative scenarios, caveats, and confidence ranges; never guarantee appreciation or investment outcomes.</w:t>
            </w:r>
          </w:p>
        </w:tc>
      </w:tr>
    </w:tbl>
    <w:p>
      <w:r>
        <w:br w:type="page"/>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14. Conclusion</w:t>
      </w:r>
    </w:p>
    <w:p>
      <w:pPr>
        <w:keepLines/>
        <w:spacing w:before="70" w:after="90" w:line="276" w:lineRule="auto"/>
      </w:pPr>
      <w:r>
        <w:rPr>
          <w:rFonts w:ascii="Times New Roman" w:hAnsi="Times New Roman" w:eastAsia="Times New Roman" w:cs="Times New Roman"/>
          <w:sz w:val="21"/>
          <w:szCs w:val="21"/>
        </w:rPr>
        <w:t xml:space="preserve">AqariX's strongest opportunity is not to become another place where properties are posted. Its strongest opportunity is to become the supervised intelligence and workflow layer for Jordanian real estate. Buyers and investors need targeted offerings, price analysis, forecasts, and better next steps. Sellers and dealers need pricing support, marketing support, CRM structure, and qualified leads that stay organized inside one platform.</w:t>
      </w:r>
    </w:p>
    <w:p>
      <w:pPr>
        <w:keepLines/>
        <w:spacing w:before="70" w:after="90" w:line="276" w:lineRule="auto"/>
      </w:pPr>
      <w:r>
        <w:rPr>
          <w:rFonts w:ascii="Times New Roman" w:hAnsi="Times New Roman" w:eastAsia="Times New Roman" w:cs="Times New Roman"/>
          <w:sz w:val="21"/>
          <w:szCs w:val="21"/>
        </w:rPr>
        <w:t xml:space="preserve">The Version 1.1 strategy makes AqariX more fundable and more buildable. It defines who the platform serves, what each role sees, how AI creates value, how communication is supervised, how dealers are retained, and how the business can monetize beyond listing ads. The first release should prove the highest-value loops: matched offerings, offer analysis, seller pricing, managed lead rooms, dealer CRM, and agency add-ons.</w:t>
      </w:r>
    </w:p>
    <w:p>
      <w:pPr>
        <w:keepLines/>
        <w:spacing w:before="70" w:after="90" w:line="276" w:lineRule="auto"/>
      </w:pPr>
      <w:r>
        <w:rPr>
          <w:rFonts w:ascii="Times New Roman" w:hAnsi="Times New Roman" w:eastAsia="Times New Roman" w:cs="Times New Roman"/>
          <w:sz w:val="21"/>
          <w:szCs w:val="21"/>
        </w:rPr>
        <w:t xml:space="preserve">If executed with disciplined data collection, clear AI confidence, and strong marketplace operations, AqariX can become the trusted operating layer for buying, selling, and investing in Jordanian real estate.</w:t>
      </w:r>
    </w:p>
    <w:p>
      <w:r>
        <w:br w:type="page"/>
      </w:r>
    </w:p>
    <w:p>
      <w:pPr>
        <w:pStyle w:val="Heading1"/>
        <w:keepNext/>
        <w:pBdr>
          <w:bottom w:val="single" w:color="2E74B5" w:sz="8" w:space="4"/>
        </w:pBdr>
        <w:spacing w:before="360" w:after="180" w:line="276" w:lineRule="auto"/>
      </w:pPr>
      <w:r>
        <w:rPr>
          <w:rFonts w:ascii="Times New Roman" w:hAnsi="Times New Roman" w:eastAsia="Times New Roman" w:cs="Times New Roman"/>
          <w:b/>
          <w:bCs/>
          <w:color w:val="1F4D78"/>
          <w:sz w:val="30"/>
          <w:szCs w:val="30"/>
        </w:rPr>
        <w:t xml:space="preserve">Appendix A. Sources and Evidence</w:t>
      </w:r>
    </w:p>
    <w:p>
      <w:pPr>
        <w:keepLines/>
        <w:spacing w:before="70" w:after="90" w:line="276" w:lineRule="auto"/>
      </w:pPr>
      <w:r>
        <w:rPr>
          <w:rFonts w:ascii="Times New Roman" w:hAnsi="Times New Roman" w:eastAsia="Times New Roman" w:cs="Times New Roman"/>
          <w:sz w:val="21"/>
          <w:szCs w:val="21"/>
        </w:rPr>
        <w:t xml:space="preserve">The proposal should cite market evidence conservatively and refresh these sources before external investor distribution. The numbers below are useful for positioning but should not be treated as audited AqariX data.</w:t>
      </w:r>
    </w:p>
    <w:tbl>
      <w:tblPr>
        <w:tblW w:w="936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blPr>
      <w:tblGrid>
        <w:gridCol w:w="3800"/>
        <w:gridCol w:w="5560"/>
      </w:tblGrid>
      <w:tr>
        <w:tc>
          <w:tcPr>
            <w:tcW w:w="380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Source</w:t>
            </w:r>
          </w:p>
        </w:tc>
        <w:tc>
          <w:tcPr>
            <w:tcW w:w="5560" w:type="dxa"/>
            <w:vAlign w:val="center"/>
            <w:shd w:val="clear" w:color="auto" w:fill="1F4D78"/>
          </w:tcPr>
          <w:p>
            <w:pPr>
              <w:spacing w:before="20" w:after="20" w:line="276" w:lineRule="auto"/>
            </w:pPr>
            <w:r>
              <w:rPr>
                <w:rFonts w:ascii="Times New Roman" w:hAnsi="Times New Roman" w:eastAsia="Times New Roman" w:cs="Times New Roman"/>
                <w:b/>
                <w:bCs/>
                <w:color w:val="FFFFFF"/>
                <w:sz w:val="19"/>
                <w:szCs w:val="19"/>
              </w:rPr>
              <w:t xml:space="preserve">Relevant use in proposal</w:t>
            </w:r>
          </w:p>
        </w:tc>
      </w:tr>
      <w:tr>
        <w:tc>
          <w:tcPr>
            <w:tcW w:w="3800" w:type="dxa"/>
            <w:vAlign w:val="center"/>
          </w:tcPr>
          <w:p>
            <w:pPr>
              <w:spacing w:before="20" w:after="20" w:line="276" w:lineRule="auto"/>
            </w:pPr>
            <w:r>
              <w:rPr>
                <w:rFonts w:ascii="Times New Roman" w:hAnsi="Times New Roman" w:eastAsia="Times New Roman" w:cs="Times New Roman"/>
                <w:sz w:val="18"/>
                <w:szCs w:val="18"/>
              </w:rPr>
              <w:t xml:space="preserve">Petra News Agency / Department of Land and Survey reporting on 2025 real estate trading volume</w:t>
            </w:r>
          </w:p>
        </w:tc>
        <w:tc>
          <w:tcPr>
            <w:tcW w:w="5560" w:type="dxa"/>
            <w:vAlign w:val="center"/>
          </w:tcPr>
          <w:p>
            <w:pPr>
              <w:spacing w:before="20" w:after="20" w:line="276" w:lineRule="auto"/>
            </w:pPr>
            <w:r>
              <w:rPr>
                <w:rFonts w:ascii="Times New Roman" w:hAnsi="Times New Roman" w:eastAsia="Times New Roman" w:cs="Times New Roman"/>
                <w:sz w:val="18"/>
                <w:szCs w:val="18"/>
              </w:rPr>
              <w:t xml:space="preserve">Supports the point that Jordan's market is large enough for a specialized real estate intelligence platform.</w:t>
            </w:r>
          </w:p>
        </w:tc>
      </w:tr>
      <w:tr>
        <w:tc>
          <w:tcPr>
            <w:tcW w:w="38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Jordan News, Real Estate Trading Volume Declines 3% in First Four Months of 2026</w:t>
            </w:r>
          </w:p>
        </w:tc>
        <w:tc>
          <w:tcPr>
            <w:tcW w:w="55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Supports the point that softer 2026 activity increases the need for price confidence and qualified demand.</w:t>
            </w:r>
          </w:p>
        </w:tc>
      </w:tr>
      <w:tr>
        <w:tc>
          <w:tcPr>
            <w:tcW w:w="3800" w:type="dxa"/>
            <w:vAlign w:val="center"/>
          </w:tcPr>
          <w:p>
            <w:pPr>
              <w:spacing w:before="20" w:after="20" w:line="276" w:lineRule="auto"/>
            </w:pPr>
            <w:r>
              <w:rPr>
                <w:rFonts w:ascii="Times New Roman" w:hAnsi="Times New Roman" w:eastAsia="Times New Roman" w:cs="Times New Roman"/>
                <w:sz w:val="18"/>
                <w:szCs w:val="18"/>
              </w:rPr>
              <w:t xml:space="preserve">Petra News Agency, Foreign Direct Investment Climbs to $2.02 Billion in 2025</w:t>
            </w:r>
          </w:p>
        </w:tc>
        <w:tc>
          <w:tcPr>
            <w:tcW w:w="5560" w:type="dxa"/>
            <w:vAlign w:val="center"/>
          </w:tcPr>
          <w:p>
            <w:pPr>
              <w:spacing w:before="20" w:after="20" w:line="276" w:lineRule="auto"/>
            </w:pPr>
            <w:r>
              <w:rPr>
                <w:rFonts w:ascii="Times New Roman" w:hAnsi="Times New Roman" w:eastAsia="Times New Roman" w:cs="Times New Roman"/>
                <w:sz w:val="18"/>
                <w:szCs w:val="18"/>
              </w:rPr>
              <w:t xml:space="preserve">Supports the investor thesis and the relevance of real estate to foreign and non-Jordanian investment flows.</w:t>
            </w:r>
          </w:p>
        </w:tc>
      </w:tr>
      <w:tr>
        <w:tc>
          <w:tcPr>
            <w:tcW w:w="380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Altus Group, AI at the Forefront of PropTech</w:t>
            </w:r>
          </w:p>
        </w:tc>
        <w:tc>
          <w:tcPr>
            <w:tcW w:w="5560" w:type="dxa"/>
            <w:vAlign w:val="center"/>
            <w:shd w:val="clear" w:color="auto" w:fill="F8FAFC"/>
          </w:tcPr>
          <w:p>
            <w:pPr>
              <w:spacing w:before="20" w:after="20" w:line="276" w:lineRule="auto"/>
            </w:pPr>
            <w:r>
              <w:rPr>
                <w:rFonts w:ascii="Times New Roman" w:hAnsi="Times New Roman" w:eastAsia="Times New Roman" w:cs="Times New Roman"/>
                <w:sz w:val="18"/>
                <w:szCs w:val="18"/>
              </w:rPr>
              <w:t xml:space="preserve">Supports the view that AI PropTech must focus on clean data, security, and measurable ROI.</w:t>
            </w:r>
          </w:p>
        </w:tc>
      </w:tr>
      <w:tr>
        <w:tc>
          <w:tcPr>
            <w:tcW w:w="3800" w:type="dxa"/>
            <w:vAlign w:val="center"/>
          </w:tcPr>
          <w:p>
            <w:pPr>
              <w:spacing w:before="20" w:after="20" w:line="276" w:lineRule="auto"/>
            </w:pPr>
            <w:r>
              <w:rPr>
                <w:rFonts w:ascii="Times New Roman" w:hAnsi="Times New Roman" w:eastAsia="Times New Roman" w:cs="Times New Roman"/>
                <w:sz w:val="18"/>
                <w:szCs w:val="18"/>
              </w:rPr>
              <w:t xml:space="preserve">Commercial Observer, Venture Capital PropTech 2026</w:t>
            </w:r>
          </w:p>
        </w:tc>
        <w:tc>
          <w:tcPr>
            <w:tcW w:w="5560" w:type="dxa"/>
            <w:vAlign w:val="center"/>
          </w:tcPr>
          <w:p>
            <w:pPr>
              <w:spacing w:before="20" w:after="20" w:line="276" w:lineRule="auto"/>
            </w:pPr>
            <w:r>
              <w:rPr>
                <w:rFonts w:ascii="Times New Roman" w:hAnsi="Times New Roman" w:eastAsia="Times New Roman" w:cs="Times New Roman"/>
                <w:sz w:val="18"/>
                <w:szCs w:val="18"/>
              </w:rPr>
              <w:t xml:space="preserve">Supports the view that PropTech investment is shifting toward products with operational value and measurable outcomes.</w:t>
            </w:r>
          </w:p>
        </w:tc>
      </w:tr>
    </w:tbl>
    <w:p>
      <w:pPr>
        <w:spacing w:before="20" w:after="30" w:line="276" w:lineRule="auto"/>
      </w:pPr>
      <w:r>
        <w:rPr>
          <w:rFonts w:ascii="Times New Roman" w:hAnsi="Times New Roman" w:eastAsia="Times New Roman" w:cs="Times New Roman"/>
          <w:color w:val="0563C1"/>
          <w:sz w:val="16"/>
          <w:szCs w:val="16"/>
        </w:rPr>
        <w:t xml:space="preserve">https://www.petra.gov.jo/Include/InnerPage.jsp?ID=78879&amp;lang=en&amp;name=en_news</w:t>
      </w:r>
    </w:p>
    <w:p>
      <w:pPr>
        <w:spacing w:before="20" w:after="30" w:line="276" w:lineRule="auto"/>
      </w:pPr>
      <w:r>
        <w:rPr>
          <w:rFonts w:ascii="Times New Roman" w:hAnsi="Times New Roman" w:eastAsia="Times New Roman" w:cs="Times New Roman"/>
          <w:color w:val="0563C1"/>
          <w:sz w:val="16"/>
          <w:szCs w:val="16"/>
        </w:rPr>
        <w:t xml:space="preserve">https://www.jordannews.jo/Section-112/Economy/Jordan-s-Real-Estate-Trading-Volume-Declines-3-in-the-First-Four-Months-of-2026-51292</w:t>
      </w:r>
    </w:p>
    <w:p>
      <w:pPr>
        <w:spacing w:before="20" w:after="30" w:line="276" w:lineRule="auto"/>
      </w:pPr>
      <w:r>
        <w:rPr>
          <w:rFonts w:ascii="Times New Roman" w:hAnsi="Times New Roman" w:eastAsia="Times New Roman" w:cs="Times New Roman"/>
          <w:color w:val="0563C1"/>
          <w:sz w:val="16"/>
          <w:szCs w:val="16"/>
        </w:rPr>
        <w:t xml:space="preserve">https://petra.gov.jo/en/news/foreign-direct-investment-climbs-to-202-billion-in-2025</w:t>
      </w:r>
    </w:p>
    <w:p>
      <w:pPr>
        <w:spacing w:before="20" w:after="30" w:line="276" w:lineRule="auto"/>
      </w:pPr>
      <w:r>
        <w:rPr>
          <w:rFonts w:ascii="Times New Roman" w:hAnsi="Times New Roman" w:eastAsia="Times New Roman" w:cs="Times New Roman"/>
          <w:color w:val="0563C1"/>
          <w:sz w:val="16"/>
          <w:szCs w:val="16"/>
        </w:rPr>
        <w:t xml:space="preserve">https://www.altusgroup.com/insights/ai-at-the-forefront-of-proptech/</w:t>
      </w:r>
    </w:p>
    <w:p>
      <w:pPr>
        <w:spacing w:before="20" w:after="30" w:line="276" w:lineRule="auto"/>
      </w:pPr>
      <w:r>
        <w:rPr>
          <w:rFonts w:ascii="Times New Roman" w:hAnsi="Times New Roman" w:eastAsia="Times New Roman" w:cs="Times New Roman"/>
          <w:color w:val="0563C1"/>
          <w:sz w:val="16"/>
          <w:szCs w:val="16"/>
        </w:rPr>
        <w:t xml:space="preserve">https://commercialobserver.com/2025/10/venture-capital-proptech-2026/</w:t>
      </w:r>
    </w:p>
    <w:p>
      <w:pPr>
        <w:keepLines/>
        <w:spacing w:before="70" w:after="90" w:line="276" w:lineRule="auto"/>
      </w:pPr>
      <w:r>
        <w:rPr>
          <w:rFonts w:ascii="Times New Roman" w:hAnsi="Times New Roman" w:eastAsia="Times New Roman" w:cs="Times New Roman"/>
          <w:sz w:val="21"/>
          <w:szCs w:val="21"/>
        </w:rPr>
        <w:t xml:space="preserve">End of Document - AqariX | Confidential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000000" w:sz="4" w:space="4"/>
      </w:pBdr>
      <w:jc w:val="center"/>
    </w:pPr>
    <w:r>
      <w:rPr>
        <w:rFonts w:ascii="Times New Roman" w:cs="Times New Roman" w:eastAsia="Times New Roman" w:hAnsi="Times New Roman"/>
        <w:color w:val="444444"/>
        <w:sz w:val="18"/>
        <w:szCs w:val="18"/>
      </w:rPr>
      <w:t xml:space="preserve">Confidential - AqariX Real Estate Platform     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of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pBdr>
        <w:bottom w:val="single" w:color="000000" w:sz="4" w:space="4"/>
      </w:pBdr>
      <w:jc w:val="right"/>
    </w:pPr>
    <w:r>
      <w:rPr>
        <w:rFonts w:ascii="Times New Roman" w:cs="Times New Roman" w:eastAsia="Times New Roman" w:hAnsi="Times New Roman"/>
        <w:color w:val="444444"/>
        <w:sz w:val="18"/>
        <w:szCs w:val="18"/>
      </w:rPr>
      <w:t xml:space="preserve">AqariX - Business &amp; Technical Proposal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AqariX Founding Team</dc:creator>
  <cp:lastModifiedBy>OpenAI Codex</cp:lastModifiedBy>
  <cp:revision>1</cp:revision>
  <dcterms:created xsi:type="dcterms:W3CDTF">2026-05-25T21:09:02.756Z</dcterms:created>
  <dcterms:modified xsi:type="dcterms:W3CDTF">2026-05-31T17:45:11Z</dcterms:modified>
  <dc:title>AqariX Business &amp; Technical Proposal v1.1</dc:title>
  <dc:subject>Supervised AI real estate marketplace and CRM for Jordan</dc:subject>
</cp:coreProperties>
</file>

<file path=docProps/custom.xml><?xml version="1.0" encoding="utf-8"?>
<Properties xmlns="http://schemas.openxmlformats.org/officeDocument/2006/custom-properties" xmlns:vt="http://schemas.openxmlformats.org/officeDocument/2006/docPropsVTypes"/>
</file>