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Billing and Payments</w:t>
      </w:r>
    </w:p>
    <w:p>
      <w:pPr>
        <w:spacing w:after="200"/>
      </w:pPr>
      <w:r>
        <w:t xml:space="preserve">FlowStack Knowledge Base | Tenant: b2b-saas-demo</w:t>
      </w:r>
    </w:p>
    <w:p>
      <w:pPr>
        <w:pStyle w:val="Heading2"/>
      </w:pPr>
      <w:r>
        <w:t xml:space="preserve">Document metadata</w:t>
      </w:r>
    </w:p>
    <w:p>
      <w:r>
        <w:t xml:space="preserve">Title: Billing and Payments</w:t>
      </w:r>
    </w:p>
    <w:p>
      <w:r>
        <w:t xml:space="preserve">Category: billing</w:t>
      </w:r>
    </w:p>
    <w:p>
      <w:r>
        <w:t xml:space="preserve">Tenant: b2b-saas-demo</w:t>
      </w:r>
    </w:p>
    <w:p>
      <w:r>
        <w:t xml:space="preserve">Version: 2.0</w:t>
      </w:r>
    </w:p>
    <w:p>
      <w:pPr>
        <w:spacing w:after="300"/>
      </w:pPr>
      <w:r>
        <w:t xml:space="preserve">Last updated: 2026-09-10</w:t>
      </w:r>
    </w:p>
    <w:p>
      <w:pPr>
        <w:pStyle w:val="Heading2"/>
        <w:spacing w:after="120" w:before="240"/>
      </w:pPr>
      <w:r>
        <w:t xml:space="preserve">How does billing work?</w:t>
      </w:r>
    </w:p>
    <w:p>
      <w:pPr>
        <w:spacing w:after="160"/>
      </w:pPr>
      <w:r>
        <w:t xml:space="preserve">FlowStack bills on a recurring subscription cycle. Plans are billed monthly by default, or annually if you choose annual billing at checkout. Your billing cycle renews on the same date each period as your original signup. For example, if you subscribed on the 12th, you'll be charged on the 12th of every month (or every year for annual plans).</w:t>
      </w:r>
    </w:p>
    <w:p>
      <w:pPr>
        <w:pStyle w:val="Heading2"/>
        <w:spacing w:after="120" w:before="240"/>
      </w:pPr>
      <w:r>
        <w:t xml:space="preserve">When am I charged?</w:t>
      </w:r>
    </w:p>
    <w:p>
      <w:pPr>
        <w:pStyle w:val="ListParagraph"/>
        <w:numPr>
          <w:ilvl w:val="0"/>
          <w:numId w:val="1"/>
        </w:numPr>
        <w:spacing w:after="80"/>
      </w:pPr>
      <w:r>
        <w:t xml:space="preserve">Monthly plans: charged on the same day each month as your original signup date.</w:t>
      </w:r>
    </w:p>
    <w:p>
      <w:pPr>
        <w:pStyle w:val="ListParagraph"/>
        <w:numPr>
          <w:ilvl w:val="0"/>
          <w:numId w:val="1"/>
        </w:numPr>
        <w:spacing w:after="80"/>
      </w:pPr>
      <w:r>
        <w:t xml:space="preserve">Annual plans: charged once per year on your signup anniversary.</w:t>
      </w:r>
    </w:p>
    <w:p>
      <w:pPr>
        <w:pStyle w:val="ListParagraph"/>
        <w:numPr>
          <w:ilvl w:val="0"/>
          <w:numId w:val="1"/>
        </w:numPr>
        <w:spacing w:after="80"/>
      </w:pPr>
      <w:r>
        <w:t xml:space="preserve">Upgrades: charged a prorated amount immediately for the remainder of the current period, then the full new amount on your next renewal.</w:t>
      </w:r>
    </w:p>
    <w:p>
      <w:pPr>
        <w:pStyle w:val="ListParagraph"/>
        <w:numPr>
          <w:ilvl w:val="0"/>
          <w:numId w:val="1"/>
        </w:numPr>
        <w:spacing w:after="80"/>
      </w:pPr>
      <w:r>
        <w:t xml:space="preserve">Downgrades: no immediate charge; the new lower rate applies at your next renewal.</w:t>
      </w:r>
    </w:p>
    <w:p>
      <w:pPr>
        <w:pStyle w:val="ListParagraph"/>
        <w:numPr>
          <w:ilvl w:val="0"/>
          <w:numId w:val="1"/>
        </w:numPr>
        <w:spacing w:after="80"/>
      </w:pPr>
      <w:r>
        <w:t xml:space="preserve">Extra execution packs: charged immediately at time of purchase.</w:t>
      </w:r>
    </w:p>
    <w:p>
      <w:pPr>
        <w:pStyle w:val="Heading2"/>
        <w:spacing w:after="120" w:before="240"/>
      </w:pPr>
      <w:r>
        <w:t xml:space="preserve">How are invoices generated?</w:t>
      </w:r>
    </w:p>
    <w:p>
      <w:pPr>
        <w:spacing w:after="160"/>
      </w:pPr>
      <w:r>
        <w:t xml:space="preserve">Invoices are generated automatically after each successful charge. They're emailed to the billing email on file and are also available in your account under Settings → Billing → Invoices. Invoices include your workspace name, billing period, line items, tax breakdown, and payment method (last four digits only).</w:t>
      </w:r>
    </w:p>
    <w:p>
      <w:pPr>
        <w:pStyle w:val="Heading2"/>
        <w:spacing w:after="120" w:before="240"/>
      </w:pPr>
      <w:r>
        <w:t xml:space="preserve">What payment methods do you accept?</w:t>
      </w:r>
    </w:p>
    <w:p>
      <w:pPr>
        <w:spacing w:after="160"/>
      </w:pPr>
      <w:r>
        <w:t xml:space="preserve">FlowStack accepts major credit and debit cards (Visa, MasterCard, American Express, Discover) for all plans. Annual plans on Scale and Enterprise can also pay by ACH transfer or wire transfer in USD or EUR. Enterprise contracts can be invoiced with net-30 terms.</w:t>
      </w:r>
    </w:p>
    <w:p>
      <w:pPr>
        <w:pStyle w:val="Heading2"/>
        <w:spacing w:after="120" w:before="240"/>
      </w:pPr>
      <w:r>
        <w:t xml:space="preserve">How do I update my payment method?</w:t>
      </w:r>
    </w:p>
    <w:p>
      <w:pPr>
        <w:spacing w:after="160"/>
      </w:pPr>
      <w:r>
        <w:t xml:space="preserve">Go to Settings → Billing → Payment Method. You can add a new card or replace the existing one. The new method becomes active immediately for the next charge. Existing charges are not re-attempted on the new card unless you explicitly click "Retry payment".</w:t>
      </w:r>
    </w:p>
    <w:p>
      <w:pPr>
        <w:pStyle w:val="Heading2"/>
        <w:spacing w:after="120" w:before="240"/>
      </w:pPr>
      <w:r>
        <w:t xml:space="preserve">What happens if my payment fails?</w:t>
      </w:r>
    </w:p>
    <w:p>
      <w:pPr>
        <w:spacing w:after="160"/>
      </w:pPr>
      <w:r>
        <w:t xml:space="preserve">If a charge fails, FlowStack automatically retries three times over five days (typically day 1, day 3, and day 5). You'll receive an email after each failed attempt with the specific error (for example, "card declined", "expired card", or "insufficient funds"). If all three retries fail, your workspace enters a payment-attention state: read access remains, but new executions, new integrations, and new team invitations are paused until the balance is cleared.</w:t>
      </w:r>
    </w:p>
    <w:p>
      <w:pPr>
        <w:pStyle w:val="Heading2"/>
        <w:spacing w:after="120" w:before="240"/>
      </w:pPr>
      <w:r>
        <w:t xml:space="preserve">What is the payment-attention state?</w:t>
      </w:r>
    </w:p>
    <w:p>
      <w:pPr>
        <w:spacing w:after="160"/>
      </w:pPr>
      <w:r>
        <w:t xml:space="preserve">In the payment-attention state, your existing workflows and data are preserved but new executions are paused. You can restore full access by updating your payment method under Settings → Billing → Payment Method and clicking "Retry payment". Restoration is immediate once the charge succeeds.</w:t>
      </w:r>
    </w:p>
    <w:p>
      <w:pPr>
        <w:pStyle w:val="Heading2"/>
        <w:spacing w:after="120" w:before="240"/>
      </w:pPr>
      <w:r>
        <w:t xml:space="preserve">Does FlowStack delete my data if I don't pay?</w:t>
      </w:r>
    </w:p>
    <w:p>
      <w:pPr>
        <w:spacing w:after="160"/>
      </w:pPr>
      <w:r>
        <w:t xml:space="preserve">No. Data is not deleted during the payment-attention state. If an account remains unpaid for 90 days, FlowStack may begin a data retention process with 30 days' prior notice to the billing email. You can export your data at any time from Settings → Workspace → Export.</w:t>
      </w:r>
    </w:p>
    <w:p>
      <w:pPr>
        <w:pStyle w:val="Heading2"/>
        <w:spacing w:after="120" w:before="240"/>
      </w:pPr>
      <w:r>
        <w:t xml:space="preserve">What are the refund rules?</w:t>
      </w:r>
    </w:p>
    <w:p>
      <w:pPr>
        <w:pStyle w:val="ListParagraph"/>
        <w:numPr>
          <w:ilvl w:val="0"/>
          <w:numId w:val="1"/>
        </w:numPr>
        <w:spacing w:after="80"/>
      </w:pPr>
      <w:r>
        <w:t xml:space="preserve">Monthly plans: not refundable once a billing cycle has started.</w:t>
      </w:r>
    </w:p>
    <w:p>
      <w:pPr>
        <w:pStyle w:val="ListParagraph"/>
        <w:numPr>
          <w:ilvl w:val="0"/>
          <w:numId w:val="1"/>
        </w:numPr>
        <w:spacing w:after="80"/>
      </w:pPr>
      <w:r>
        <w:t xml:space="preserve">Annual plans: refundable pro-rata within the first 14 days of purchase.</w:t>
      </w:r>
    </w:p>
    <w:p>
      <w:pPr>
        <w:pStyle w:val="ListParagraph"/>
        <w:numPr>
          <w:ilvl w:val="0"/>
          <w:numId w:val="1"/>
        </w:numPr>
        <w:spacing w:after="80"/>
      </w:pPr>
      <w:r>
        <w:t xml:space="preserve">Duplicate charges: always refunded in full.</w:t>
      </w:r>
    </w:p>
    <w:p>
      <w:pPr>
        <w:pStyle w:val="ListParagraph"/>
        <w:numPr>
          <w:ilvl w:val="0"/>
          <w:numId w:val="1"/>
        </w:numPr>
        <w:spacing w:after="80"/>
      </w:pPr>
      <w:r>
        <w:t xml:space="preserve">Confirmed billing errors: refunded in full.</w:t>
      </w:r>
    </w:p>
    <w:p>
      <w:pPr>
        <w:pStyle w:val="ListParagraph"/>
        <w:numPr>
          <w:ilvl w:val="0"/>
          <w:numId w:val="1"/>
        </w:numPr>
        <w:spacing w:after="80"/>
      </w:pPr>
      <w:r>
        <w:t xml:space="preserve">Extra execution packs: not refundable once executions have been consumed.</w:t>
      </w:r>
    </w:p>
    <w:p>
      <w:pPr>
        <w:pStyle w:val="Heading2"/>
        <w:spacing w:after="120" w:before="240"/>
      </w:pPr>
      <w:r>
        <w:t xml:space="preserve">How do I request a refund for a duplicate charge?</w:t>
      </w:r>
    </w:p>
    <w:p>
      <w:pPr>
        <w:spacing w:after="160"/>
      </w:pPr>
      <w:r>
        <w:t xml:space="preserve">Provide the account email, the date and amount of each disputed charge, and (optionally) a screenshot of the charges from your bank or card statement. Support will verify the charges against your billing history and process a full refund for confirmed duplicates within 5-7 business days.</w:t>
      </w:r>
    </w:p>
    <w:p>
      <w:pPr>
        <w:pStyle w:val="Heading2"/>
        <w:spacing w:after="120" w:before="240"/>
      </w:pPr>
      <w:r>
        <w:t xml:space="preserve">How is tax handled?</w:t>
      </w:r>
    </w:p>
    <w:p>
      <w:pPr>
        <w:spacing w:after="160"/>
      </w:pPr>
      <w:r>
        <w:t xml:space="preserve">Prices shown on the pricing page are exclusive of tax. Applicable VAT, GST, or sales tax is added at checkout based on your billing address. For EU businesses with a valid VAT ID, enter it under Settings → Billing → Tax ID to have VAT reverse-charged. Invoices include a tax breakdown line.</w:t>
      </w:r>
    </w:p>
    <w:p>
      <w:pPr>
        <w:pStyle w:val="Heading2"/>
        <w:spacing w:after="120" w:before="240"/>
      </w:pPr>
      <w:r>
        <w:t xml:space="preserve">Can I change my billing currency?</w:t>
      </w:r>
    </w:p>
    <w:p>
      <w:pPr>
        <w:spacing w:after="160"/>
      </w:pPr>
      <w:r>
        <w:t xml:space="preserve">Billing currency is fixed at account creation (USD or EUR) and cannot be changed without creating a new workspace. Enterprise contracts can be invoiced in additional currencies.</w:t>
      </w:r>
    </w:p>
    <w:p>
      <w:pPr>
        <w:pStyle w:val="Heading2"/>
        <w:spacing w:after="120" w:before="240"/>
      </w:pPr>
      <w:r>
        <w:t xml:space="preserve">Where can I find my past invoices?</w:t>
      </w:r>
    </w:p>
    <w:p>
      <w:pPr>
        <w:spacing w:after="160"/>
      </w:pPr>
      <w:r>
        <w:t xml:space="preserve">All invoices from the past 5 years are available under Settings → Billing → Invoices. Invoices older than 5 years can be requested from support. Invoices are provided as PDF downloads.</w:t>
      </w:r>
    </w:p>
    <w:p>
      <w:pPr>
        <w:pStyle w:val="Heading2"/>
        <w:spacing w:after="120" w:before="240"/>
      </w:pPr>
      <w:r>
        <w:t xml:space="preserve">How do I cancel my subscription?</w:t>
      </w:r>
    </w:p>
    <w:p>
      <w:pPr>
        <w:spacing w:after="160"/>
      </w:pPr>
      <w:r>
        <w:t xml:space="preserve">Go to Settings → Billing → Cancel Subscription. You'll be asked for a brief reason (optional). Cancellation stops future renewals. Your access continues until the end of the current paid period. Cancellation does not refund the current period.</w:t>
      </w:r>
    </w:p>
    <w:p>
      <w:pPr>
        <w:pStyle w:val="Heading2"/>
        <w:spacing w:after="120" w:before="240"/>
      </w:pPr>
      <w:r>
        <w:t xml:space="preserve">How do I contact billing support?</w:t>
      </w:r>
    </w:p>
    <w:p>
      <w:pPr>
        <w:spacing w:after="160"/>
      </w:pPr>
      <w:r>
        <w:t xml:space="preserve">Reply to any invoice email or contact support@flowstack.com. Include your workspace name and, if applicable, the invoice number to speed up the response. Billing disputes with a specific charge should include the transaction date and amount.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2026-09-10T12:56:07.787Z</dcterms:created>
  <dcterms:modified xsi:type="dcterms:W3CDTF">2026-09-10T12:56:07.787Z</dcterms:modified>
</cp:coreProperties>
</file>

<file path=docProps/custom.xml><?xml version="1.0" encoding="utf-8"?>
<Properties xmlns="http://schemas.openxmlformats.org/officeDocument/2006/custom-properties" xmlns:vt="http://schemas.openxmlformats.org/officeDocument/2006/docPropsVTypes"/>
</file>