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82A"/>
          <w:sz w:val="36"/>
          <w:szCs w:val="36"/>
        </w:rPr>
        <w:t xml:space="preserve">iqcommune</w:t>
      </w:r>
      <w:r>
        <w:rPr>
          <w:b/>
          <w:bCs/>
          <w:color w:val="1A1A1A"/>
          <w:sz w:val="30"/>
          <w:szCs w:val="30"/>
        </w:rPr>
        <w:t xml:space="preserve"> — Coming Soon Page</w:t>
      </w:r>
    </w:p>
    <w:p>
      <w:pPr>
        <w:spacing w:after="40"/>
      </w:pPr>
      <w:r>
        <w:rPr>
          <w:color w:val="6B6B76"/>
          <w:sz w:val="24"/>
          <w:szCs w:val="24"/>
        </w:rPr>
        <w:t xml:space="preserve">Technical Handoff</w:t>
      </w:r>
    </w:p>
    <w:p>
      <w:pPr>
        <w:spacing w:after="220"/>
      </w:pPr>
      <w:r>
        <w:rPr>
          <w:i/>
          <w:iCs/>
          <w:color w:val="6B6B76"/>
          <w:sz w:val="18"/>
          <w:szCs w:val="18"/>
        </w:rPr>
        <w:t xml:space="preserve">File: iqcommune-coming-soon.html   ·   Prepared: July 2026   ·   Audience: Developer</w:t>
      </w:r>
    </w:p>
    <w:p>
      <w:pPr>
        <w:spacing w:after="110"/>
      </w:pPr>
      <w:r>
        <w:rPr>
          <w:i/>
          <w:iCs/>
          <w:color w:val="6B6B76"/>
          <w:sz w:val="21"/>
          <w:szCs w:val="21"/>
        </w:rPr>
        <w:t xml:space="preserve">This is a temporary placeholder page — intended to sit at the live domain until the actual product website is ready to link in. It's a single, self-contained HTML file with no build step, no dependencies to install, and no backend. Clone it, deploy it, done.</w:t>
      </w:r>
    </w:p>
    <w:p>
      <w:pPr>
        <w:pStyle w:val="Heading1"/>
        <w:spacing w:after="130" w:before="300"/>
      </w:pPr>
      <w:r>
        <w:t xml:space="preserve">1. Deployment — genuinely drop-in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One file. No npm install, no bundler, no compilation step.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backend, no API calls, no forms, no data collection of any kind. Purely a static display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icon logo (bottom-left watermark) is embedded directly in the file as a base64 data URI — not a separate image asset. Nothing else to upload or lose track of alongside this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Zero JavaScript anywhere in the file — confirmed directly, not assumed. The rotating text (see §3) is pure CSS. This matters for reliability: nothing to break, no dependency, and it still works correctly even if a browser has JS disabled.</w:t>
      </w:r>
    </w:p>
    <w:p>
      <w:pPr>
        <w:pStyle w:val="Heading1"/>
        <w:spacing w:after="130" w:before="300"/>
      </w:pPr>
      <w:r>
        <w:t xml:space="preserve">2. The One External Dependency</w:t>
      </w:r>
    </w:p>
    <w:p>
      <w:pPr>
        <w:spacing w:after="110"/>
      </w:pPr>
      <w:r>
        <w:rPr>
          <w:sz w:val="21"/>
          <w:szCs w:val="21"/>
        </w:rPr>
        <w:t xml:space="preserve">The page loads DM Sans (the brand typeface used across every other iqcommune page) from Google Fonts via CDN:</w:t>
      </w:r>
    </w:p>
    <w:p>
      <w:pPr>
        <w:shd w:fill="F5F1E8" w:val="clear"/>
        <w:spacing w:after="100"/>
      </w:pPr>
      <w:r>
        <w:rPr>
          <w:rFonts w:ascii="Courier New" w:cs="Courier New" w:eastAsia="Courier New" w:hAnsi="Courier New"/>
          <w:color w:val="8A6510"/>
          <w:sz w:val="19"/>
          <w:szCs w:val="19"/>
        </w:rPr>
        <w:t xml:space="preserve">https://fonts.googleapis.com/css2?family=DM+Sans:...</w:t>
      </w:r>
    </w:p>
    <w:p>
      <w:pPr>
        <w:spacing w:after="110"/>
      </w:pPr>
      <w:r>
        <w:rPr>
          <w:sz w:val="21"/>
          <w:szCs w:val="21"/>
        </w:rPr>
        <w:t xml:space="preserve">If the hosting environment has any firewall or Content-Security-Policy restriction that blocks external font CDNs (common on some corporate or staging environments), the browser will silently fall back to its default sans-serif font rather than throw an error — so it won't break, but it also won't look right. Worth a quick check against wherever this actually gets hosted before go-live.</w:t>
      </w:r>
    </w:p>
    <w:p>
      <w:pPr>
        <w:pStyle w:val="Heading1"/>
        <w:spacing w:after="130" w:before="300"/>
      </w:pPr>
      <w:r>
        <w:t xml:space="preserve">3. The Rotating Text — Read This Before Editing It</w:t>
      </w:r>
    </w:p>
    <w:p>
      <w:pPr>
        <w:spacing w:after="110"/>
      </w:pPr>
      <w:r>
        <w:rPr>
          <w:sz w:val="21"/>
          <w:szCs w:val="21"/>
        </w:rPr>
        <w:t xml:space="preserve">The eight short lines that crossfade in and out beneath the tagline are a pure CSS animation — no JavaScript. This is the one part of the page where a naive edit (just adding a line without touching the CSS alongside it) will look broken rather than throw an error, so it's worth understanding the mechanism specifically: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Each line is its own &lt;span&gt; inside .punchline-rotator, all absolutely positioned on top of each other.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Each span uses the same @keyframes cycle animation, opacity fading 0 → 1 → 0 over its own timeline.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staggers them is animation-delay, set individually per line via :nth-child(N) — currently 3 seconds apart (0s, 3s, 6s, 9s, 12s, 15s, 18s, 21s for the 8 current lines).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total loop length (animation: cycle 24s infinite) equals line count × 3s. This is the number that has to move if the line count changes.</w:t>
      </w:r>
    </w:p>
    <w:p>
      <w:pPr>
        <w:spacing w:after="110"/>
      </w:pPr>
      <w:r>
        <w:rPr>
          <w:sz w:val="21"/>
          <w:szCs w:val="21"/>
        </w:rPr>
        <w:t xml:space="preserve">To add, remove, or reorder a line correctly: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Add/remove the &lt;span&gt; inside .punchline-rotator in the HTML.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Add/remove the matching .punchline-rotator span:nth-child(N) { animation-delay: ... } rule in the CSS — keep the 3-second spacing between each.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the total cycle duration — animation: cycle Ns infinite — to (number of lines × 3s). Skipping this step is the actual failure mode: the last line will get cut short mid-fade before the loop restarts, rather than displaying an error.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>The crossfade timing itself (the 0% / 2% / 11% / 13% / 100% opacity keyframe percentages) doesn't need to change when adding lines — those are relative percentages of whatever the total duration is, so they scale automatically as long as step 3 above is done.</w:t>
      </w:r>
    </w:p>
    <w:p>
      <w:pPr>
        <w:pStyle w:val="Heading1"/>
        <w:spacing w:after="130" w:before="300"/>
      </w:pPr>
      <w:r>
        <w:t xml:space="preserve">4. Structure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background (SVG)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faint, fixed-position network-of-nodes graphic behind everything — the same pan-India growth motif used on the LinkedIn/X cover images. Pure inline SVG, no external file.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 watermark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square iq icon mark, large and rotated, positioned bottom-left, bleeding off the left edge of the viewport at low opacity. Embedded as base64 — see §1.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Wordmark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“iqcommune” rendered as styled text (not an image) — matches the same .iq / .commune treatment used in the nav bar on every other iqcommune page, for consistency.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Badge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“Launching August 2026” pill with a small pulsing dot. Deliberately not a live countdown timer — the launch date is tentative, and a countdown hitting zero (or going negative) if the date slips would look broken. This stays honest without needing updates.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Subline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line of copy under the wordmark. Currently: “A room is taking shape — real professionals, real sessions, no pitch, no product. Coming soon, city by city, across India.”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Rotating transitions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§3 above.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 row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LinkedIn, Instagram, and email — each icon inside a bordered circular badge. See §5 for an open item here.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Footer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© 2026. InvestQ Commune. All Rights Reserved.</w:t>
            </w:r>
          </w:p>
        </w:tc>
      </w:tr>
    </w:tbl>
    <w:p>
      <w:pPr>
        <w:pStyle w:val="Heading1"/>
        <w:spacing w:after="130" w:before="300"/>
      </w:pPr>
      <w:r>
        <w:t xml:space="preserve">5. One Open Item — Not a Dev Task, But Flagging It Here Too</w:t>
      </w:r>
    </w:p>
    <w:p>
      <w:pPr>
        <w:spacing w:after="110"/>
      </w:pPr>
      <w:r>
        <w:rPr>
          <w:sz w:val="21"/>
          <w:szCs w:val="21"/>
        </w:rPr>
        <w:t xml:space="preserve">The LinkedIn and Instagram links currently point to @iqcommune as a placeholder guess — the real handles were never confirmed. Search for linkedin.com/company/iqcommune and instagram.com/iqcommune in the HTML to update them once confirmed. This is the one piece of information on the page that hasn't been verified against a real, known fact.</w:t>
      </w:r>
    </w:p>
    <w:p>
      <w:pPr>
        <w:pStyle w:val="Heading1"/>
        <w:spacing w:after="130" w:before="300"/>
      </w:pPr>
      <w:r>
        <w:t xml:space="preserve">6. Brand Reference (for consistency if this page is ever extended)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Ink (background)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#0f1117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#c9982a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“iq” in the wordmark, accent colour throughout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Gold, dark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#8a6510 / #e0c870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Badge text, rotating line text, icon-badge borders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#f8f7f4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“commune” text, light-mode surfaces elsewhere in the brand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#3a8a3a (page) / #2a6b2a (source assets)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signature accent dot after the wordmark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Typeface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DM Sans (weights 300–700)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only typeface used anywhere in the brand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2026-07-25T03:59:01.444Z</dcterms:created>
  <dcterms:modified xsi:type="dcterms:W3CDTF">2026-07-25T03:59:01.445Z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