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98A19" w14:textId="08ECD1F0" w:rsidR="00BD16F1" w:rsidRPr="007B7DAE" w:rsidRDefault="00035B35" w:rsidP="007B7DAE">
      <w:pPr>
        <w:pStyle w:val="Heading1"/>
        <w:rPr>
          <w:rFonts w:ascii="Times New Roman" w:hAnsi="Times New Roman" w:cs="Times New Roman"/>
          <w:color w:val="000000" w:themeColor="text1"/>
          <w:lang w:val="hu-HU"/>
        </w:rPr>
      </w:pPr>
      <w:proofErr w:type="spellStart"/>
      <w:r w:rsidRPr="007B7DAE">
        <w:rPr>
          <w:rFonts w:ascii="Times New Roman" w:hAnsi="Times New Roman" w:cs="Times New Roman"/>
          <w:color w:val="000000" w:themeColor="text1"/>
          <w:lang w:val="hu-HU"/>
        </w:rPr>
        <w:t>Descriptive</w:t>
      </w:r>
      <w:proofErr w:type="spellEnd"/>
      <w:r w:rsidRPr="007B7DAE">
        <w:rPr>
          <w:rFonts w:ascii="Times New Roman" w:hAnsi="Times New Roman" w:cs="Times New Roman"/>
          <w:color w:val="000000" w:themeColor="text1"/>
          <w:lang w:val="hu-HU"/>
        </w:rPr>
        <w:t xml:space="preserve"> </w:t>
      </w:r>
      <w:proofErr w:type="spellStart"/>
      <w:r w:rsidRPr="007B7DAE">
        <w:rPr>
          <w:rFonts w:ascii="Times New Roman" w:hAnsi="Times New Roman" w:cs="Times New Roman"/>
          <w:color w:val="000000" w:themeColor="text1"/>
          <w:lang w:val="hu-HU"/>
        </w:rPr>
        <w:t>Statistics</w:t>
      </w:r>
      <w:proofErr w:type="spellEnd"/>
    </w:p>
    <w:p w14:paraId="40135C30" w14:textId="6DCB55EB" w:rsidR="00DD7F70" w:rsidRPr="00EB3746" w:rsidRDefault="00035B35" w:rsidP="00125898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EB3746">
        <w:rPr>
          <w:rFonts w:ascii="Times New Roman" w:hAnsi="Times New Roman" w:cs="Times New Roman"/>
          <w:b/>
          <w:bCs/>
          <w:color w:val="000000" w:themeColor="text1"/>
          <w:lang w:val="hu-HU"/>
        </w:rPr>
        <w:tab/>
      </w:r>
      <w:r w:rsidR="00DD7F70" w:rsidRPr="00EB3746">
        <w:rPr>
          <w:rFonts w:ascii="Times New Roman" w:hAnsi="Times New Roman" w:cs="Times New Roman"/>
          <w:b/>
          <w:bCs/>
          <w:color w:val="000000" w:themeColor="text1"/>
        </w:rPr>
        <w:t>Correlation of Fuel Prices</w:t>
      </w:r>
    </w:p>
    <w:p w14:paraId="00418923" w14:textId="00E32542" w:rsidR="00F05E32" w:rsidRDefault="00F05E32" w:rsidP="00F05E32">
      <w:pPr>
        <w:pStyle w:val="Heading2"/>
        <w:ind w:firstLine="72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05E32">
        <w:rPr>
          <w:rFonts w:ascii="Times New Roman" w:eastAsiaTheme="minorEastAsia" w:hAnsi="Times New Roman" w:cs="Times New Roman"/>
          <w:color w:val="auto"/>
          <w:sz w:val="24"/>
          <w:szCs w:val="24"/>
        </w:rPr>
        <w:t>The figure above shows the relationship between gasoline and diesel prices in the examined sample. The points lie almost along a straight line, indicating a very strong linear correlation. The value of the correlation coefficient is 0.974, which suggests that the prices of the two fuels move almost perfectly together.</w:t>
      </w:r>
    </w:p>
    <w:p w14:paraId="4E714447" w14:textId="202F4E88" w:rsidR="00F05E32" w:rsidRDefault="00F05E32" w:rsidP="00F05E32">
      <w:pPr>
        <w:pStyle w:val="Heading2"/>
        <w:ind w:firstLine="72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05E32">
        <w:rPr>
          <w:rFonts w:ascii="Times New Roman" w:eastAsiaTheme="minorEastAsia" w:hAnsi="Times New Roman" w:cs="Times New Roman"/>
          <w:color w:val="auto"/>
          <w:sz w:val="24"/>
          <w:szCs w:val="24"/>
        </w:rPr>
        <w:t>This high correlation supports the conclusion that gasoline and diesel prices are largely influenced by the same factors. Consequently, in the analysis</w:t>
      </w:r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,</w:t>
      </w:r>
      <w:r w:rsidRPr="00F05E32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modelling </w:t>
      </w:r>
      <w:r w:rsidRPr="00F05E32">
        <w:rPr>
          <w:rFonts w:ascii="Times New Roman" w:eastAsiaTheme="minorEastAsia" w:hAnsi="Times New Roman" w:cs="Times New Roman"/>
          <w:color w:val="auto"/>
          <w:sz w:val="24"/>
          <w:szCs w:val="24"/>
        </w:rPr>
        <w:t>the evolution of gasoline prices, the diesel price is not included as a direct explanatory variable</w:t>
      </w:r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(or vice versa)</w:t>
      </w:r>
      <w:r w:rsidRPr="00F05E32">
        <w:rPr>
          <w:rFonts w:ascii="Times New Roman" w:eastAsiaTheme="minorEastAsia" w:hAnsi="Times New Roman" w:cs="Times New Roman"/>
          <w:color w:val="auto"/>
          <w:sz w:val="24"/>
          <w:szCs w:val="24"/>
        </w:rPr>
        <w:t>, as it would cause strong multicollinearity.</w:t>
      </w:r>
    </w:p>
    <w:p w14:paraId="7C52E62B" w14:textId="25191617" w:rsidR="00035B35" w:rsidRPr="00EB3746" w:rsidRDefault="00035B35" w:rsidP="00F05E32">
      <w:pPr>
        <w:pStyle w:val="Heading2"/>
        <w:ind w:firstLine="720"/>
        <w:rPr>
          <w:rFonts w:ascii="Times New Roman" w:hAnsi="Times New Roman" w:cs="Times New Roman"/>
          <w:b/>
          <w:bCs/>
          <w:color w:val="000000" w:themeColor="text1"/>
          <w:lang w:val="hu-HU"/>
        </w:rPr>
      </w:pPr>
      <w:r w:rsidRPr="00EB3746">
        <w:rPr>
          <w:rFonts w:ascii="Times New Roman" w:hAnsi="Times New Roman" w:cs="Times New Roman"/>
          <w:b/>
          <w:bCs/>
          <w:color w:val="000000" w:themeColor="text1"/>
          <w:lang w:val="hu-HU"/>
        </w:rPr>
        <w:t xml:space="preserve">Data </w:t>
      </w:r>
      <w:proofErr w:type="spellStart"/>
      <w:r w:rsidRPr="00EB3746">
        <w:rPr>
          <w:rFonts w:ascii="Times New Roman" w:hAnsi="Times New Roman" w:cs="Times New Roman"/>
          <w:b/>
          <w:bCs/>
          <w:color w:val="000000" w:themeColor="text1"/>
          <w:lang w:val="hu-HU"/>
        </w:rPr>
        <w:t>on</w:t>
      </w:r>
      <w:proofErr w:type="spellEnd"/>
      <w:r w:rsidRPr="00EB3746">
        <w:rPr>
          <w:rFonts w:ascii="Times New Roman" w:hAnsi="Times New Roman" w:cs="Times New Roman"/>
          <w:b/>
          <w:bCs/>
          <w:color w:val="000000" w:themeColor="text1"/>
          <w:lang w:val="hu-HU"/>
        </w:rPr>
        <w:t xml:space="preserve"> </w:t>
      </w:r>
      <w:proofErr w:type="spellStart"/>
      <w:r w:rsidRPr="00EB3746">
        <w:rPr>
          <w:rFonts w:ascii="Times New Roman" w:hAnsi="Times New Roman" w:cs="Times New Roman"/>
          <w:b/>
          <w:bCs/>
          <w:color w:val="000000" w:themeColor="text1"/>
          <w:lang w:val="hu-HU"/>
        </w:rPr>
        <w:t>Population</w:t>
      </w:r>
      <w:proofErr w:type="spellEnd"/>
      <w:r w:rsidRPr="00EB3746">
        <w:rPr>
          <w:rFonts w:ascii="Times New Roman" w:hAnsi="Times New Roman" w:cs="Times New Roman"/>
          <w:b/>
          <w:bCs/>
          <w:color w:val="000000" w:themeColor="text1"/>
          <w:lang w:val="hu-HU"/>
        </w:rPr>
        <w:t xml:space="preserve">, </w:t>
      </w:r>
      <w:proofErr w:type="spellStart"/>
      <w:r w:rsidRPr="00EB3746">
        <w:rPr>
          <w:rFonts w:ascii="Times New Roman" w:hAnsi="Times New Roman" w:cs="Times New Roman"/>
          <w:b/>
          <w:bCs/>
          <w:color w:val="000000" w:themeColor="text1"/>
          <w:lang w:val="hu-HU"/>
        </w:rPr>
        <w:t>Income</w:t>
      </w:r>
      <w:proofErr w:type="spellEnd"/>
      <w:r w:rsidRPr="00EB3746">
        <w:rPr>
          <w:rFonts w:ascii="Times New Roman" w:hAnsi="Times New Roman" w:cs="Times New Roman"/>
          <w:b/>
          <w:bCs/>
          <w:color w:val="000000" w:themeColor="text1"/>
          <w:lang w:val="hu-HU"/>
        </w:rPr>
        <w:t xml:space="preserve">, and </w:t>
      </w:r>
      <w:proofErr w:type="spellStart"/>
      <w:r w:rsidRPr="00EB3746">
        <w:rPr>
          <w:rFonts w:ascii="Times New Roman" w:hAnsi="Times New Roman" w:cs="Times New Roman"/>
          <w:b/>
          <w:bCs/>
          <w:color w:val="000000" w:themeColor="text1"/>
          <w:lang w:val="hu-HU"/>
        </w:rPr>
        <w:t>Fuel</w:t>
      </w:r>
      <w:proofErr w:type="spellEnd"/>
      <w:r w:rsidRPr="00EB3746">
        <w:rPr>
          <w:rFonts w:ascii="Times New Roman" w:hAnsi="Times New Roman" w:cs="Times New Roman"/>
          <w:b/>
          <w:bCs/>
          <w:color w:val="000000" w:themeColor="text1"/>
          <w:lang w:val="hu-HU"/>
        </w:rPr>
        <w:t xml:space="preserve"> </w:t>
      </w:r>
      <w:proofErr w:type="spellStart"/>
      <w:r w:rsidRPr="00EB3746">
        <w:rPr>
          <w:rFonts w:ascii="Times New Roman" w:hAnsi="Times New Roman" w:cs="Times New Roman"/>
          <w:b/>
          <w:bCs/>
          <w:color w:val="000000" w:themeColor="text1"/>
          <w:lang w:val="hu-HU"/>
        </w:rPr>
        <w:t>Prices</w:t>
      </w:r>
      <w:proofErr w:type="spellEnd"/>
    </w:p>
    <w:p w14:paraId="59736951" w14:textId="33161F87" w:rsidR="00C82DB5" w:rsidRPr="00EB3746" w:rsidRDefault="00C82DB5" w:rsidP="007B7DA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EB3746">
        <w:rPr>
          <w:rFonts w:ascii="Times New Roman" w:hAnsi="Times New Roman" w:cs="Times New Roman"/>
          <w:b/>
          <w:bCs/>
          <w:color w:val="000000" w:themeColor="text1"/>
        </w:rPr>
        <w:t xml:space="preserve">Fuel Prices </w:t>
      </w:r>
    </w:p>
    <w:p w14:paraId="6548B418" w14:textId="4371F3A9" w:rsidR="008C6EAC" w:rsidRPr="008C6EAC" w:rsidRDefault="008C6EAC" w:rsidP="008C6EAC">
      <w:pPr>
        <w:ind w:firstLine="720"/>
        <w:rPr>
          <w:rFonts w:ascii="Times New Roman" w:hAnsi="Times New Roman" w:cs="Times New Roman"/>
        </w:rPr>
      </w:pPr>
      <w:r w:rsidRPr="008C6EAC">
        <w:rPr>
          <w:rFonts w:ascii="Times New Roman" w:hAnsi="Times New Roman" w:cs="Times New Roman"/>
        </w:rPr>
        <w:t xml:space="preserve">Gasoline prices are highly concentrated (standard deviation of only </w:t>
      </w:r>
      <w:r>
        <w:rPr>
          <w:rFonts w:ascii="Times New Roman" w:hAnsi="Times New Roman" w:cs="Times New Roman"/>
        </w:rPr>
        <w:t xml:space="preserve">around </w:t>
      </w:r>
      <w:r w:rsidRPr="008C6EAC">
        <w:rPr>
          <w:rFonts w:ascii="Times New Roman" w:hAnsi="Times New Roman" w:cs="Times New Roman"/>
        </w:rPr>
        <w:t>13 HUF), with values clustering tightly around 580–585 HUF per liter.</w:t>
      </w:r>
      <w:r>
        <w:rPr>
          <w:rFonts w:ascii="Times New Roman" w:hAnsi="Times New Roman" w:cs="Times New Roman"/>
        </w:rPr>
        <w:t xml:space="preserve"> </w:t>
      </w:r>
      <w:r w:rsidRPr="008C6EAC">
        <w:rPr>
          <w:rFonts w:ascii="Times New Roman" w:hAnsi="Times New Roman" w:cs="Times New Roman"/>
        </w:rPr>
        <w:t>This indicates a strongly homogeneous pricing structure, likely reflecting either centralized price influence or a highly competitive market environment.</w:t>
      </w:r>
    </w:p>
    <w:p w14:paraId="3131F534" w14:textId="046434C4" w:rsidR="008C6EAC" w:rsidRPr="008C6EAC" w:rsidRDefault="008C6EAC" w:rsidP="008C6EAC">
      <w:pPr>
        <w:ind w:firstLine="720"/>
        <w:rPr>
          <w:rFonts w:ascii="Times New Roman" w:hAnsi="Times New Roman" w:cs="Times New Roman"/>
        </w:rPr>
      </w:pPr>
      <w:r w:rsidRPr="008C6EAC">
        <w:rPr>
          <w:rFonts w:ascii="Times New Roman" w:hAnsi="Times New Roman" w:cs="Times New Roman"/>
        </w:rPr>
        <w:t>The distribution of diesel prices closely mirrors that of gasoline, reinforcing the observation that the two fuel types move together in price (as already evidenced in the earlier scatterplot).</w:t>
      </w:r>
      <w:r>
        <w:rPr>
          <w:rFonts w:ascii="Times New Roman" w:hAnsi="Times New Roman" w:cs="Times New Roman"/>
        </w:rPr>
        <w:t xml:space="preserve"> </w:t>
      </w:r>
      <w:r w:rsidRPr="008C6EAC">
        <w:rPr>
          <w:rFonts w:ascii="Times New Roman" w:hAnsi="Times New Roman" w:cs="Times New Roman"/>
        </w:rPr>
        <w:t>The average difference between gasoline and diesel prices is approximately +6–7 HUF, which is typical for the Hungarian market due to tax structure differences.</w:t>
      </w:r>
    </w:p>
    <w:p w14:paraId="6498A8BA" w14:textId="3BBE6701" w:rsidR="008C6EAC" w:rsidRPr="008C6EAC" w:rsidRDefault="008C6EAC" w:rsidP="008C6EAC">
      <w:pPr>
        <w:ind w:firstLine="720"/>
        <w:rPr>
          <w:rFonts w:ascii="Times New Roman" w:hAnsi="Times New Roman" w:cs="Times New Roman"/>
        </w:rPr>
      </w:pPr>
      <w:r w:rsidRPr="008C6EAC">
        <w:rPr>
          <w:rFonts w:ascii="Times New Roman" w:hAnsi="Times New Roman" w:cs="Times New Roman"/>
        </w:rPr>
        <w:t>The near equality of the mean and median suggests a symmetric distribution.</w:t>
      </w:r>
      <w:r>
        <w:rPr>
          <w:rFonts w:ascii="Times New Roman" w:hAnsi="Times New Roman" w:cs="Times New Roman"/>
        </w:rPr>
        <w:t xml:space="preserve"> </w:t>
      </w:r>
      <w:r w:rsidRPr="008C6EAC">
        <w:rPr>
          <w:rFonts w:ascii="Times New Roman" w:hAnsi="Times New Roman" w:cs="Times New Roman"/>
        </w:rPr>
        <w:t>The peak</w:t>
      </w:r>
      <w:r>
        <w:rPr>
          <w:rFonts w:ascii="Times New Roman" w:hAnsi="Times New Roman" w:cs="Times New Roman"/>
        </w:rPr>
        <w:t>ing</w:t>
      </w:r>
      <w:r w:rsidRPr="008C6EAC">
        <w:rPr>
          <w:rFonts w:ascii="Times New Roman" w:hAnsi="Times New Roman" w:cs="Times New Roman"/>
        </w:rPr>
        <w:t xml:space="preserve"> histogram and price clustering around identical levels both point to a market that is either centrally regulated or subject to strong price competition.</w:t>
      </w:r>
    </w:p>
    <w:p w14:paraId="4F8DC36F" w14:textId="02FE0573" w:rsidR="008C6EAC" w:rsidRPr="008C6EAC" w:rsidRDefault="008C6EAC" w:rsidP="008C6EAC">
      <w:pPr>
        <w:ind w:firstLine="720"/>
        <w:rPr>
          <w:rFonts w:ascii="Times New Roman" w:hAnsi="Times New Roman" w:cs="Times New Roman"/>
        </w:rPr>
      </w:pPr>
      <w:r w:rsidRPr="008C6EAC">
        <w:rPr>
          <w:rFonts w:ascii="Times New Roman" w:hAnsi="Times New Roman" w:cs="Times New Roman"/>
        </w:rPr>
        <w:t>Both distributions are extremely concentrated, with nearly all prices falling within a narrow range (580–590 HUF/liter).</w:t>
      </w:r>
      <w:r>
        <w:rPr>
          <w:rFonts w:ascii="Times New Roman" w:hAnsi="Times New Roman" w:cs="Times New Roman"/>
        </w:rPr>
        <w:t xml:space="preserve"> </w:t>
      </w:r>
      <w:r w:rsidRPr="008C6EAC">
        <w:rPr>
          <w:rFonts w:ascii="Times New Roman" w:hAnsi="Times New Roman" w:cs="Times New Roman"/>
        </w:rPr>
        <w:t>Only a few observations exceed 600 HUF or fall below 560 HUF</w:t>
      </w:r>
      <w:r>
        <w:rPr>
          <w:rFonts w:ascii="Times New Roman" w:hAnsi="Times New Roman" w:cs="Times New Roman"/>
        </w:rPr>
        <w:t xml:space="preserve">, </w:t>
      </w:r>
      <w:r w:rsidRPr="008C6EAC">
        <w:rPr>
          <w:rFonts w:ascii="Times New Roman" w:hAnsi="Times New Roman" w:cs="Times New Roman"/>
        </w:rPr>
        <w:t>these outliers can likely be explained by geographic or brand-specific factors.</w:t>
      </w:r>
    </w:p>
    <w:p w14:paraId="6FB0185C" w14:textId="052308D3" w:rsidR="008C6EAC" w:rsidRPr="008C6EAC" w:rsidRDefault="008C6EAC" w:rsidP="008C6EAC">
      <w:pPr>
        <w:ind w:firstLine="720"/>
        <w:rPr>
          <w:rFonts w:ascii="Times New Roman" w:hAnsi="Times New Roman" w:cs="Times New Roman"/>
        </w:rPr>
      </w:pPr>
      <w:r w:rsidRPr="008C6EAC">
        <w:rPr>
          <w:rFonts w:ascii="Times New Roman" w:hAnsi="Times New Roman" w:cs="Times New Roman"/>
        </w:rPr>
        <w:t>In summary, gasoline and diesel prices exhibit strong co-movement, and the market appears highly homogeneous. Minor price differences are more likely explained by secondary factors such as local income levels, geographic distance, or competitive intensity.</w:t>
      </w:r>
    </w:p>
    <w:p w14:paraId="51A38020" w14:textId="77777777" w:rsidR="008C6EAC" w:rsidRPr="00EB3746" w:rsidRDefault="008C6EAC" w:rsidP="008C6E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3746">
        <w:rPr>
          <w:rFonts w:ascii="Times New Roman" w:hAnsi="Times New Roman" w:cs="Times New Roman"/>
          <w:b/>
          <w:bCs/>
          <w:sz w:val="28"/>
          <w:szCs w:val="28"/>
        </w:rPr>
        <w:t>Population</w:t>
      </w:r>
    </w:p>
    <w:p w14:paraId="08772B76" w14:textId="7B885001" w:rsidR="008C6EAC" w:rsidRPr="008C6EAC" w:rsidRDefault="008C6EAC" w:rsidP="00F83FB0">
      <w:pPr>
        <w:ind w:firstLine="720"/>
        <w:rPr>
          <w:rFonts w:ascii="Times New Roman" w:hAnsi="Times New Roman" w:cs="Times New Roman"/>
        </w:rPr>
      </w:pPr>
      <w:r w:rsidRPr="008C6EAC">
        <w:rPr>
          <w:rFonts w:ascii="Times New Roman" w:hAnsi="Times New Roman" w:cs="Times New Roman"/>
        </w:rPr>
        <w:t>The population distribution is strongly right-skewed: there are many small settlements (dense cluster on the left) and relatively few large cities (long tail on the right).</w:t>
      </w:r>
      <w:r w:rsidR="00F83FB0">
        <w:rPr>
          <w:rFonts w:ascii="Times New Roman" w:hAnsi="Times New Roman" w:cs="Times New Roman"/>
        </w:rPr>
        <w:t xml:space="preserve"> </w:t>
      </w:r>
      <w:r w:rsidRPr="008C6EAC">
        <w:rPr>
          <w:rFonts w:ascii="Times New Roman" w:hAnsi="Times New Roman" w:cs="Times New Roman"/>
        </w:rPr>
        <w:t xml:space="preserve">This pattern is </w:t>
      </w:r>
      <w:r w:rsidRPr="008C6EAC">
        <w:rPr>
          <w:rFonts w:ascii="Times New Roman" w:hAnsi="Times New Roman" w:cs="Times New Roman"/>
        </w:rPr>
        <w:lastRenderedPageBreak/>
        <w:t>typical for Hungary. The skew distorts the mean, making the median a more robust measure of central tendency.</w:t>
      </w:r>
    </w:p>
    <w:p w14:paraId="5ECB0D8E" w14:textId="1BCEB8D0" w:rsidR="008C6EAC" w:rsidRPr="008C6EAC" w:rsidRDefault="008C6EAC" w:rsidP="00F83FB0">
      <w:pPr>
        <w:ind w:firstLine="720"/>
        <w:rPr>
          <w:rFonts w:ascii="Times New Roman" w:hAnsi="Times New Roman" w:cs="Times New Roman"/>
        </w:rPr>
      </w:pPr>
      <w:r w:rsidRPr="008C6EAC">
        <w:rPr>
          <w:rFonts w:ascii="Times New Roman" w:hAnsi="Times New Roman" w:cs="Times New Roman"/>
        </w:rPr>
        <w:t>The mean</w:t>
      </w:r>
      <w:r w:rsidR="00F83FB0">
        <w:rPr>
          <w:rFonts w:ascii="Times New Roman" w:hAnsi="Times New Roman" w:cs="Times New Roman"/>
        </w:rPr>
        <w:t xml:space="preserve">, which is approximately </w:t>
      </w:r>
      <w:r w:rsidRPr="008C6EAC">
        <w:rPr>
          <w:rFonts w:ascii="Times New Roman" w:hAnsi="Times New Roman" w:cs="Times New Roman"/>
        </w:rPr>
        <w:t xml:space="preserve">45,000 </w:t>
      </w:r>
      <w:r w:rsidR="00F83FB0">
        <w:rPr>
          <w:rFonts w:ascii="Times New Roman" w:hAnsi="Times New Roman" w:cs="Times New Roman"/>
        </w:rPr>
        <w:t>people,</w:t>
      </w:r>
      <w:r w:rsidRPr="008C6EAC">
        <w:rPr>
          <w:rFonts w:ascii="Times New Roman" w:hAnsi="Times New Roman" w:cs="Times New Roman"/>
        </w:rPr>
        <w:t xml:space="preserve"> is considerably higher than the median (</w:t>
      </w:r>
      <w:r w:rsidR="00F83FB0">
        <w:rPr>
          <w:rFonts w:ascii="Times New Roman" w:hAnsi="Times New Roman" w:cs="Times New Roman"/>
        </w:rPr>
        <w:t xml:space="preserve"> around </w:t>
      </w:r>
      <w:r w:rsidRPr="008C6EAC">
        <w:rPr>
          <w:rFonts w:ascii="Times New Roman" w:hAnsi="Times New Roman" w:cs="Times New Roman"/>
        </w:rPr>
        <w:t>23,000), confirming the skewness. The large standard deviation (</w:t>
      </w:r>
      <w:r w:rsidR="00F83FB0">
        <w:rPr>
          <w:rFonts w:ascii="Times New Roman" w:hAnsi="Times New Roman" w:cs="Times New Roman"/>
        </w:rPr>
        <w:t xml:space="preserve">around </w:t>
      </w:r>
      <w:r w:rsidRPr="008C6EAC">
        <w:rPr>
          <w:rFonts w:ascii="Times New Roman" w:hAnsi="Times New Roman" w:cs="Times New Roman"/>
        </w:rPr>
        <w:t>60,000) further indicates significant heterogeneity.</w:t>
      </w:r>
    </w:p>
    <w:p w14:paraId="12B3FF26" w14:textId="2C23E41D" w:rsidR="008C6EAC" w:rsidRPr="008C6EAC" w:rsidRDefault="008C6EAC" w:rsidP="00F83FB0">
      <w:pPr>
        <w:ind w:firstLine="720"/>
        <w:rPr>
          <w:rFonts w:ascii="Times New Roman" w:hAnsi="Times New Roman" w:cs="Times New Roman"/>
        </w:rPr>
      </w:pPr>
      <w:r w:rsidRPr="008C6EAC">
        <w:rPr>
          <w:rFonts w:ascii="Times New Roman" w:hAnsi="Times New Roman" w:cs="Times New Roman"/>
        </w:rPr>
        <w:t xml:space="preserve">Given this asymmetry, </w:t>
      </w:r>
      <w:r w:rsidR="00F83FB0">
        <w:rPr>
          <w:rFonts w:ascii="Times New Roman" w:hAnsi="Times New Roman" w:cs="Times New Roman"/>
        </w:rPr>
        <w:t>it might be useful to log-transfrom the</w:t>
      </w:r>
      <w:r w:rsidRPr="008C6EAC">
        <w:rPr>
          <w:rFonts w:ascii="Times New Roman" w:hAnsi="Times New Roman" w:cs="Times New Roman"/>
        </w:rPr>
        <w:t xml:space="preserve"> Population</w:t>
      </w:r>
      <w:r w:rsidR="00F83FB0">
        <w:rPr>
          <w:rFonts w:ascii="Times New Roman" w:hAnsi="Times New Roman" w:cs="Times New Roman"/>
        </w:rPr>
        <w:t xml:space="preserve"> variable </w:t>
      </w:r>
      <w:r w:rsidRPr="008C6EAC">
        <w:rPr>
          <w:rFonts w:ascii="Times New Roman" w:hAnsi="Times New Roman" w:cs="Times New Roman"/>
        </w:rPr>
        <w:t>in regression models to better handle extreme values.</w:t>
      </w:r>
      <w:r w:rsidR="00F83FB0">
        <w:rPr>
          <w:rFonts w:ascii="Times New Roman" w:hAnsi="Times New Roman" w:cs="Times New Roman"/>
        </w:rPr>
        <w:t xml:space="preserve"> </w:t>
      </w:r>
      <w:r w:rsidRPr="008C6EAC">
        <w:rPr>
          <w:rFonts w:ascii="Times New Roman" w:hAnsi="Times New Roman" w:cs="Times New Roman"/>
        </w:rPr>
        <w:t>Smaller settlements typically exhibit less competition, which may lead to slightly higher fuel prices.</w:t>
      </w:r>
    </w:p>
    <w:p w14:paraId="1E50135F" w14:textId="77777777" w:rsidR="008C6EAC" w:rsidRPr="00EB3746" w:rsidRDefault="008C6EAC" w:rsidP="008C6E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3746">
        <w:rPr>
          <w:rFonts w:ascii="Times New Roman" w:hAnsi="Times New Roman" w:cs="Times New Roman"/>
          <w:b/>
          <w:bCs/>
          <w:sz w:val="28"/>
          <w:szCs w:val="28"/>
        </w:rPr>
        <w:t>Income</w:t>
      </w:r>
    </w:p>
    <w:p w14:paraId="0103F0B1" w14:textId="3F1D0062" w:rsidR="008C6EAC" w:rsidRPr="008C6EAC" w:rsidRDefault="008C6EAC" w:rsidP="00F83FB0">
      <w:pPr>
        <w:ind w:firstLine="720"/>
        <w:rPr>
          <w:rFonts w:ascii="Times New Roman" w:hAnsi="Times New Roman" w:cs="Times New Roman"/>
        </w:rPr>
      </w:pPr>
      <w:r w:rsidRPr="008C6EAC">
        <w:rPr>
          <w:rFonts w:ascii="Times New Roman" w:hAnsi="Times New Roman" w:cs="Times New Roman"/>
        </w:rPr>
        <w:t>The income distribution is multimodal, displaying several peaks where observations are concentrated, interspersed with gaps.</w:t>
      </w:r>
      <w:r w:rsidR="00F83FB0">
        <w:rPr>
          <w:rFonts w:ascii="Times New Roman" w:hAnsi="Times New Roman" w:cs="Times New Roman"/>
        </w:rPr>
        <w:t xml:space="preserve"> </w:t>
      </w:r>
      <w:r w:rsidRPr="008C6EAC">
        <w:rPr>
          <w:rFonts w:ascii="Times New Roman" w:hAnsi="Times New Roman" w:cs="Times New Roman"/>
        </w:rPr>
        <w:t>Values range approximately between 475,000 and 780,000 HUF, reflecting substantial regional disparities.</w:t>
      </w:r>
      <w:r w:rsidR="00F83FB0">
        <w:rPr>
          <w:rFonts w:ascii="Times New Roman" w:hAnsi="Times New Roman" w:cs="Times New Roman"/>
        </w:rPr>
        <w:t xml:space="preserve"> </w:t>
      </w:r>
      <w:r w:rsidRPr="008C6EAC">
        <w:rPr>
          <w:rFonts w:ascii="Times New Roman" w:hAnsi="Times New Roman" w:cs="Times New Roman"/>
        </w:rPr>
        <w:t>This is supported by both the large standard deviation (</w:t>
      </w:r>
      <w:r w:rsidR="00F83FB0">
        <w:rPr>
          <w:rFonts w:ascii="Times New Roman" w:hAnsi="Times New Roman" w:cs="Times New Roman"/>
        </w:rPr>
        <w:t xml:space="preserve">around </w:t>
      </w:r>
      <w:r w:rsidRPr="008C6EAC">
        <w:rPr>
          <w:rFonts w:ascii="Times New Roman" w:hAnsi="Times New Roman" w:cs="Times New Roman"/>
        </w:rPr>
        <w:t>86,000 HUF) and the close proximity of the mean and median.</w:t>
      </w:r>
    </w:p>
    <w:p w14:paraId="4B24A543" w14:textId="11F9CE24" w:rsidR="004255FD" w:rsidRPr="00125898" w:rsidRDefault="008C6EAC" w:rsidP="00125898">
      <w:pPr>
        <w:ind w:firstLine="720"/>
        <w:rPr>
          <w:rFonts w:ascii="Times New Roman" w:hAnsi="Times New Roman" w:cs="Times New Roman"/>
        </w:rPr>
      </w:pPr>
      <w:r w:rsidRPr="008C6EAC">
        <w:rPr>
          <w:rFonts w:ascii="Times New Roman" w:hAnsi="Times New Roman" w:cs="Times New Roman"/>
        </w:rPr>
        <w:t xml:space="preserve">Income is a potentially </w:t>
      </w:r>
      <w:r w:rsidR="00F83FB0">
        <w:rPr>
          <w:rFonts w:ascii="Times New Roman" w:hAnsi="Times New Roman" w:cs="Times New Roman"/>
        </w:rPr>
        <w:t xml:space="preserve">a </w:t>
      </w:r>
      <w:r w:rsidRPr="008C6EAC">
        <w:rPr>
          <w:rFonts w:ascii="Times New Roman" w:hAnsi="Times New Roman" w:cs="Times New Roman"/>
        </w:rPr>
        <w:t>strong explanatory variable for gasoline prices, as its high variance provides meaningful differentiation across regions.</w:t>
      </w:r>
      <w:r w:rsidR="00F83FB0">
        <w:rPr>
          <w:rFonts w:ascii="Times New Roman" w:hAnsi="Times New Roman" w:cs="Times New Roman"/>
        </w:rPr>
        <w:t xml:space="preserve"> </w:t>
      </w:r>
      <w:r w:rsidRPr="008C6EAC">
        <w:rPr>
          <w:rFonts w:ascii="Times New Roman" w:hAnsi="Times New Roman" w:cs="Times New Roman"/>
        </w:rPr>
        <w:t>Thus, variation in income levels could plausibly account for part of the observed differences in fuel prices.</w:t>
      </w:r>
    </w:p>
    <w:p w14:paraId="35C65F76" w14:textId="7F5469F7" w:rsidR="008E2E02" w:rsidRPr="008E2E02" w:rsidRDefault="008E2E02" w:rsidP="008E2E02">
      <w:pPr>
        <w:ind w:firstLine="720"/>
        <w:rPr>
          <w:rFonts w:ascii="Times New Roman" w:hAnsi="Times New Roman" w:cs="Times New Roman"/>
        </w:rPr>
      </w:pPr>
      <w:r w:rsidRPr="008E2E02">
        <w:rPr>
          <w:rFonts w:ascii="Times New Roman" w:hAnsi="Times New Roman" w:cs="Times New Roman"/>
        </w:rPr>
        <w:t>Based on the descriptive statistics, fuel prices both gasoline and diesel fluctuate within a relatively narrow range, indicating a homogeneous and competitive market structure.</w:t>
      </w:r>
      <w:r w:rsidRPr="008E2E02">
        <w:rPr>
          <w:rFonts w:ascii="Times New Roman" w:hAnsi="Times New Roman" w:cs="Times New Roman"/>
        </w:rPr>
        <w:br/>
        <w:t>The average price difference between gasoline and diesel is only about 6–7 HUF per liter.</w:t>
      </w:r>
      <w:r w:rsidRPr="008E2E02">
        <w:rPr>
          <w:rFonts w:ascii="Times New Roman" w:hAnsi="Times New Roman" w:cs="Times New Roman"/>
        </w:rPr>
        <w:br/>
        <w:t>Observed price disparities are therefore unlikely to stem from a general lack of competition, but rather from localized factors.</w:t>
      </w:r>
    </w:p>
    <w:p w14:paraId="04D68F2A" w14:textId="7A43F2E2" w:rsidR="008E2E02" w:rsidRDefault="008E2E02" w:rsidP="00E3504E">
      <w:pPr>
        <w:ind w:firstLine="720"/>
        <w:rPr>
          <w:rFonts w:ascii="Times New Roman" w:hAnsi="Times New Roman" w:cs="Times New Roman"/>
        </w:rPr>
      </w:pPr>
      <w:r w:rsidRPr="008E2E02">
        <w:rPr>
          <w:rFonts w:ascii="Times New Roman" w:hAnsi="Times New Roman" w:cs="Times New Roman"/>
        </w:rPr>
        <w:t>In contrast, the Population and Income variables exhibit high variability, suggesting considerable economic and demographic heterogeneity across the sampled areas.</w:t>
      </w:r>
      <w:r w:rsidRPr="008E2E02">
        <w:rPr>
          <w:rFonts w:ascii="Times New Roman" w:hAnsi="Times New Roman" w:cs="Times New Roman"/>
        </w:rPr>
        <w:br/>
        <w:t>This supports the assumption that these variables may partly explain differences in gasoline prices.</w:t>
      </w:r>
      <w:r w:rsidR="00426B66">
        <w:rPr>
          <w:rFonts w:ascii="Times New Roman" w:hAnsi="Times New Roman" w:cs="Times New Roman"/>
        </w:rPr>
        <w:t xml:space="preserve"> </w:t>
      </w:r>
      <w:r w:rsidRPr="008E2E02">
        <w:rPr>
          <w:rFonts w:ascii="Times New Roman" w:hAnsi="Times New Roman" w:cs="Times New Roman"/>
        </w:rPr>
        <w:t>In particular, demand pressures associated with higher income levels, as well as the lower competitive intensity typical of smaller settlements, are likely to play a role in subsequent modeling.</w:t>
      </w:r>
    </w:p>
    <w:p w14:paraId="0E2BFFAE" w14:textId="544DC018" w:rsidR="007D03B3" w:rsidRPr="00EB3746" w:rsidRDefault="007D03B3" w:rsidP="00DD7F70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EB3746">
        <w:rPr>
          <w:rFonts w:ascii="Times New Roman" w:hAnsi="Times New Roman" w:cs="Times New Roman"/>
          <w:b/>
          <w:bCs/>
          <w:color w:val="000000" w:themeColor="text1"/>
        </w:rPr>
        <w:t>Relationship between the Fuel Prices and the other numerical variables</w:t>
      </w:r>
    </w:p>
    <w:p w14:paraId="7121CE1A" w14:textId="4DFB33F8" w:rsidR="00AD5FE1" w:rsidRPr="00EB3746" w:rsidRDefault="00AD5FE1" w:rsidP="00125898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EB3746">
        <w:rPr>
          <w:rFonts w:ascii="Times New Roman" w:hAnsi="Times New Roman" w:cs="Times New Roman"/>
          <w:b/>
          <w:bCs/>
          <w:color w:val="000000" w:themeColor="text1"/>
        </w:rPr>
        <w:t>Income and Fuel Prices</w:t>
      </w:r>
    </w:p>
    <w:p w14:paraId="2542A85C" w14:textId="775A7B47" w:rsidR="005C6D7A" w:rsidRPr="005C6D7A" w:rsidRDefault="005C6D7A" w:rsidP="005C6D7A">
      <w:pPr>
        <w:ind w:firstLine="720"/>
        <w:rPr>
          <w:rFonts w:ascii="Times New Roman" w:hAnsi="Times New Roman" w:cs="Times New Roman"/>
        </w:rPr>
      </w:pPr>
      <w:r w:rsidRPr="005C6D7A">
        <w:rPr>
          <w:rFonts w:ascii="Times New Roman" w:hAnsi="Times New Roman" w:cs="Times New Roman"/>
        </w:rPr>
        <w:t>The figures illustrate the relationship between income levels and fuel prices (gasoline and diesel).</w:t>
      </w:r>
      <w:r>
        <w:rPr>
          <w:rFonts w:ascii="Times New Roman" w:hAnsi="Times New Roman" w:cs="Times New Roman"/>
        </w:rPr>
        <w:t xml:space="preserve"> </w:t>
      </w:r>
      <w:r w:rsidRPr="005C6D7A">
        <w:rPr>
          <w:rFonts w:ascii="Times New Roman" w:hAnsi="Times New Roman" w:cs="Times New Roman"/>
        </w:rPr>
        <w:t>Each point represents an individual fuel station, while the colored line denotes the estimated linear regression trend.</w:t>
      </w:r>
    </w:p>
    <w:p w14:paraId="09418A85" w14:textId="62B4B874" w:rsidR="005C6D7A" w:rsidRPr="005C6D7A" w:rsidRDefault="005C6D7A" w:rsidP="005C6D7A">
      <w:pPr>
        <w:ind w:firstLine="720"/>
        <w:rPr>
          <w:rFonts w:ascii="Times New Roman" w:hAnsi="Times New Roman" w:cs="Times New Roman"/>
        </w:rPr>
      </w:pPr>
      <w:r w:rsidRPr="005C6D7A">
        <w:rPr>
          <w:rFonts w:ascii="Times New Roman" w:hAnsi="Times New Roman" w:cs="Times New Roman"/>
        </w:rPr>
        <w:t>Gasoline prices exhibit substantial dispersion across different income levels.</w:t>
      </w:r>
      <w:r>
        <w:rPr>
          <w:rFonts w:ascii="Times New Roman" w:hAnsi="Times New Roman" w:cs="Times New Roman"/>
        </w:rPr>
        <w:t xml:space="preserve"> </w:t>
      </w:r>
      <w:r w:rsidRPr="005C6D7A">
        <w:rPr>
          <w:rFonts w:ascii="Times New Roman" w:hAnsi="Times New Roman" w:cs="Times New Roman"/>
        </w:rPr>
        <w:t xml:space="preserve">The regression line is nearly flat, indicating no meaningful linear relationship between income and </w:t>
      </w:r>
      <w:r w:rsidRPr="005C6D7A">
        <w:rPr>
          <w:rFonts w:ascii="Times New Roman" w:hAnsi="Times New Roman" w:cs="Times New Roman"/>
        </w:rPr>
        <w:lastRenderedPageBreak/>
        <w:t>gasoline prices.</w:t>
      </w:r>
      <w:r>
        <w:rPr>
          <w:rFonts w:ascii="Times New Roman" w:hAnsi="Times New Roman" w:cs="Times New Roman"/>
        </w:rPr>
        <w:t xml:space="preserve"> </w:t>
      </w:r>
      <w:r w:rsidRPr="005C6D7A">
        <w:rPr>
          <w:rFonts w:ascii="Times New Roman" w:hAnsi="Times New Roman" w:cs="Times New Roman"/>
        </w:rPr>
        <w:t>In other words, fuel is not systematically more expensive in high-income regions, nor cheaper in low-income ones.</w:t>
      </w:r>
    </w:p>
    <w:p w14:paraId="326BD387" w14:textId="2586F78A" w:rsidR="005C6D7A" w:rsidRPr="005C6D7A" w:rsidRDefault="005C6D7A" w:rsidP="005C6D7A">
      <w:pPr>
        <w:ind w:firstLine="720"/>
        <w:rPr>
          <w:rFonts w:ascii="Times New Roman" w:hAnsi="Times New Roman" w:cs="Times New Roman"/>
        </w:rPr>
      </w:pPr>
      <w:r w:rsidRPr="005C6D7A">
        <w:rPr>
          <w:rFonts w:ascii="Times New Roman" w:hAnsi="Times New Roman" w:cs="Times New Roman"/>
        </w:rPr>
        <w:t>This suggests that national pricing policies or the homogenizing effects of market competition largely offset local income differences.</w:t>
      </w:r>
      <w:r>
        <w:rPr>
          <w:rFonts w:ascii="Times New Roman" w:hAnsi="Times New Roman" w:cs="Times New Roman"/>
        </w:rPr>
        <w:t xml:space="preserve"> </w:t>
      </w:r>
      <w:r w:rsidRPr="005C6D7A">
        <w:rPr>
          <w:rFonts w:ascii="Times New Roman" w:hAnsi="Times New Roman" w:cs="Times New Roman"/>
        </w:rPr>
        <w:t>Major fuel chains typically determine prices at the national level, which minimizes the influence of local demand and supply conditions.</w:t>
      </w:r>
    </w:p>
    <w:p w14:paraId="34951567" w14:textId="77777777" w:rsidR="00E55198" w:rsidRDefault="005C6D7A" w:rsidP="00E55198">
      <w:pPr>
        <w:ind w:firstLine="720"/>
        <w:rPr>
          <w:rFonts w:ascii="Times New Roman" w:hAnsi="Times New Roman" w:cs="Times New Roman"/>
        </w:rPr>
      </w:pPr>
      <w:r w:rsidRPr="005C6D7A">
        <w:rPr>
          <w:rFonts w:ascii="Times New Roman" w:hAnsi="Times New Roman" w:cs="Times New Roman"/>
        </w:rPr>
        <w:t>Diesel prices display a very similar pattern: the data points are widely scattered, and the trendline shows only a marginal positive slope, essentially flat.</w:t>
      </w:r>
      <w:r>
        <w:rPr>
          <w:rFonts w:ascii="Times New Roman" w:hAnsi="Times New Roman" w:cs="Times New Roman"/>
        </w:rPr>
        <w:t xml:space="preserve"> </w:t>
      </w:r>
      <w:r w:rsidRPr="005C6D7A">
        <w:rPr>
          <w:rFonts w:ascii="Times New Roman" w:hAnsi="Times New Roman" w:cs="Times New Roman"/>
        </w:rPr>
        <w:t>This implies a very weak</w:t>
      </w:r>
      <w:r>
        <w:rPr>
          <w:rFonts w:ascii="Times New Roman" w:hAnsi="Times New Roman" w:cs="Times New Roman"/>
        </w:rPr>
        <w:t xml:space="preserve">, </w:t>
      </w:r>
      <w:r w:rsidRPr="005C6D7A">
        <w:rPr>
          <w:rFonts w:ascii="Times New Roman" w:hAnsi="Times New Roman" w:cs="Times New Roman"/>
        </w:rPr>
        <w:t>or statistically insignificant</w:t>
      </w:r>
      <w:r>
        <w:rPr>
          <w:rFonts w:ascii="Times New Roman" w:hAnsi="Times New Roman" w:cs="Times New Roman"/>
        </w:rPr>
        <w:t xml:space="preserve"> </w:t>
      </w:r>
      <w:r w:rsidRPr="005C6D7A">
        <w:rPr>
          <w:rFonts w:ascii="Times New Roman" w:hAnsi="Times New Roman" w:cs="Times New Roman"/>
        </w:rPr>
        <w:t>correlation between income and diesel prices.</w:t>
      </w:r>
      <w:r>
        <w:rPr>
          <w:rFonts w:ascii="Times New Roman" w:hAnsi="Times New Roman" w:cs="Times New Roman"/>
        </w:rPr>
        <w:t xml:space="preserve"> </w:t>
      </w:r>
      <w:r w:rsidRPr="005C6D7A">
        <w:rPr>
          <w:rFonts w:ascii="Times New Roman" w:hAnsi="Times New Roman" w:cs="Times New Roman"/>
        </w:rPr>
        <w:t>No systematic price differentials are observed across income brackets.</w:t>
      </w:r>
      <w:r w:rsidR="00E55198">
        <w:rPr>
          <w:rFonts w:ascii="Times New Roman" w:hAnsi="Times New Roman" w:cs="Times New Roman"/>
        </w:rPr>
        <w:t xml:space="preserve"> </w:t>
      </w:r>
      <w:r w:rsidRPr="005C6D7A">
        <w:rPr>
          <w:rFonts w:ascii="Times New Roman" w:hAnsi="Times New Roman" w:cs="Times New Roman"/>
        </w:rPr>
        <w:t xml:space="preserve">These results </w:t>
      </w:r>
      <w:r w:rsidR="00E55198">
        <w:rPr>
          <w:rFonts w:ascii="Times New Roman" w:hAnsi="Times New Roman" w:cs="Times New Roman"/>
        </w:rPr>
        <w:t>prove</w:t>
      </w:r>
      <w:r w:rsidRPr="005C6D7A">
        <w:rPr>
          <w:rFonts w:ascii="Times New Roman" w:hAnsi="Times New Roman" w:cs="Times New Roman"/>
        </w:rPr>
        <w:t xml:space="preserve"> the theoretical expectation that fuel prices are primarily driven by macroeconomic factors rather than local economic development.</w:t>
      </w:r>
    </w:p>
    <w:p w14:paraId="387634E0" w14:textId="415FC9BC" w:rsidR="00327863" w:rsidRDefault="005C6D7A" w:rsidP="00EB3746">
      <w:pPr>
        <w:ind w:firstLine="720"/>
        <w:rPr>
          <w:rFonts w:ascii="Times New Roman" w:hAnsi="Times New Roman" w:cs="Times New Roman"/>
        </w:rPr>
      </w:pPr>
      <w:r w:rsidRPr="005C6D7A">
        <w:rPr>
          <w:rFonts w:ascii="Times New Roman" w:hAnsi="Times New Roman" w:cs="Times New Roman"/>
        </w:rPr>
        <w:t>Overall, neither gasoline nor diesel prices exhibit a statistically significant association with municipal income levels.</w:t>
      </w:r>
      <w:r w:rsidR="00E55198">
        <w:rPr>
          <w:rFonts w:ascii="Times New Roman" w:hAnsi="Times New Roman" w:cs="Times New Roman"/>
        </w:rPr>
        <w:t xml:space="preserve"> </w:t>
      </w:r>
      <w:r w:rsidRPr="005C6D7A">
        <w:rPr>
          <w:rFonts w:ascii="Times New Roman" w:hAnsi="Times New Roman" w:cs="Times New Roman"/>
        </w:rPr>
        <w:t>The flat regression lines and dispersed data points suggest that income variation does not explain fuel price formation.</w:t>
      </w:r>
      <w:r w:rsidR="00E55198">
        <w:rPr>
          <w:rFonts w:ascii="Times New Roman" w:hAnsi="Times New Roman" w:cs="Times New Roman"/>
        </w:rPr>
        <w:t xml:space="preserve"> </w:t>
      </w:r>
      <w:r w:rsidRPr="005C6D7A">
        <w:rPr>
          <w:rFonts w:ascii="Times New Roman" w:hAnsi="Times New Roman" w:cs="Times New Roman"/>
        </w:rPr>
        <w:t>Consequently, pricing dynamics are primarily influenced by national or global determinants, while local demand</w:t>
      </w:r>
      <w:r w:rsidR="00E55198">
        <w:rPr>
          <w:rFonts w:ascii="Times New Roman" w:hAnsi="Times New Roman" w:cs="Times New Roman"/>
        </w:rPr>
        <w:t xml:space="preserve"> (</w:t>
      </w:r>
      <w:r w:rsidRPr="005C6D7A">
        <w:rPr>
          <w:rFonts w:ascii="Times New Roman" w:hAnsi="Times New Roman" w:cs="Times New Roman"/>
        </w:rPr>
        <w:t>potentially proxied by income</w:t>
      </w:r>
      <w:r w:rsidR="00E55198">
        <w:rPr>
          <w:rFonts w:ascii="Times New Roman" w:hAnsi="Times New Roman" w:cs="Times New Roman"/>
        </w:rPr>
        <w:t>) does not have enough</w:t>
      </w:r>
      <w:r w:rsidRPr="005C6D7A">
        <w:rPr>
          <w:rFonts w:ascii="Times New Roman" w:hAnsi="Times New Roman" w:cs="Times New Roman"/>
        </w:rPr>
        <w:t xml:space="preserve"> explanatory power.</w:t>
      </w:r>
    </w:p>
    <w:p w14:paraId="5C2837BA" w14:textId="12CB169A" w:rsidR="00327863" w:rsidRPr="00EB3746" w:rsidRDefault="00327863" w:rsidP="00125898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EB3746">
        <w:rPr>
          <w:rFonts w:ascii="Times New Roman" w:hAnsi="Times New Roman" w:cs="Times New Roman"/>
          <w:b/>
          <w:bCs/>
          <w:color w:val="000000" w:themeColor="text1"/>
        </w:rPr>
        <w:t>Population and Fuel Prices</w:t>
      </w:r>
    </w:p>
    <w:p w14:paraId="5AB7F9FC" w14:textId="4A77BBEC" w:rsidR="00C241CC" w:rsidRPr="00C241CC" w:rsidRDefault="00C241CC" w:rsidP="00C241CC">
      <w:pPr>
        <w:ind w:firstLine="720"/>
        <w:rPr>
          <w:rFonts w:ascii="Times New Roman" w:hAnsi="Times New Roman" w:cs="Times New Roman"/>
        </w:rPr>
      </w:pPr>
      <w:r w:rsidRPr="00C241CC">
        <w:rPr>
          <w:rFonts w:ascii="Times New Roman" w:hAnsi="Times New Roman" w:cs="Times New Roman"/>
        </w:rPr>
        <w:t>The charts illustrate the relationship between settlement population size and local fuel prices (gasoline and diesel).</w:t>
      </w:r>
      <w:r w:rsidR="000B071E">
        <w:rPr>
          <w:rFonts w:ascii="Times New Roman" w:hAnsi="Times New Roman" w:cs="Times New Roman"/>
        </w:rPr>
        <w:t xml:space="preserve"> </w:t>
      </w:r>
      <w:r w:rsidRPr="00C241CC">
        <w:rPr>
          <w:rFonts w:ascii="Times New Roman" w:hAnsi="Times New Roman" w:cs="Times New Roman"/>
        </w:rPr>
        <w:t>Each point corresponds to an individual station, and the colored line represents the linear trend reflecting the general direction of association.</w:t>
      </w:r>
    </w:p>
    <w:p w14:paraId="5EFE0E1D" w14:textId="1BC9B559" w:rsidR="00C241CC" w:rsidRPr="00C241CC" w:rsidRDefault="00C241CC" w:rsidP="00C241CC">
      <w:pPr>
        <w:ind w:firstLine="720"/>
        <w:rPr>
          <w:rFonts w:ascii="Times New Roman" w:hAnsi="Times New Roman" w:cs="Times New Roman"/>
        </w:rPr>
      </w:pPr>
      <w:r w:rsidRPr="00C241CC">
        <w:rPr>
          <w:rFonts w:ascii="Times New Roman" w:hAnsi="Times New Roman" w:cs="Times New Roman"/>
        </w:rPr>
        <w:t xml:space="preserve">The points are widely dispersed, and no clear linear pattern </w:t>
      </w:r>
      <w:r w:rsidR="000B071E">
        <w:rPr>
          <w:rFonts w:ascii="Times New Roman" w:hAnsi="Times New Roman" w:cs="Times New Roman"/>
        </w:rPr>
        <w:t>is shown</w:t>
      </w:r>
      <w:r w:rsidRPr="00C241CC">
        <w:rPr>
          <w:rFonts w:ascii="Times New Roman" w:hAnsi="Times New Roman" w:cs="Times New Roman"/>
        </w:rPr>
        <w:t>.</w:t>
      </w:r>
      <w:r w:rsidR="00E3504E">
        <w:rPr>
          <w:rFonts w:ascii="Times New Roman" w:hAnsi="Times New Roman" w:cs="Times New Roman"/>
        </w:rPr>
        <w:t xml:space="preserve"> </w:t>
      </w:r>
      <w:r w:rsidRPr="00C241CC">
        <w:rPr>
          <w:rFonts w:ascii="Times New Roman" w:hAnsi="Times New Roman" w:cs="Times New Roman"/>
        </w:rPr>
        <w:t xml:space="preserve">The trendline exhibits a slightly negative slope in both cases, suggesting that </w:t>
      </w:r>
      <w:r w:rsidR="000B071E">
        <w:rPr>
          <w:rFonts w:ascii="Times New Roman" w:hAnsi="Times New Roman" w:cs="Times New Roman"/>
        </w:rPr>
        <w:t>bigger</w:t>
      </w:r>
      <w:r w:rsidRPr="00C241CC">
        <w:rPr>
          <w:rFonts w:ascii="Times New Roman" w:hAnsi="Times New Roman" w:cs="Times New Roman"/>
        </w:rPr>
        <w:t xml:space="preserve"> settlements tend to have</w:t>
      </w:r>
      <w:r w:rsidR="000B071E">
        <w:rPr>
          <w:rFonts w:ascii="Times New Roman" w:hAnsi="Times New Roman" w:cs="Times New Roman"/>
        </w:rPr>
        <w:t xml:space="preserve"> </w:t>
      </w:r>
      <w:r w:rsidRPr="00C241CC">
        <w:rPr>
          <w:rFonts w:ascii="Times New Roman" w:hAnsi="Times New Roman" w:cs="Times New Roman"/>
        </w:rPr>
        <w:t>lower fuel prices.</w:t>
      </w:r>
      <w:r w:rsidR="000B071E">
        <w:rPr>
          <w:rFonts w:ascii="Times New Roman" w:hAnsi="Times New Roman" w:cs="Times New Roman"/>
        </w:rPr>
        <w:t xml:space="preserve"> </w:t>
      </w:r>
      <w:r w:rsidRPr="00C241CC">
        <w:rPr>
          <w:rFonts w:ascii="Times New Roman" w:hAnsi="Times New Roman" w:cs="Times New Roman"/>
        </w:rPr>
        <w:t xml:space="preserve">However, the slope is very small, implying that the relationship is weak and </w:t>
      </w:r>
      <w:r w:rsidR="000B071E">
        <w:rPr>
          <w:rFonts w:ascii="Times New Roman" w:hAnsi="Times New Roman" w:cs="Times New Roman"/>
        </w:rPr>
        <w:t>likely it will not be significant</w:t>
      </w:r>
      <w:r w:rsidRPr="00C241CC">
        <w:rPr>
          <w:rFonts w:ascii="Times New Roman" w:hAnsi="Times New Roman" w:cs="Times New Roman"/>
        </w:rPr>
        <w:t>.</w:t>
      </w:r>
    </w:p>
    <w:p w14:paraId="53705902" w14:textId="51716714" w:rsidR="00C241CC" w:rsidRPr="00C241CC" w:rsidRDefault="00C241CC" w:rsidP="00C241CC">
      <w:pPr>
        <w:ind w:firstLine="720"/>
        <w:rPr>
          <w:rFonts w:ascii="Times New Roman" w:hAnsi="Times New Roman" w:cs="Times New Roman"/>
        </w:rPr>
      </w:pPr>
      <w:r w:rsidRPr="00C241CC">
        <w:rPr>
          <w:rFonts w:ascii="Times New Roman" w:hAnsi="Times New Roman" w:cs="Times New Roman"/>
        </w:rPr>
        <w:t xml:space="preserve">The </w:t>
      </w:r>
      <w:r w:rsidR="000B071E">
        <w:rPr>
          <w:rFonts w:ascii="Times New Roman" w:hAnsi="Times New Roman" w:cs="Times New Roman"/>
        </w:rPr>
        <w:t xml:space="preserve">weak </w:t>
      </w:r>
      <w:r w:rsidRPr="00C241CC">
        <w:rPr>
          <w:rFonts w:ascii="Times New Roman" w:hAnsi="Times New Roman" w:cs="Times New Roman"/>
        </w:rPr>
        <w:t>negativ</w:t>
      </w:r>
      <w:r w:rsidR="000B071E">
        <w:rPr>
          <w:rFonts w:ascii="Times New Roman" w:hAnsi="Times New Roman" w:cs="Times New Roman"/>
        </w:rPr>
        <w:t xml:space="preserve">e </w:t>
      </w:r>
      <w:r w:rsidRPr="00C241CC">
        <w:rPr>
          <w:rFonts w:ascii="Times New Roman" w:hAnsi="Times New Roman" w:cs="Times New Roman"/>
        </w:rPr>
        <w:t>association may reflect competitive market effects</w:t>
      </w:r>
      <w:r w:rsidR="000B071E">
        <w:rPr>
          <w:rFonts w:ascii="Times New Roman" w:hAnsi="Times New Roman" w:cs="Times New Roman"/>
        </w:rPr>
        <w:t>. L</w:t>
      </w:r>
      <w:r w:rsidRPr="00C241CC">
        <w:rPr>
          <w:rFonts w:ascii="Times New Roman" w:hAnsi="Times New Roman" w:cs="Times New Roman"/>
        </w:rPr>
        <w:t xml:space="preserve">arger settlements typically </w:t>
      </w:r>
      <w:r w:rsidR="000B071E">
        <w:rPr>
          <w:rFonts w:ascii="Times New Roman" w:hAnsi="Times New Roman" w:cs="Times New Roman"/>
        </w:rPr>
        <w:t>have</w:t>
      </w:r>
      <w:r w:rsidRPr="00C241CC">
        <w:rPr>
          <w:rFonts w:ascii="Times New Roman" w:hAnsi="Times New Roman" w:cs="Times New Roman"/>
        </w:rPr>
        <w:t xml:space="preserve"> more fuel stations, which intensifies price competition</w:t>
      </w:r>
      <w:r w:rsidR="000B071E">
        <w:rPr>
          <w:rFonts w:ascii="Times New Roman" w:hAnsi="Times New Roman" w:cs="Times New Roman"/>
        </w:rPr>
        <w:t xml:space="preserve">, while </w:t>
      </w:r>
      <w:r w:rsidRPr="00C241CC">
        <w:rPr>
          <w:rFonts w:ascii="Times New Roman" w:hAnsi="Times New Roman" w:cs="Times New Roman"/>
        </w:rPr>
        <w:t>smaller settlements often operate as local monopolies, allowing for higher price margins.</w:t>
      </w:r>
      <w:r w:rsidR="000B071E">
        <w:rPr>
          <w:rFonts w:ascii="Times New Roman" w:hAnsi="Times New Roman" w:cs="Times New Roman"/>
        </w:rPr>
        <w:t xml:space="preserve"> </w:t>
      </w:r>
      <w:r w:rsidRPr="00C241CC">
        <w:rPr>
          <w:rFonts w:ascii="Times New Roman" w:hAnsi="Times New Roman" w:cs="Times New Roman"/>
        </w:rPr>
        <w:t>Nevertheless, the strong national price homogenization constrains population-related price variation.</w:t>
      </w:r>
    </w:p>
    <w:p w14:paraId="18137FD7" w14:textId="2166E56E" w:rsidR="00C241CC" w:rsidRPr="00C241CC" w:rsidRDefault="00C241CC" w:rsidP="00C241CC">
      <w:pPr>
        <w:ind w:firstLine="720"/>
        <w:rPr>
          <w:rFonts w:ascii="Times New Roman" w:hAnsi="Times New Roman" w:cs="Times New Roman"/>
        </w:rPr>
      </w:pPr>
      <w:r w:rsidRPr="00C241CC">
        <w:rPr>
          <w:rFonts w:ascii="Times New Roman" w:hAnsi="Times New Roman" w:cs="Times New Roman"/>
        </w:rPr>
        <w:t>For gasoline, the trendline is horizontal, indicating independence from population size.</w:t>
      </w:r>
      <w:r w:rsidR="000B071E">
        <w:rPr>
          <w:rFonts w:ascii="Times New Roman" w:hAnsi="Times New Roman" w:cs="Times New Roman"/>
        </w:rPr>
        <w:t xml:space="preserve"> </w:t>
      </w:r>
      <w:r w:rsidRPr="00C241CC">
        <w:rPr>
          <w:rFonts w:ascii="Times New Roman" w:hAnsi="Times New Roman" w:cs="Times New Roman"/>
        </w:rPr>
        <w:t>For diesel, the negative slope is slightly more</w:t>
      </w:r>
      <w:r w:rsidR="000B071E">
        <w:rPr>
          <w:rFonts w:ascii="Times New Roman" w:hAnsi="Times New Roman" w:cs="Times New Roman"/>
        </w:rPr>
        <w:t xml:space="preserve"> visible</w:t>
      </w:r>
      <w:r w:rsidRPr="00C241CC">
        <w:rPr>
          <w:rFonts w:ascii="Times New Roman" w:hAnsi="Times New Roman" w:cs="Times New Roman"/>
        </w:rPr>
        <w:t>, hinting that price competition may be somewhat stronger in larger urban markets.</w:t>
      </w:r>
      <w:r w:rsidR="000B071E">
        <w:rPr>
          <w:rFonts w:ascii="Times New Roman" w:hAnsi="Times New Roman" w:cs="Times New Roman"/>
        </w:rPr>
        <w:t xml:space="preserve"> </w:t>
      </w:r>
      <w:r w:rsidRPr="00C241CC">
        <w:rPr>
          <w:rFonts w:ascii="Times New Roman" w:hAnsi="Times New Roman" w:cs="Times New Roman"/>
        </w:rPr>
        <w:t xml:space="preserve">In both cases, however, the effect remains weak, and population alone </w:t>
      </w:r>
      <w:r w:rsidR="000B071E">
        <w:rPr>
          <w:rFonts w:ascii="Times New Roman" w:hAnsi="Times New Roman" w:cs="Times New Roman"/>
        </w:rPr>
        <w:t>should not</w:t>
      </w:r>
      <w:r w:rsidRPr="00C241CC">
        <w:rPr>
          <w:rFonts w:ascii="Times New Roman" w:hAnsi="Times New Roman" w:cs="Times New Roman"/>
        </w:rPr>
        <w:t xml:space="preserve"> be considered a strong determinant of price levels.</w:t>
      </w:r>
    </w:p>
    <w:p w14:paraId="4DF10B43" w14:textId="4E9327D7" w:rsidR="00327863" w:rsidRPr="000B071E" w:rsidRDefault="00C241CC" w:rsidP="000B071E">
      <w:pPr>
        <w:ind w:firstLine="720"/>
        <w:rPr>
          <w:rFonts w:ascii="Times New Roman" w:hAnsi="Times New Roman" w:cs="Times New Roman"/>
        </w:rPr>
      </w:pPr>
      <w:r w:rsidRPr="00C241CC">
        <w:rPr>
          <w:rFonts w:ascii="Times New Roman" w:hAnsi="Times New Roman" w:cs="Times New Roman"/>
        </w:rPr>
        <w:t>Overall, the results indicate only a very mild negative association between settlement size and fuel prices.</w:t>
      </w:r>
      <w:r w:rsidR="000B071E">
        <w:rPr>
          <w:rFonts w:ascii="Times New Roman" w:hAnsi="Times New Roman" w:cs="Times New Roman"/>
        </w:rPr>
        <w:t xml:space="preserve"> </w:t>
      </w:r>
      <w:r w:rsidRPr="00C241CC">
        <w:rPr>
          <w:rFonts w:ascii="Times New Roman" w:hAnsi="Times New Roman" w:cs="Times New Roman"/>
        </w:rPr>
        <w:t xml:space="preserve">Larger settlements may exhibit slightly lower prices due to intensified competition, but this effect is </w:t>
      </w:r>
      <w:r w:rsidR="000B071E">
        <w:rPr>
          <w:rFonts w:ascii="Times New Roman" w:hAnsi="Times New Roman" w:cs="Times New Roman"/>
        </w:rPr>
        <w:t xml:space="preserve">probably not </w:t>
      </w:r>
      <w:r w:rsidRPr="00C241CC">
        <w:rPr>
          <w:rFonts w:ascii="Times New Roman" w:hAnsi="Times New Roman" w:cs="Times New Roman"/>
        </w:rPr>
        <w:t>statistically significant.</w:t>
      </w:r>
      <w:r w:rsidR="000B071E">
        <w:rPr>
          <w:rFonts w:ascii="Times New Roman" w:hAnsi="Times New Roman" w:cs="Times New Roman"/>
        </w:rPr>
        <w:t xml:space="preserve"> </w:t>
      </w:r>
      <w:r w:rsidRPr="00C241CC">
        <w:rPr>
          <w:rFonts w:ascii="Times New Roman" w:hAnsi="Times New Roman" w:cs="Times New Roman"/>
        </w:rPr>
        <w:t xml:space="preserve">The spatial dispersion of data </w:t>
      </w:r>
      <w:r w:rsidRPr="00C241CC">
        <w:rPr>
          <w:rFonts w:ascii="Times New Roman" w:hAnsi="Times New Roman" w:cs="Times New Roman"/>
        </w:rPr>
        <w:lastRenderedPageBreak/>
        <w:t xml:space="preserve">points further implies that fuel prices are </w:t>
      </w:r>
      <w:r w:rsidR="000B071E">
        <w:rPr>
          <w:rFonts w:ascii="Times New Roman" w:hAnsi="Times New Roman" w:cs="Times New Roman"/>
        </w:rPr>
        <w:t>mostly</w:t>
      </w:r>
      <w:r w:rsidRPr="00C241CC">
        <w:rPr>
          <w:rFonts w:ascii="Times New Roman" w:hAnsi="Times New Roman" w:cs="Times New Roman"/>
        </w:rPr>
        <w:t xml:space="preserve"> determined by national-level factors</w:t>
      </w:r>
      <w:r w:rsidR="000B071E">
        <w:rPr>
          <w:rFonts w:ascii="Times New Roman" w:hAnsi="Times New Roman" w:cs="Times New Roman"/>
        </w:rPr>
        <w:t xml:space="preserve">, </w:t>
      </w:r>
      <w:r w:rsidRPr="00C241CC">
        <w:rPr>
          <w:rFonts w:ascii="Times New Roman" w:hAnsi="Times New Roman" w:cs="Times New Roman"/>
        </w:rPr>
        <w:t xml:space="preserve">such as taxes, </w:t>
      </w:r>
      <w:r w:rsidR="000B071E">
        <w:rPr>
          <w:rFonts w:ascii="Times New Roman" w:hAnsi="Times New Roman" w:cs="Times New Roman"/>
        </w:rPr>
        <w:t xml:space="preserve">or </w:t>
      </w:r>
      <w:r w:rsidRPr="00C241CC">
        <w:rPr>
          <w:rFonts w:ascii="Times New Roman" w:hAnsi="Times New Roman" w:cs="Times New Roman"/>
        </w:rPr>
        <w:t>crude oil prices, rather than by settlement-specific characteristics.</w:t>
      </w:r>
    </w:p>
    <w:p w14:paraId="7694EC85" w14:textId="416A8710" w:rsidR="00E243B8" w:rsidRPr="00EB3746" w:rsidRDefault="00A51D0B" w:rsidP="00125898">
      <w:pPr>
        <w:pStyle w:val="Heading2"/>
        <w:rPr>
          <w:rFonts w:ascii="Times New Roman" w:hAnsi="Times New Roman" w:cs="Times New Roman"/>
          <w:b/>
          <w:bCs/>
          <w:color w:val="000000" w:themeColor="text1"/>
          <w:lang w:val="hu-HU"/>
        </w:rPr>
      </w:pPr>
      <w:r w:rsidRPr="00EB3746">
        <w:rPr>
          <w:rFonts w:ascii="Times New Roman" w:hAnsi="Times New Roman" w:cs="Times New Roman"/>
          <w:b/>
          <w:bCs/>
          <w:color w:val="000000" w:themeColor="text1"/>
          <w:lang w:val="hu-HU"/>
        </w:rPr>
        <w:t>Ratio</w:t>
      </w:r>
      <w:r w:rsidR="00E243B8" w:rsidRPr="00EB3746">
        <w:rPr>
          <w:rFonts w:ascii="Times New Roman" w:hAnsi="Times New Roman" w:cs="Times New Roman"/>
          <w:b/>
          <w:bCs/>
          <w:color w:val="000000" w:themeColor="text1"/>
          <w:lang w:val="hu-HU"/>
        </w:rPr>
        <w:t xml:space="preserve"> of </w:t>
      </w:r>
      <w:proofErr w:type="spellStart"/>
      <w:r w:rsidR="00E243B8" w:rsidRPr="00EB3746">
        <w:rPr>
          <w:rFonts w:ascii="Times New Roman" w:hAnsi="Times New Roman" w:cs="Times New Roman"/>
          <w:b/>
          <w:bCs/>
          <w:color w:val="000000" w:themeColor="text1"/>
          <w:lang w:val="hu-HU"/>
        </w:rPr>
        <w:t>Settlement</w:t>
      </w:r>
      <w:proofErr w:type="spellEnd"/>
      <w:r w:rsidR="00E243B8" w:rsidRPr="00EB3746">
        <w:rPr>
          <w:rFonts w:ascii="Times New Roman" w:hAnsi="Times New Roman" w:cs="Times New Roman"/>
          <w:b/>
          <w:bCs/>
          <w:color w:val="000000" w:themeColor="text1"/>
          <w:lang w:val="hu-HU"/>
        </w:rPr>
        <w:t xml:space="preserve"> </w:t>
      </w:r>
      <w:proofErr w:type="spellStart"/>
      <w:r w:rsidR="00E243B8" w:rsidRPr="00EB3746">
        <w:rPr>
          <w:rFonts w:ascii="Times New Roman" w:hAnsi="Times New Roman" w:cs="Times New Roman"/>
          <w:b/>
          <w:bCs/>
          <w:color w:val="000000" w:themeColor="text1"/>
          <w:lang w:val="hu-HU"/>
        </w:rPr>
        <w:t>type</w:t>
      </w:r>
      <w:r w:rsidR="00D71546" w:rsidRPr="00EB3746">
        <w:rPr>
          <w:rFonts w:ascii="Times New Roman" w:hAnsi="Times New Roman" w:cs="Times New Roman"/>
          <w:b/>
          <w:bCs/>
          <w:color w:val="000000" w:themeColor="text1"/>
          <w:lang w:val="hu-HU"/>
        </w:rPr>
        <w:t>s</w:t>
      </w:r>
      <w:proofErr w:type="spellEnd"/>
      <w:r w:rsidR="00D71546" w:rsidRPr="00EB3746">
        <w:rPr>
          <w:rFonts w:ascii="Times New Roman" w:hAnsi="Times New Roman" w:cs="Times New Roman"/>
          <w:b/>
          <w:bCs/>
          <w:color w:val="000000" w:themeColor="text1"/>
          <w:lang w:val="hu-HU"/>
        </w:rPr>
        <w:t xml:space="preserve"> in </w:t>
      </w:r>
      <w:proofErr w:type="spellStart"/>
      <w:r w:rsidR="00D71546" w:rsidRPr="00EB3746">
        <w:rPr>
          <w:rFonts w:ascii="Times New Roman" w:hAnsi="Times New Roman" w:cs="Times New Roman"/>
          <w:b/>
          <w:bCs/>
          <w:color w:val="000000" w:themeColor="text1"/>
          <w:lang w:val="hu-HU"/>
        </w:rPr>
        <w:t>the</w:t>
      </w:r>
      <w:proofErr w:type="spellEnd"/>
      <w:r w:rsidR="00D71546" w:rsidRPr="00EB3746">
        <w:rPr>
          <w:rFonts w:ascii="Times New Roman" w:hAnsi="Times New Roman" w:cs="Times New Roman"/>
          <w:b/>
          <w:bCs/>
          <w:color w:val="000000" w:themeColor="text1"/>
          <w:lang w:val="hu-HU"/>
        </w:rPr>
        <w:t xml:space="preserve"> </w:t>
      </w:r>
      <w:proofErr w:type="spellStart"/>
      <w:r w:rsidR="00D71546" w:rsidRPr="00EB3746">
        <w:rPr>
          <w:rFonts w:ascii="Times New Roman" w:hAnsi="Times New Roman" w:cs="Times New Roman"/>
          <w:b/>
          <w:bCs/>
          <w:color w:val="000000" w:themeColor="text1"/>
          <w:lang w:val="hu-HU"/>
        </w:rPr>
        <w:t>sample</w:t>
      </w:r>
      <w:proofErr w:type="spellEnd"/>
    </w:p>
    <w:p w14:paraId="535524F0" w14:textId="2B2C565A" w:rsidR="00C241CC" w:rsidRPr="00C241CC" w:rsidRDefault="00C241CC" w:rsidP="00C241CC">
      <w:pPr>
        <w:ind w:firstLine="720"/>
        <w:rPr>
          <w:rFonts w:ascii="Times New Roman" w:hAnsi="Times New Roman" w:cs="Times New Roman"/>
        </w:rPr>
      </w:pPr>
      <w:r w:rsidRPr="00C241CC">
        <w:rPr>
          <w:rFonts w:ascii="Times New Roman" w:hAnsi="Times New Roman" w:cs="Times New Roman"/>
        </w:rPr>
        <w:t>The figure shows the distribution of observations across settlement types.</w:t>
      </w:r>
      <w:r w:rsidR="001579B9">
        <w:rPr>
          <w:rFonts w:ascii="Times New Roman" w:hAnsi="Times New Roman" w:cs="Times New Roman"/>
        </w:rPr>
        <w:t xml:space="preserve"> </w:t>
      </w:r>
      <w:r w:rsidRPr="00C241CC">
        <w:rPr>
          <w:rFonts w:ascii="Times New Roman" w:hAnsi="Times New Roman" w:cs="Times New Roman"/>
        </w:rPr>
        <w:t>The majority of sampled fuel stations are located in urban environments, reflecting the spatial concentration of the Hungarian fuel market.</w:t>
      </w:r>
    </w:p>
    <w:p w14:paraId="0476E3AF" w14:textId="292F3670" w:rsidR="00C241CC" w:rsidRPr="00C241CC" w:rsidRDefault="00C241CC" w:rsidP="00C241CC">
      <w:pPr>
        <w:ind w:firstLine="720"/>
        <w:rPr>
          <w:rFonts w:ascii="Times New Roman" w:hAnsi="Times New Roman" w:cs="Times New Roman"/>
        </w:rPr>
      </w:pPr>
      <w:r w:rsidRPr="00C241CC">
        <w:rPr>
          <w:rFonts w:ascii="Times New Roman" w:hAnsi="Times New Roman" w:cs="Times New Roman"/>
        </w:rPr>
        <w:t xml:space="preserve">Cities account for approximately 43.2 % of the sample, while </w:t>
      </w:r>
      <w:r w:rsidR="001579B9">
        <w:rPr>
          <w:rFonts w:ascii="Times New Roman" w:hAnsi="Times New Roman" w:cs="Times New Roman"/>
        </w:rPr>
        <w:t>capitals of counties</w:t>
      </w:r>
      <w:r w:rsidRPr="00C241CC">
        <w:rPr>
          <w:rFonts w:ascii="Times New Roman" w:hAnsi="Times New Roman" w:cs="Times New Roman"/>
        </w:rPr>
        <w:t xml:space="preserve"> represent an additional 21.7 %.</w:t>
      </w:r>
      <w:r w:rsidR="001579B9">
        <w:rPr>
          <w:rFonts w:ascii="Times New Roman" w:hAnsi="Times New Roman" w:cs="Times New Roman"/>
        </w:rPr>
        <w:t xml:space="preserve"> </w:t>
      </w:r>
      <w:r w:rsidRPr="00C241CC">
        <w:rPr>
          <w:rFonts w:ascii="Times New Roman" w:hAnsi="Times New Roman" w:cs="Times New Roman"/>
        </w:rPr>
        <w:t>Districts of the capital city comprise 14.4 %, highlighting Budapest’s substantial market weight.</w:t>
      </w:r>
      <w:r w:rsidR="001579B9">
        <w:rPr>
          <w:rFonts w:ascii="Times New Roman" w:hAnsi="Times New Roman" w:cs="Times New Roman"/>
        </w:rPr>
        <w:t xml:space="preserve"> </w:t>
      </w:r>
      <w:r w:rsidRPr="00C241CC">
        <w:rPr>
          <w:rFonts w:ascii="Times New Roman" w:hAnsi="Times New Roman" w:cs="Times New Roman"/>
        </w:rPr>
        <w:t>Rural areas</w:t>
      </w:r>
      <w:r w:rsidR="001579B9">
        <w:rPr>
          <w:rFonts w:ascii="Times New Roman" w:hAnsi="Times New Roman" w:cs="Times New Roman"/>
        </w:rPr>
        <w:t xml:space="preserve">, like </w:t>
      </w:r>
      <w:r w:rsidRPr="00C241CC">
        <w:rPr>
          <w:rFonts w:ascii="Times New Roman" w:hAnsi="Times New Roman" w:cs="Times New Roman"/>
        </w:rPr>
        <w:t>villages (12.1 %) and large villages (4.1 %)</w:t>
      </w:r>
      <w:r w:rsidR="001579B9">
        <w:rPr>
          <w:rFonts w:ascii="Times New Roman" w:hAnsi="Times New Roman" w:cs="Times New Roman"/>
        </w:rPr>
        <w:t xml:space="preserve">, </w:t>
      </w:r>
      <w:r w:rsidRPr="00C241CC">
        <w:rPr>
          <w:rFonts w:ascii="Times New Roman" w:hAnsi="Times New Roman" w:cs="Times New Roman"/>
        </w:rPr>
        <w:t xml:space="preserve">collectively </w:t>
      </w:r>
      <w:r w:rsidR="001579B9">
        <w:rPr>
          <w:rFonts w:ascii="Times New Roman" w:hAnsi="Times New Roman" w:cs="Times New Roman"/>
        </w:rPr>
        <w:t>take up</w:t>
      </w:r>
      <w:r w:rsidRPr="00C241CC">
        <w:rPr>
          <w:rFonts w:ascii="Times New Roman" w:hAnsi="Times New Roman" w:cs="Times New Roman"/>
        </w:rPr>
        <w:t xml:space="preserve"> only about 16 % of the sample.</w:t>
      </w:r>
    </w:p>
    <w:p w14:paraId="5D18DF85" w14:textId="77777777" w:rsidR="001579B9" w:rsidRDefault="00C241CC" w:rsidP="00C241CC">
      <w:pPr>
        <w:ind w:firstLine="720"/>
        <w:rPr>
          <w:rFonts w:ascii="Times New Roman" w:hAnsi="Times New Roman" w:cs="Times New Roman"/>
        </w:rPr>
      </w:pPr>
      <w:r w:rsidRPr="00C241CC">
        <w:rPr>
          <w:rFonts w:ascii="Times New Roman" w:hAnsi="Times New Roman" w:cs="Times New Roman"/>
        </w:rPr>
        <w:t xml:space="preserve">This indicates that the analyzed data predominantly originate from urbanized regions, while rural and </w:t>
      </w:r>
      <w:r w:rsidR="001579B9">
        <w:rPr>
          <w:rFonts w:ascii="Times New Roman" w:hAnsi="Times New Roman" w:cs="Times New Roman"/>
        </w:rPr>
        <w:t>less</w:t>
      </w:r>
      <w:r w:rsidRPr="00C241CC">
        <w:rPr>
          <w:rFonts w:ascii="Times New Roman" w:hAnsi="Times New Roman" w:cs="Times New Roman"/>
        </w:rPr>
        <w:t xml:space="preserve"> populated areas are under-represented.</w:t>
      </w:r>
      <w:r w:rsidR="001579B9">
        <w:rPr>
          <w:rFonts w:ascii="Times New Roman" w:hAnsi="Times New Roman" w:cs="Times New Roman"/>
        </w:rPr>
        <w:t xml:space="preserve"> </w:t>
      </w:r>
      <w:r w:rsidRPr="00C241CC">
        <w:rPr>
          <w:rFonts w:ascii="Times New Roman" w:hAnsi="Times New Roman" w:cs="Times New Roman"/>
        </w:rPr>
        <w:t>The distribution partly reflects Hungary’s actual settlement structure, as the majority of the population resides in urban areas.</w:t>
      </w:r>
      <w:r w:rsidR="001579B9">
        <w:rPr>
          <w:rFonts w:ascii="Times New Roman" w:hAnsi="Times New Roman" w:cs="Times New Roman"/>
        </w:rPr>
        <w:t xml:space="preserve"> </w:t>
      </w:r>
      <w:r w:rsidRPr="00C241CC">
        <w:rPr>
          <w:rFonts w:ascii="Times New Roman" w:hAnsi="Times New Roman" w:cs="Times New Roman"/>
        </w:rPr>
        <w:t>However, this pattern is also relevant for interpreting fuel price formation</w:t>
      </w:r>
      <w:r w:rsidR="001579B9">
        <w:rPr>
          <w:rFonts w:ascii="Times New Roman" w:hAnsi="Times New Roman" w:cs="Times New Roman"/>
        </w:rPr>
        <w:t xml:space="preserve">. </w:t>
      </w:r>
    </w:p>
    <w:p w14:paraId="6009518B" w14:textId="7142165D" w:rsidR="00C241CC" w:rsidRPr="00C241CC" w:rsidRDefault="001579B9" w:rsidP="00C241C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C241CC" w:rsidRPr="00C241CC">
        <w:rPr>
          <w:rFonts w:ascii="Times New Roman" w:hAnsi="Times New Roman" w:cs="Times New Roman"/>
        </w:rPr>
        <w:t xml:space="preserve">rban areas typically exhibit higher demand and stronger competition, which may </w:t>
      </w:r>
      <w:r>
        <w:rPr>
          <w:rFonts w:ascii="Times New Roman" w:hAnsi="Times New Roman" w:cs="Times New Roman"/>
        </w:rPr>
        <w:t>have</w:t>
      </w:r>
      <w:r w:rsidR="00C241CC" w:rsidRPr="00C241CC">
        <w:rPr>
          <w:rFonts w:ascii="Times New Roman" w:hAnsi="Times New Roman" w:cs="Times New Roman"/>
        </w:rPr>
        <w:t xml:space="preserve"> a price-equalizing effect,</w:t>
      </w:r>
      <w:r>
        <w:rPr>
          <w:rFonts w:ascii="Times New Roman" w:hAnsi="Times New Roman" w:cs="Times New Roman"/>
        </w:rPr>
        <w:t xml:space="preserve"> </w:t>
      </w:r>
      <w:r w:rsidR="00C241CC" w:rsidRPr="00C241CC">
        <w:rPr>
          <w:rFonts w:ascii="Times New Roman" w:hAnsi="Times New Roman" w:cs="Times New Roman"/>
        </w:rPr>
        <w:t>whereas smaller settlements</w:t>
      </w:r>
      <w:r>
        <w:rPr>
          <w:rFonts w:ascii="Times New Roman" w:hAnsi="Times New Roman" w:cs="Times New Roman"/>
        </w:rPr>
        <w:t xml:space="preserve">, </w:t>
      </w:r>
      <w:r w:rsidR="00C241CC" w:rsidRPr="00C241CC">
        <w:rPr>
          <w:rFonts w:ascii="Times New Roman" w:hAnsi="Times New Roman" w:cs="Times New Roman"/>
        </w:rPr>
        <w:t>with fewer stations and greater distances</w:t>
      </w:r>
      <w:r>
        <w:rPr>
          <w:rFonts w:ascii="Times New Roman" w:hAnsi="Times New Roman" w:cs="Times New Roman"/>
        </w:rPr>
        <w:t xml:space="preserve"> </w:t>
      </w:r>
      <w:r w:rsidR="00C241CC" w:rsidRPr="00C241CC">
        <w:rPr>
          <w:rFonts w:ascii="Times New Roman" w:hAnsi="Times New Roman" w:cs="Times New Roman"/>
        </w:rPr>
        <w:t>often experience more concentrated market power, potentially leading to higher prices.</w:t>
      </w:r>
    </w:p>
    <w:p w14:paraId="64F6BEFE" w14:textId="19BB98C2" w:rsidR="00C241CC" w:rsidRDefault="00F5731C" w:rsidP="00F5731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summarise, </w:t>
      </w:r>
      <w:r w:rsidR="00C241CC" w:rsidRPr="00C241CC">
        <w:rPr>
          <w:rFonts w:ascii="Times New Roman" w:hAnsi="Times New Roman" w:cs="Times New Roman"/>
        </w:rPr>
        <w:t>the sample is city-centric.</w:t>
      </w:r>
      <w:r>
        <w:rPr>
          <w:rFonts w:ascii="Times New Roman" w:hAnsi="Times New Roman" w:cs="Times New Roman"/>
        </w:rPr>
        <w:t xml:space="preserve"> </w:t>
      </w:r>
      <w:r w:rsidR="00C241CC" w:rsidRPr="00C241CC">
        <w:rPr>
          <w:rFonts w:ascii="Times New Roman" w:hAnsi="Times New Roman" w:cs="Times New Roman"/>
        </w:rPr>
        <w:t xml:space="preserve">Consequently, including </w:t>
      </w:r>
      <w:r w:rsidR="00C241CC" w:rsidRPr="00C241CC">
        <w:rPr>
          <w:rFonts w:ascii="Times New Roman" w:hAnsi="Times New Roman" w:cs="Times New Roman"/>
          <w:i/>
          <w:iCs/>
        </w:rPr>
        <w:t>Settlement Type</w:t>
      </w:r>
      <w:r w:rsidR="00C241CC" w:rsidRPr="00C241CC">
        <w:rPr>
          <w:rFonts w:ascii="Times New Roman" w:hAnsi="Times New Roman" w:cs="Times New Roman"/>
        </w:rPr>
        <w:t xml:space="preserve"> as a control variable in the econometric model </w:t>
      </w:r>
      <w:r>
        <w:rPr>
          <w:rFonts w:ascii="Times New Roman" w:hAnsi="Times New Roman" w:cs="Times New Roman"/>
        </w:rPr>
        <w:t xml:space="preserve">will be useful </w:t>
      </w:r>
      <w:r w:rsidR="00C241CC" w:rsidRPr="00C241CC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gain insight on</w:t>
      </w:r>
      <w:r w:rsidR="00C241CC" w:rsidRPr="00C241CC">
        <w:rPr>
          <w:rFonts w:ascii="Times New Roman" w:hAnsi="Times New Roman" w:cs="Times New Roman"/>
        </w:rPr>
        <w:t xml:space="preserve"> urban–rural differences in fuel pricing.</w:t>
      </w:r>
    </w:p>
    <w:p w14:paraId="570C6151" w14:textId="41101D36" w:rsidR="00B44C3D" w:rsidRPr="00EB3746" w:rsidRDefault="00B44C3D" w:rsidP="00125898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EB3746">
        <w:rPr>
          <w:rFonts w:ascii="Times New Roman" w:hAnsi="Times New Roman" w:cs="Times New Roman"/>
          <w:b/>
          <w:bCs/>
          <w:color w:val="000000" w:themeColor="text1"/>
        </w:rPr>
        <w:t>Ratio of the Largest Companies in the sample</w:t>
      </w:r>
    </w:p>
    <w:p w14:paraId="2137F886" w14:textId="77777777" w:rsidR="007D347B" w:rsidRDefault="00C241CC" w:rsidP="00C241CC">
      <w:pPr>
        <w:ind w:firstLine="720"/>
        <w:rPr>
          <w:rFonts w:ascii="Times New Roman" w:hAnsi="Times New Roman" w:cs="Times New Roman"/>
        </w:rPr>
      </w:pPr>
      <w:r w:rsidRPr="00C241CC">
        <w:rPr>
          <w:rFonts w:ascii="Times New Roman" w:hAnsi="Times New Roman" w:cs="Times New Roman"/>
        </w:rPr>
        <w:t>The figure presents the market share of major fuel retailers represented in the sample.</w:t>
      </w:r>
    </w:p>
    <w:p w14:paraId="773D857F" w14:textId="77777777" w:rsidR="007D347B" w:rsidRDefault="00C241CC" w:rsidP="00C241CC">
      <w:pPr>
        <w:ind w:firstLine="720"/>
        <w:rPr>
          <w:rFonts w:ascii="Times New Roman" w:hAnsi="Times New Roman" w:cs="Times New Roman"/>
        </w:rPr>
      </w:pPr>
      <w:r w:rsidRPr="00C241CC">
        <w:rPr>
          <w:rFonts w:ascii="Times New Roman" w:hAnsi="Times New Roman" w:cs="Times New Roman"/>
        </w:rPr>
        <w:t>The data clearly indicate a highly concentrated market structure.</w:t>
      </w:r>
    </w:p>
    <w:p w14:paraId="254DB997" w14:textId="0E01D463" w:rsidR="00C241CC" w:rsidRPr="00C241CC" w:rsidRDefault="00C241CC" w:rsidP="00C241CC">
      <w:pPr>
        <w:ind w:firstLine="720"/>
        <w:rPr>
          <w:rFonts w:ascii="Times New Roman" w:hAnsi="Times New Roman" w:cs="Times New Roman"/>
        </w:rPr>
      </w:pPr>
      <w:r w:rsidRPr="00C241CC">
        <w:rPr>
          <w:rFonts w:ascii="Times New Roman" w:hAnsi="Times New Roman" w:cs="Times New Roman"/>
        </w:rPr>
        <w:t>MOL is by far the dominant player, operating roughly one-third of the sampled stations.</w:t>
      </w:r>
      <w:r w:rsidRPr="00C241CC">
        <w:rPr>
          <w:rFonts w:ascii="Times New Roman" w:hAnsi="Times New Roman" w:cs="Times New Roman"/>
        </w:rPr>
        <w:br/>
        <w:t>It is followed by Shell (15.3 %) and OMV (14.4 %), while Orlen, Mobil Petrol, and Avia hold much smaller shares.</w:t>
      </w:r>
    </w:p>
    <w:p w14:paraId="0486060F" w14:textId="77777777" w:rsidR="007D347B" w:rsidRDefault="00C241CC" w:rsidP="00C241CC">
      <w:pPr>
        <w:ind w:firstLine="720"/>
        <w:rPr>
          <w:rFonts w:ascii="Times New Roman" w:hAnsi="Times New Roman" w:cs="Times New Roman"/>
        </w:rPr>
      </w:pPr>
      <w:r w:rsidRPr="00C241CC">
        <w:rPr>
          <w:rFonts w:ascii="Times New Roman" w:hAnsi="Times New Roman" w:cs="Times New Roman"/>
        </w:rPr>
        <w:t>These figures confirm that the Hungarian fuel market is dominated by a few large, nationwide networks, with smaller companies maintaining only marginal presence.</w:t>
      </w:r>
      <w:r w:rsidR="007D347B">
        <w:rPr>
          <w:rFonts w:ascii="Times New Roman" w:hAnsi="Times New Roman" w:cs="Times New Roman"/>
        </w:rPr>
        <w:t xml:space="preserve"> </w:t>
      </w:r>
      <w:r w:rsidRPr="00C241CC">
        <w:rPr>
          <w:rFonts w:ascii="Times New Roman" w:hAnsi="Times New Roman" w:cs="Times New Roman"/>
        </w:rPr>
        <w:t>Such concentration likely influences pricing strategies</w:t>
      </w:r>
      <w:r w:rsidR="007D347B">
        <w:rPr>
          <w:rFonts w:ascii="Times New Roman" w:hAnsi="Times New Roman" w:cs="Times New Roman"/>
        </w:rPr>
        <w:t>.</w:t>
      </w:r>
    </w:p>
    <w:p w14:paraId="4C2C26B1" w14:textId="3A921351" w:rsidR="00C241CC" w:rsidRDefault="007D347B" w:rsidP="00C241C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C241CC" w:rsidRPr="00C241CC">
        <w:rPr>
          <w:rFonts w:ascii="Times New Roman" w:hAnsi="Times New Roman" w:cs="Times New Roman"/>
        </w:rPr>
        <w:t>ompetition among large operators may be relatively moderate, whereas smaller firms</w:t>
      </w:r>
      <w:r>
        <w:rPr>
          <w:rFonts w:ascii="Times New Roman" w:hAnsi="Times New Roman" w:cs="Times New Roman"/>
        </w:rPr>
        <w:t xml:space="preserve"> </w:t>
      </w:r>
      <w:r w:rsidR="00C241CC" w:rsidRPr="00C241CC">
        <w:rPr>
          <w:rFonts w:ascii="Times New Roman" w:hAnsi="Times New Roman" w:cs="Times New Roman"/>
        </w:rPr>
        <w:t>operating in more localized markets</w:t>
      </w:r>
      <w:r>
        <w:rPr>
          <w:rFonts w:ascii="Times New Roman" w:hAnsi="Times New Roman" w:cs="Times New Roman"/>
        </w:rPr>
        <w:t xml:space="preserve"> </w:t>
      </w:r>
      <w:r w:rsidR="00C241CC" w:rsidRPr="00C241CC">
        <w:rPr>
          <w:rFonts w:ascii="Times New Roman" w:hAnsi="Times New Roman" w:cs="Times New Roman"/>
        </w:rPr>
        <w:t>may adjust prices more flexibly in response to local demand or cost fluctuations.</w:t>
      </w:r>
    </w:p>
    <w:p w14:paraId="53C97179" w14:textId="61BD070E" w:rsidR="00082937" w:rsidRPr="00EB3746" w:rsidRDefault="0018144E" w:rsidP="00125898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EB3746">
        <w:rPr>
          <w:rFonts w:ascii="Times New Roman" w:hAnsi="Times New Roman" w:cs="Times New Roman"/>
          <w:b/>
          <w:bCs/>
          <w:color w:val="000000" w:themeColor="text1"/>
        </w:rPr>
        <w:lastRenderedPageBreak/>
        <w:t>Relationship between Fuel Prices and the Nearest Competing Brand</w:t>
      </w:r>
    </w:p>
    <w:p w14:paraId="00ECA30E" w14:textId="38DD2506" w:rsidR="00C241CC" w:rsidRPr="00C241CC" w:rsidRDefault="00C241CC" w:rsidP="005E7B24">
      <w:pPr>
        <w:ind w:firstLine="720"/>
        <w:rPr>
          <w:rFonts w:ascii="Times New Roman" w:hAnsi="Times New Roman" w:cs="Times New Roman"/>
        </w:rPr>
      </w:pPr>
      <w:r w:rsidRPr="00C241CC">
        <w:rPr>
          <w:rFonts w:ascii="Times New Roman" w:hAnsi="Times New Roman" w:cs="Times New Roman"/>
        </w:rPr>
        <w:t xml:space="preserve">The plots </w:t>
      </w:r>
      <w:r w:rsidR="005E7B24">
        <w:rPr>
          <w:rFonts w:ascii="Times New Roman" w:hAnsi="Times New Roman" w:cs="Times New Roman"/>
        </w:rPr>
        <w:t>show</w:t>
      </w:r>
      <w:r w:rsidRPr="00C241CC">
        <w:rPr>
          <w:rFonts w:ascii="Times New Roman" w:hAnsi="Times New Roman" w:cs="Times New Roman"/>
        </w:rPr>
        <w:t xml:space="preserve"> the relationship between fuel prices (gasoline and diesel) and the distance to the nearest competitor of a different brand.</w:t>
      </w:r>
      <w:r w:rsidR="005E7B24">
        <w:rPr>
          <w:rFonts w:ascii="Times New Roman" w:hAnsi="Times New Roman" w:cs="Times New Roman"/>
        </w:rPr>
        <w:t xml:space="preserve"> </w:t>
      </w:r>
      <w:r w:rsidRPr="00C241CC">
        <w:rPr>
          <w:rFonts w:ascii="Times New Roman" w:hAnsi="Times New Roman" w:cs="Times New Roman"/>
        </w:rPr>
        <w:t>The horizontal axis shows the distance (in km) to the nearest competing station, while the vertical axis represents the fuel price.</w:t>
      </w:r>
      <w:r w:rsidR="005E7B24">
        <w:rPr>
          <w:rFonts w:ascii="Times New Roman" w:hAnsi="Times New Roman" w:cs="Times New Roman"/>
        </w:rPr>
        <w:t xml:space="preserve"> </w:t>
      </w:r>
      <w:r w:rsidRPr="00C241CC">
        <w:rPr>
          <w:rFonts w:ascii="Times New Roman" w:hAnsi="Times New Roman" w:cs="Times New Roman"/>
        </w:rPr>
        <w:t>Colored lines indicate the fitted linear trends.</w:t>
      </w:r>
    </w:p>
    <w:p w14:paraId="1137FCE5" w14:textId="570A26C2" w:rsidR="00C241CC" w:rsidRPr="00C241CC" w:rsidRDefault="00C241CC" w:rsidP="005E7B24">
      <w:pPr>
        <w:ind w:firstLine="720"/>
        <w:rPr>
          <w:rFonts w:ascii="Times New Roman" w:hAnsi="Times New Roman" w:cs="Times New Roman"/>
        </w:rPr>
      </w:pPr>
      <w:r w:rsidRPr="00C241CC">
        <w:rPr>
          <w:rFonts w:ascii="Times New Roman" w:hAnsi="Times New Roman" w:cs="Times New Roman"/>
        </w:rPr>
        <w:t xml:space="preserve">The data are widely scattered with no </w:t>
      </w:r>
      <w:r w:rsidR="005E7B24">
        <w:rPr>
          <w:rFonts w:ascii="Times New Roman" w:hAnsi="Times New Roman" w:cs="Times New Roman"/>
        </w:rPr>
        <w:t>visible</w:t>
      </w:r>
      <w:r w:rsidRPr="00C241CC">
        <w:rPr>
          <w:rFonts w:ascii="Times New Roman" w:hAnsi="Times New Roman" w:cs="Times New Roman"/>
        </w:rPr>
        <w:t xml:space="preserve"> trend.</w:t>
      </w:r>
      <w:r w:rsidR="005E7B24">
        <w:rPr>
          <w:rFonts w:ascii="Times New Roman" w:hAnsi="Times New Roman" w:cs="Times New Roman"/>
        </w:rPr>
        <w:t xml:space="preserve"> </w:t>
      </w:r>
      <w:r w:rsidRPr="00C241CC">
        <w:rPr>
          <w:rFonts w:ascii="Times New Roman" w:hAnsi="Times New Roman" w:cs="Times New Roman"/>
        </w:rPr>
        <w:t>The regression lines show a slightly positive slope, implying that stations f</w:t>
      </w:r>
      <w:r w:rsidR="005E7B24">
        <w:rPr>
          <w:rFonts w:ascii="Times New Roman" w:hAnsi="Times New Roman" w:cs="Times New Roman"/>
        </w:rPr>
        <w:t>u</w:t>
      </w:r>
      <w:r w:rsidRPr="00C241CC">
        <w:rPr>
          <w:rFonts w:ascii="Times New Roman" w:hAnsi="Times New Roman" w:cs="Times New Roman"/>
        </w:rPr>
        <w:t>rther from competitors tend to charge higher prices.</w:t>
      </w:r>
      <w:r w:rsidR="005E7B24">
        <w:rPr>
          <w:rFonts w:ascii="Times New Roman" w:hAnsi="Times New Roman" w:cs="Times New Roman"/>
        </w:rPr>
        <w:t xml:space="preserve"> </w:t>
      </w:r>
      <w:r w:rsidRPr="00C241CC">
        <w:rPr>
          <w:rFonts w:ascii="Times New Roman" w:hAnsi="Times New Roman" w:cs="Times New Roman"/>
        </w:rPr>
        <w:t>However, the relationship is weak, with most observations concentrated in the 0–5 km range.</w:t>
      </w:r>
    </w:p>
    <w:p w14:paraId="2BEDA87F" w14:textId="15926905" w:rsidR="00C241CC" w:rsidRPr="00C241CC" w:rsidRDefault="00C241CC" w:rsidP="005E7B24">
      <w:pPr>
        <w:ind w:firstLine="720"/>
        <w:rPr>
          <w:rFonts w:ascii="Times New Roman" w:hAnsi="Times New Roman" w:cs="Times New Roman"/>
        </w:rPr>
      </w:pPr>
      <w:r w:rsidRPr="00C241CC">
        <w:rPr>
          <w:rFonts w:ascii="Times New Roman" w:hAnsi="Times New Roman" w:cs="Times New Roman"/>
        </w:rPr>
        <w:t xml:space="preserve">The weak positive association </w:t>
      </w:r>
      <w:r w:rsidR="00D107F2">
        <w:rPr>
          <w:rFonts w:ascii="Times New Roman" w:hAnsi="Times New Roman" w:cs="Times New Roman"/>
        </w:rPr>
        <w:t>can be explained:</w:t>
      </w:r>
      <w:r w:rsidR="005E7B24">
        <w:rPr>
          <w:rFonts w:ascii="Times New Roman" w:hAnsi="Times New Roman" w:cs="Times New Roman"/>
        </w:rPr>
        <w:t xml:space="preserve"> </w:t>
      </w:r>
      <w:r w:rsidRPr="00C241CC">
        <w:rPr>
          <w:rFonts w:ascii="Times New Roman" w:hAnsi="Times New Roman" w:cs="Times New Roman"/>
        </w:rPr>
        <w:t>where competitive pressure is lower, stations can sustain higher margins, resulting in higher prices;</w:t>
      </w:r>
      <w:r w:rsidR="005E7B24">
        <w:rPr>
          <w:rFonts w:ascii="Times New Roman" w:hAnsi="Times New Roman" w:cs="Times New Roman"/>
        </w:rPr>
        <w:t xml:space="preserve"> </w:t>
      </w:r>
      <w:r w:rsidRPr="00C241CC">
        <w:rPr>
          <w:rFonts w:ascii="Times New Roman" w:hAnsi="Times New Roman" w:cs="Times New Roman"/>
        </w:rPr>
        <w:t>where nearby competitors exist, price competition intensifies and exerts downward pressure.</w:t>
      </w:r>
      <w:r w:rsidR="00D107F2">
        <w:rPr>
          <w:rFonts w:ascii="Times New Roman" w:hAnsi="Times New Roman" w:cs="Times New Roman"/>
        </w:rPr>
        <w:t xml:space="preserve"> </w:t>
      </w:r>
      <w:r w:rsidRPr="00C241CC">
        <w:rPr>
          <w:rFonts w:ascii="Times New Roman" w:hAnsi="Times New Roman" w:cs="Times New Roman"/>
        </w:rPr>
        <w:t xml:space="preserve">Nevertheless, the low correlation suggests that while this effect </w:t>
      </w:r>
      <w:r w:rsidR="00D107F2">
        <w:rPr>
          <w:rFonts w:ascii="Times New Roman" w:hAnsi="Times New Roman" w:cs="Times New Roman"/>
        </w:rPr>
        <w:t>persists</w:t>
      </w:r>
      <w:r w:rsidRPr="00C241CC">
        <w:rPr>
          <w:rFonts w:ascii="Times New Roman" w:hAnsi="Times New Roman" w:cs="Times New Roman"/>
        </w:rPr>
        <w:t>, it is secondary</w:t>
      </w:r>
      <w:r w:rsidR="00D107F2">
        <w:rPr>
          <w:rFonts w:ascii="Times New Roman" w:hAnsi="Times New Roman" w:cs="Times New Roman"/>
        </w:rPr>
        <w:t xml:space="preserve">, since </w:t>
      </w:r>
      <w:r w:rsidRPr="00C241CC">
        <w:rPr>
          <w:rFonts w:ascii="Times New Roman" w:hAnsi="Times New Roman" w:cs="Times New Roman"/>
        </w:rPr>
        <w:t>fuel prices are primarily shaped by national-level determinants and company-wide pricing strategies rather than by purely local competition.</w:t>
      </w:r>
    </w:p>
    <w:p w14:paraId="25DA5733" w14:textId="1A6A4253" w:rsidR="00922F8D" w:rsidRDefault="00C241CC" w:rsidP="00D107F2">
      <w:pPr>
        <w:ind w:firstLine="360"/>
        <w:rPr>
          <w:rFonts w:ascii="Times New Roman" w:hAnsi="Times New Roman" w:cs="Times New Roman"/>
        </w:rPr>
      </w:pPr>
      <w:r w:rsidRPr="00C241CC">
        <w:rPr>
          <w:rFonts w:ascii="Times New Roman" w:hAnsi="Times New Roman" w:cs="Times New Roman"/>
        </w:rPr>
        <w:t>For gasoline, the regression line is nearly flat, implying negligible sensitivity to competitor proximity.</w:t>
      </w:r>
      <w:r w:rsidR="00D107F2">
        <w:rPr>
          <w:rFonts w:ascii="Times New Roman" w:hAnsi="Times New Roman" w:cs="Times New Roman"/>
        </w:rPr>
        <w:t xml:space="preserve"> </w:t>
      </w:r>
      <w:r w:rsidRPr="00C241CC">
        <w:rPr>
          <w:rFonts w:ascii="Times New Roman" w:hAnsi="Times New Roman" w:cs="Times New Roman"/>
        </w:rPr>
        <w:t xml:space="preserve">For diesel, the slope is slightly steeper, suggesting that competition may </w:t>
      </w:r>
      <w:r w:rsidR="00D107F2">
        <w:rPr>
          <w:rFonts w:ascii="Times New Roman" w:hAnsi="Times New Roman" w:cs="Times New Roman"/>
        </w:rPr>
        <w:t>have</w:t>
      </w:r>
      <w:r w:rsidRPr="00C241CC">
        <w:rPr>
          <w:rFonts w:ascii="Times New Roman" w:hAnsi="Times New Roman" w:cs="Times New Roman"/>
        </w:rPr>
        <w:t xml:space="preserve"> a somewhat stronger influence on diesel pricing.</w:t>
      </w:r>
      <w:r w:rsidR="00D107F2">
        <w:rPr>
          <w:rFonts w:ascii="Times New Roman" w:hAnsi="Times New Roman" w:cs="Times New Roman"/>
        </w:rPr>
        <w:t xml:space="preserve"> </w:t>
      </w:r>
      <w:r w:rsidRPr="00C241CC">
        <w:rPr>
          <w:rFonts w:ascii="Times New Roman" w:hAnsi="Times New Roman" w:cs="Times New Roman"/>
        </w:rPr>
        <w:t>In both cases, however, the relationship remains weak and likely statistically insignificant.</w:t>
      </w:r>
      <w:r w:rsidR="00922F8D">
        <w:rPr>
          <w:rFonts w:ascii="Times New Roman" w:hAnsi="Times New Roman" w:cs="Times New Roman"/>
        </w:rPr>
        <w:br w:type="page"/>
      </w:r>
    </w:p>
    <w:p w14:paraId="587517A7" w14:textId="77777777" w:rsidR="0018144E" w:rsidRPr="0018144E" w:rsidRDefault="0018144E" w:rsidP="006F12DA">
      <w:pPr>
        <w:rPr>
          <w:rFonts w:ascii="Times New Roman" w:hAnsi="Times New Roman" w:cs="Times New Roman"/>
        </w:rPr>
      </w:pPr>
    </w:p>
    <w:p w14:paraId="78C1DD72" w14:textId="77777777" w:rsidR="00922F8D" w:rsidRPr="00EB3746" w:rsidRDefault="0018144E" w:rsidP="00922F8D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EB3746">
        <w:rPr>
          <w:rFonts w:ascii="Times New Roman" w:hAnsi="Times New Roman" w:cs="Times New Roman"/>
          <w:b/>
          <w:bCs/>
          <w:color w:val="000000" w:themeColor="text1"/>
        </w:rPr>
        <w:t>Fuel Prices on County Level</w:t>
      </w:r>
    </w:p>
    <w:p w14:paraId="6B22103F" w14:textId="3D913DAF" w:rsidR="00C241CC" w:rsidRPr="00C241CC" w:rsidRDefault="00C241CC" w:rsidP="00F53FA5">
      <w:pPr>
        <w:ind w:firstLine="720"/>
        <w:rPr>
          <w:rFonts w:ascii="Times New Roman" w:hAnsi="Times New Roman" w:cs="Times New Roman"/>
        </w:rPr>
      </w:pPr>
      <w:r w:rsidRPr="00C241CC">
        <w:rPr>
          <w:rFonts w:ascii="Times New Roman" w:hAnsi="Times New Roman" w:cs="Times New Roman"/>
        </w:rPr>
        <w:t>The county-level figures display the geographic distribution and dispersion of fuel prices, offering insight into possible regional patterns of price formation.</w:t>
      </w:r>
    </w:p>
    <w:p w14:paraId="7133FF44" w14:textId="2D92998D" w:rsidR="00922F8D" w:rsidRPr="00EB3746" w:rsidRDefault="00922F8D" w:rsidP="00125898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EB3746">
        <w:rPr>
          <w:rFonts w:ascii="Times New Roman" w:hAnsi="Times New Roman" w:cs="Times New Roman"/>
          <w:b/>
          <w:bCs/>
          <w:color w:val="000000" w:themeColor="text1"/>
        </w:rPr>
        <w:t>Diesel prices</w:t>
      </w:r>
    </w:p>
    <w:p w14:paraId="2BE270D7" w14:textId="1A5E6A8C" w:rsidR="003452F7" w:rsidRPr="00C241CC" w:rsidRDefault="003452F7" w:rsidP="003452F7">
      <w:pPr>
        <w:ind w:firstLine="720"/>
        <w:rPr>
          <w:rFonts w:ascii="Times New Roman" w:hAnsi="Times New Roman" w:cs="Times New Roman"/>
        </w:rPr>
      </w:pPr>
      <w:r w:rsidRPr="00C241CC">
        <w:rPr>
          <w:rFonts w:ascii="Times New Roman" w:hAnsi="Times New Roman" w:cs="Times New Roman"/>
        </w:rPr>
        <w:t>The first figure presents a boxplot of county-level diesel prices.</w:t>
      </w:r>
      <w:r>
        <w:rPr>
          <w:rFonts w:ascii="Times New Roman" w:hAnsi="Times New Roman" w:cs="Times New Roman"/>
        </w:rPr>
        <w:t xml:space="preserve"> </w:t>
      </w:r>
      <w:r w:rsidRPr="00C241CC">
        <w:rPr>
          <w:rFonts w:ascii="Times New Roman" w:hAnsi="Times New Roman" w:cs="Times New Roman"/>
        </w:rPr>
        <w:t>Each box represents the interquartile range (middle 50 % of prices), with the horizontal line indicating the median.</w:t>
      </w:r>
      <w:r>
        <w:rPr>
          <w:rFonts w:ascii="Times New Roman" w:hAnsi="Times New Roman" w:cs="Times New Roman"/>
        </w:rPr>
        <w:t xml:space="preserve"> </w:t>
      </w:r>
      <w:r w:rsidRPr="00C241CC">
        <w:rPr>
          <w:rFonts w:ascii="Times New Roman" w:hAnsi="Times New Roman" w:cs="Times New Roman"/>
        </w:rPr>
        <w:t xml:space="preserve">Individual points represent station-level observations, showing within-county </w:t>
      </w:r>
      <w:r w:rsidR="004B5C15">
        <w:rPr>
          <w:rFonts w:ascii="Times New Roman" w:hAnsi="Times New Roman" w:cs="Times New Roman"/>
        </w:rPr>
        <w:t>scattering</w:t>
      </w:r>
      <w:r w:rsidRPr="00C241CC">
        <w:rPr>
          <w:rFonts w:ascii="Times New Roman" w:hAnsi="Times New Roman" w:cs="Times New Roman"/>
        </w:rPr>
        <w:t>.</w:t>
      </w:r>
    </w:p>
    <w:p w14:paraId="647F74D7" w14:textId="77777777" w:rsidR="004B5C15" w:rsidRDefault="003452F7" w:rsidP="003452F7">
      <w:pPr>
        <w:ind w:firstLine="720"/>
        <w:rPr>
          <w:rFonts w:ascii="Times New Roman" w:hAnsi="Times New Roman" w:cs="Times New Roman"/>
        </w:rPr>
      </w:pPr>
      <w:r w:rsidRPr="00C241CC">
        <w:rPr>
          <w:rFonts w:ascii="Times New Roman" w:hAnsi="Times New Roman" w:cs="Times New Roman"/>
        </w:rPr>
        <w:t xml:space="preserve">Diesel prices are broadly homogeneous across counties, with no </w:t>
      </w:r>
      <w:r w:rsidR="004B5C15">
        <w:rPr>
          <w:rFonts w:ascii="Times New Roman" w:hAnsi="Times New Roman" w:cs="Times New Roman"/>
        </w:rPr>
        <w:t>huge</w:t>
      </w:r>
      <w:r w:rsidRPr="00C241CC">
        <w:rPr>
          <w:rFonts w:ascii="Times New Roman" w:hAnsi="Times New Roman" w:cs="Times New Roman"/>
        </w:rPr>
        <w:t xml:space="preserve"> differences in median values.</w:t>
      </w:r>
      <w:r w:rsidR="004B5C15">
        <w:rPr>
          <w:rFonts w:ascii="Times New Roman" w:hAnsi="Times New Roman" w:cs="Times New Roman"/>
        </w:rPr>
        <w:t xml:space="preserve"> </w:t>
      </w:r>
      <w:r w:rsidRPr="00C241CC">
        <w:rPr>
          <w:rFonts w:ascii="Times New Roman" w:hAnsi="Times New Roman" w:cs="Times New Roman"/>
        </w:rPr>
        <w:t>Upper-range prices are slightly higher in counties such as Bács-Kiskun, Baranya, and Tolna, while lower ranges are observed in Nógrád and Vas.</w:t>
      </w:r>
    </w:p>
    <w:p w14:paraId="24D36B69" w14:textId="77777777" w:rsidR="004B5C15" w:rsidRDefault="003452F7" w:rsidP="003452F7">
      <w:pPr>
        <w:ind w:firstLine="720"/>
        <w:rPr>
          <w:rFonts w:ascii="Times New Roman" w:hAnsi="Times New Roman" w:cs="Times New Roman"/>
        </w:rPr>
      </w:pPr>
      <w:r w:rsidRPr="00C241CC">
        <w:rPr>
          <w:rFonts w:ascii="Times New Roman" w:hAnsi="Times New Roman" w:cs="Times New Roman"/>
        </w:rPr>
        <w:t>Outliers within counties likely correspond to stations pricing higher or lower due to specific local market conditions.</w:t>
      </w:r>
    </w:p>
    <w:p w14:paraId="290FB881" w14:textId="6BFF6ECF" w:rsidR="003452F7" w:rsidRPr="00C241CC" w:rsidRDefault="003452F7" w:rsidP="003452F7">
      <w:pPr>
        <w:ind w:firstLine="720"/>
        <w:rPr>
          <w:rFonts w:ascii="Times New Roman" w:hAnsi="Times New Roman" w:cs="Times New Roman"/>
        </w:rPr>
      </w:pPr>
      <w:r w:rsidRPr="00C241CC">
        <w:rPr>
          <w:rFonts w:ascii="Times New Roman" w:hAnsi="Times New Roman" w:cs="Times New Roman"/>
        </w:rPr>
        <w:t xml:space="preserve">Price </w:t>
      </w:r>
      <w:r w:rsidR="004B5C15">
        <w:rPr>
          <w:rFonts w:ascii="Times New Roman" w:hAnsi="Times New Roman" w:cs="Times New Roman"/>
        </w:rPr>
        <w:t>deviation</w:t>
      </w:r>
      <w:r w:rsidRPr="00C241CC">
        <w:rPr>
          <w:rFonts w:ascii="Times New Roman" w:hAnsi="Times New Roman" w:cs="Times New Roman"/>
        </w:rPr>
        <w:t xml:space="preserve"> in Budapest is minimal, suggesting stronger competition and more uniform pricing policies.</w:t>
      </w:r>
    </w:p>
    <w:p w14:paraId="60FB8321" w14:textId="538FB7EB" w:rsidR="003452F7" w:rsidRDefault="003452F7" w:rsidP="004B5C15">
      <w:pPr>
        <w:ind w:firstLine="720"/>
        <w:rPr>
          <w:rFonts w:ascii="Times New Roman" w:hAnsi="Times New Roman" w:cs="Times New Roman"/>
        </w:rPr>
      </w:pPr>
      <w:r w:rsidRPr="00C241CC">
        <w:rPr>
          <w:rFonts w:ascii="Times New Roman" w:hAnsi="Times New Roman" w:cs="Times New Roman"/>
        </w:rPr>
        <w:t xml:space="preserve">Overall, spatial differences in diesel prices are minor </w:t>
      </w:r>
      <w:r w:rsidR="004B5C15">
        <w:rPr>
          <w:rFonts w:ascii="Times New Roman" w:hAnsi="Times New Roman" w:cs="Times New Roman"/>
        </w:rPr>
        <w:t>on a national level</w:t>
      </w:r>
      <w:r w:rsidRPr="00C241CC">
        <w:rPr>
          <w:rFonts w:ascii="Times New Roman" w:hAnsi="Times New Roman" w:cs="Times New Roman"/>
        </w:rPr>
        <w:t>, though peripheral areas tend to exhibit slightly higher prices.</w:t>
      </w:r>
    </w:p>
    <w:p w14:paraId="5BDAB29C" w14:textId="77777777" w:rsidR="004B5C15" w:rsidRDefault="004B5C15" w:rsidP="0018144E">
      <w:pPr>
        <w:rPr>
          <w:rFonts w:ascii="Times New Roman" w:hAnsi="Times New Roman" w:cs="Times New Roman"/>
        </w:rPr>
      </w:pPr>
    </w:p>
    <w:p w14:paraId="13960197" w14:textId="2B458CA9" w:rsidR="0018144E" w:rsidRPr="00EB3746" w:rsidRDefault="00922F8D" w:rsidP="001258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3746">
        <w:rPr>
          <w:rFonts w:ascii="Times New Roman" w:hAnsi="Times New Roman" w:cs="Times New Roman"/>
          <w:b/>
          <w:bCs/>
          <w:sz w:val="28"/>
          <w:szCs w:val="28"/>
        </w:rPr>
        <w:t>Gasoline</w:t>
      </w:r>
    </w:p>
    <w:p w14:paraId="56B41A18" w14:textId="77777777" w:rsidR="00F53FA5" w:rsidRDefault="00F53FA5" w:rsidP="00F53FA5">
      <w:pPr>
        <w:ind w:firstLine="720"/>
        <w:rPr>
          <w:rFonts w:ascii="Times New Roman" w:hAnsi="Times New Roman" w:cs="Times New Roman"/>
        </w:rPr>
      </w:pPr>
      <w:r w:rsidRPr="00C241CC">
        <w:rPr>
          <w:rFonts w:ascii="Times New Roman" w:hAnsi="Times New Roman" w:cs="Times New Roman"/>
        </w:rPr>
        <w:t>The second figure shows a very similar pattern.</w:t>
      </w:r>
      <w:r>
        <w:rPr>
          <w:rFonts w:ascii="Times New Roman" w:hAnsi="Times New Roman" w:cs="Times New Roman"/>
        </w:rPr>
        <w:t xml:space="preserve"> </w:t>
      </w:r>
    </w:p>
    <w:p w14:paraId="3B8768A8" w14:textId="77777777" w:rsidR="00F53FA5" w:rsidRDefault="00F53FA5" w:rsidP="00F53FA5">
      <w:pPr>
        <w:ind w:firstLine="720"/>
        <w:rPr>
          <w:rFonts w:ascii="Times New Roman" w:hAnsi="Times New Roman" w:cs="Times New Roman"/>
        </w:rPr>
      </w:pPr>
      <w:r w:rsidRPr="00C241CC">
        <w:rPr>
          <w:rFonts w:ascii="Times New Roman" w:hAnsi="Times New Roman" w:cs="Times New Roman"/>
        </w:rPr>
        <w:t>Gasoline prices also fall within a narrow range, indicating that national pricing rules or competitive pressures strongly standardize prices.</w:t>
      </w:r>
    </w:p>
    <w:p w14:paraId="16C5C6EA" w14:textId="6DBF0485" w:rsidR="00F53FA5" w:rsidRPr="00C241CC" w:rsidRDefault="00F53FA5" w:rsidP="00F53FA5">
      <w:pPr>
        <w:ind w:firstLine="720"/>
        <w:rPr>
          <w:rFonts w:ascii="Times New Roman" w:hAnsi="Times New Roman" w:cs="Times New Roman"/>
        </w:rPr>
      </w:pPr>
      <w:r w:rsidRPr="00C241CC">
        <w:rPr>
          <w:rFonts w:ascii="Times New Roman" w:hAnsi="Times New Roman" w:cs="Times New Roman"/>
        </w:rPr>
        <w:t xml:space="preserve">Some counties (e.g., Zala, Borsod-Abaúj-Zemplén) exhibit wider dispersion, suggesting localized market deviations or </w:t>
      </w:r>
      <w:r>
        <w:rPr>
          <w:rFonts w:ascii="Times New Roman" w:hAnsi="Times New Roman" w:cs="Times New Roman"/>
        </w:rPr>
        <w:t xml:space="preserve">a </w:t>
      </w:r>
      <w:r w:rsidRPr="00C241CC">
        <w:rPr>
          <w:rFonts w:ascii="Times New Roman" w:hAnsi="Times New Roman" w:cs="Times New Roman"/>
        </w:rPr>
        <w:t xml:space="preserve">distinct </w:t>
      </w:r>
      <w:r>
        <w:rPr>
          <w:rFonts w:ascii="Times New Roman" w:hAnsi="Times New Roman" w:cs="Times New Roman"/>
        </w:rPr>
        <w:t>player’s</w:t>
      </w:r>
      <w:r w:rsidRPr="00C241CC">
        <w:rPr>
          <w:rFonts w:ascii="Times New Roman" w:hAnsi="Times New Roman" w:cs="Times New Roman"/>
        </w:rPr>
        <w:t xml:space="preserve"> behavior.</w:t>
      </w:r>
      <w:r>
        <w:rPr>
          <w:rFonts w:ascii="Times New Roman" w:hAnsi="Times New Roman" w:cs="Times New Roman"/>
        </w:rPr>
        <w:t xml:space="preserve"> </w:t>
      </w:r>
      <w:r w:rsidRPr="00C241CC">
        <w:rPr>
          <w:rFonts w:ascii="Times New Roman" w:hAnsi="Times New Roman" w:cs="Times New Roman"/>
        </w:rPr>
        <w:t>Median price differences across counties are minimal</w:t>
      </w:r>
      <w:r>
        <w:rPr>
          <w:rFonts w:ascii="Times New Roman" w:hAnsi="Times New Roman" w:cs="Times New Roman"/>
        </w:rPr>
        <w:t xml:space="preserve">, </w:t>
      </w:r>
      <w:r w:rsidRPr="00C241CC">
        <w:rPr>
          <w:rFonts w:ascii="Times New Roman" w:hAnsi="Times New Roman" w:cs="Times New Roman"/>
        </w:rPr>
        <w:t>only a few forints</w:t>
      </w:r>
      <w:r>
        <w:rPr>
          <w:rFonts w:ascii="Times New Roman" w:hAnsi="Times New Roman" w:cs="Times New Roman"/>
        </w:rPr>
        <w:t>, t</w:t>
      </w:r>
      <w:r w:rsidRPr="00C241CC">
        <w:rPr>
          <w:rFonts w:ascii="Times New Roman" w:hAnsi="Times New Roman" w:cs="Times New Roman"/>
        </w:rPr>
        <w:t>hus statistically insignificant.</w:t>
      </w:r>
    </w:p>
    <w:p w14:paraId="48B94A6B" w14:textId="3E40759E" w:rsidR="00354337" w:rsidRPr="0018144E" w:rsidRDefault="00F53FA5" w:rsidP="00F53FA5">
      <w:pPr>
        <w:ind w:firstLine="360"/>
        <w:rPr>
          <w:rFonts w:ascii="Times New Roman" w:hAnsi="Times New Roman" w:cs="Times New Roman"/>
        </w:rPr>
      </w:pPr>
      <w:r w:rsidRPr="00C241CC">
        <w:rPr>
          <w:rFonts w:ascii="Times New Roman" w:hAnsi="Times New Roman" w:cs="Times New Roman"/>
        </w:rPr>
        <w:t>Overall, both gasoline and diesel prices are highly consistent across counties, confirming that Hungary’s fuel market is centralized and competition-regulated.</w:t>
      </w:r>
      <w:r>
        <w:rPr>
          <w:rFonts w:ascii="Times New Roman" w:hAnsi="Times New Roman" w:cs="Times New Roman"/>
        </w:rPr>
        <w:t xml:space="preserve"> </w:t>
      </w:r>
      <w:r w:rsidRPr="00C241CC">
        <w:rPr>
          <w:rFonts w:ascii="Times New Roman" w:hAnsi="Times New Roman" w:cs="Times New Roman"/>
        </w:rPr>
        <w:t xml:space="preserve">Geographical location alone </w:t>
      </w:r>
      <w:r>
        <w:rPr>
          <w:rFonts w:ascii="Times New Roman" w:hAnsi="Times New Roman" w:cs="Times New Roman"/>
        </w:rPr>
        <w:t>has</w:t>
      </w:r>
      <w:r w:rsidRPr="00C241CC">
        <w:rPr>
          <w:rFonts w:ascii="Times New Roman" w:hAnsi="Times New Roman" w:cs="Times New Roman"/>
        </w:rPr>
        <w:t xml:space="preserve"> limited influence on pricing.</w:t>
      </w:r>
      <w:r>
        <w:rPr>
          <w:rFonts w:ascii="Times New Roman" w:hAnsi="Times New Roman" w:cs="Times New Roman"/>
        </w:rPr>
        <w:t xml:space="preserve"> </w:t>
      </w:r>
      <w:r w:rsidRPr="00C241CC">
        <w:rPr>
          <w:rFonts w:ascii="Times New Roman" w:hAnsi="Times New Roman" w:cs="Times New Roman"/>
        </w:rPr>
        <w:t xml:space="preserve">Outliers are attributable mainly to </w:t>
      </w:r>
      <w:r>
        <w:rPr>
          <w:rFonts w:ascii="Times New Roman" w:hAnsi="Times New Roman" w:cs="Times New Roman"/>
        </w:rPr>
        <w:t xml:space="preserve">the </w:t>
      </w:r>
      <w:r w:rsidRPr="00C241CC">
        <w:rPr>
          <w:rFonts w:ascii="Times New Roman" w:hAnsi="Times New Roman" w:cs="Times New Roman"/>
        </w:rPr>
        <w:t>local market</w:t>
      </w:r>
      <w:r>
        <w:rPr>
          <w:rFonts w:ascii="Times New Roman" w:hAnsi="Times New Roman" w:cs="Times New Roman"/>
        </w:rPr>
        <w:t>,</w:t>
      </w:r>
      <w:r w:rsidRPr="00C241CC">
        <w:rPr>
          <w:rFonts w:ascii="Times New Roman" w:hAnsi="Times New Roman" w:cs="Times New Roman"/>
        </w:rPr>
        <w:t xml:space="preserve"> or </w:t>
      </w:r>
      <w:r>
        <w:rPr>
          <w:rFonts w:ascii="Times New Roman" w:hAnsi="Times New Roman" w:cs="Times New Roman"/>
        </w:rPr>
        <w:t>other</w:t>
      </w:r>
      <w:r w:rsidRPr="00C241CC">
        <w:rPr>
          <w:rFonts w:ascii="Times New Roman" w:hAnsi="Times New Roman" w:cs="Times New Roman"/>
        </w:rPr>
        <w:t xml:space="preserve"> corporate strategies</w:t>
      </w:r>
      <w:r>
        <w:rPr>
          <w:rFonts w:ascii="Times New Roman" w:hAnsi="Times New Roman" w:cs="Times New Roman"/>
        </w:rPr>
        <w:t>.</w:t>
      </w:r>
      <w:r w:rsidR="00354337">
        <w:rPr>
          <w:rFonts w:ascii="Times New Roman" w:hAnsi="Times New Roman" w:cs="Times New Roman"/>
        </w:rPr>
        <w:br w:type="page"/>
      </w:r>
    </w:p>
    <w:p w14:paraId="3C5F471F" w14:textId="61B79F8F" w:rsidR="006B0929" w:rsidRPr="00EB3746" w:rsidRDefault="0018144E" w:rsidP="00125898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EB3746">
        <w:rPr>
          <w:rFonts w:ascii="Times New Roman" w:hAnsi="Times New Roman" w:cs="Times New Roman"/>
          <w:b/>
          <w:bCs/>
          <w:color w:val="000000" w:themeColor="text1"/>
        </w:rPr>
        <w:lastRenderedPageBreak/>
        <w:t>Distribution of Fuel Prices based on Settlement Type</w:t>
      </w:r>
    </w:p>
    <w:p w14:paraId="416DA819" w14:textId="5D1CEC53" w:rsidR="00C241CC" w:rsidRDefault="00C241CC" w:rsidP="00C241CC">
      <w:pPr>
        <w:ind w:firstLine="720"/>
        <w:rPr>
          <w:rFonts w:ascii="Times New Roman" w:hAnsi="Times New Roman" w:cs="Times New Roman"/>
        </w:rPr>
      </w:pPr>
      <w:r w:rsidRPr="00C241CC">
        <w:rPr>
          <w:rFonts w:ascii="Times New Roman" w:hAnsi="Times New Roman" w:cs="Times New Roman"/>
        </w:rPr>
        <w:t>The boxplots above show the distribution of diesel and gasoline prices across different settlement categories.</w:t>
      </w:r>
      <w:r>
        <w:rPr>
          <w:rFonts w:ascii="Times New Roman" w:hAnsi="Times New Roman" w:cs="Times New Roman"/>
        </w:rPr>
        <w:t xml:space="preserve"> </w:t>
      </w:r>
      <w:r w:rsidRPr="00C241CC">
        <w:rPr>
          <w:rFonts w:ascii="Times New Roman" w:hAnsi="Times New Roman" w:cs="Times New Roman"/>
        </w:rPr>
        <w:t xml:space="preserve">The median price (thick horizontal line within each box) does not vary substantially between categories, suggesting that settlement type alone </w:t>
      </w:r>
      <w:r w:rsidR="00C36572">
        <w:rPr>
          <w:rFonts w:ascii="Times New Roman" w:hAnsi="Times New Roman" w:cs="Times New Roman"/>
        </w:rPr>
        <w:t>might</w:t>
      </w:r>
      <w:r w:rsidRPr="00C241CC">
        <w:rPr>
          <w:rFonts w:ascii="Times New Roman" w:hAnsi="Times New Roman" w:cs="Times New Roman"/>
        </w:rPr>
        <w:t xml:space="preserve"> not strongly explain price differentials.</w:t>
      </w:r>
      <w:r>
        <w:rPr>
          <w:rFonts w:ascii="Times New Roman" w:hAnsi="Times New Roman" w:cs="Times New Roman"/>
        </w:rPr>
        <w:t xml:space="preserve"> </w:t>
      </w:r>
    </w:p>
    <w:p w14:paraId="57D29A9C" w14:textId="77777777" w:rsidR="00C36572" w:rsidRDefault="00C241CC" w:rsidP="00C36572">
      <w:pPr>
        <w:ind w:firstLine="720"/>
        <w:rPr>
          <w:rFonts w:ascii="Times New Roman" w:hAnsi="Times New Roman" w:cs="Times New Roman"/>
        </w:rPr>
      </w:pPr>
      <w:r w:rsidRPr="00C241CC">
        <w:rPr>
          <w:rFonts w:ascii="Times New Roman" w:hAnsi="Times New Roman" w:cs="Times New Roman"/>
        </w:rPr>
        <w:t>In the capital districts, both diesel and gasoline prices are slightly higher on average</w:t>
      </w:r>
      <w:r w:rsidR="00C36572">
        <w:rPr>
          <w:rFonts w:ascii="Times New Roman" w:hAnsi="Times New Roman" w:cs="Times New Roman"/>
        </w:rPr>
        <w:t xml:space="preserve">, </w:t>
      </w:r>
      <w:r w:rsidRPr="00C241CC">
        <w:rPr>
          <w:rFonts w:ascii="Times New Roman" w:hAnsi="Times New Roman" w:cs="Times New Roman"/>
        </w:rPr>
        <w:t>likely reflecting stronger demand, higher operating costs, and the prevalence of premium retail networks.</w:t>
      </w:r>
    </w:p>
    <w:p w14:paraId="2D43D87D" w14:textId="6A764F71" w:rsidR="00C36572" w:rsidRDefault="00C241CC" w:rsidP="00C36572">
      <w:pPr>
        <w:ind w:firstLine="720"/>
        <w:rPr>
          <w:rFonts w:ascii="Times New Roman" w:hAnsi="Times New Roman" w:cs="Times New Roman"/>
        </w:rPr>
      </w:pPr>
      <w:r w:rsidRPr="00C241CC">
        <w:rPr>
          <w:rFonts w:ascii="Times New Roman" w:hAnsi="Times New Roman" w:cs="Times New Roman"/>
        </w:rPr>
        <w:t>In villages and large villages, prices are marginally lower but exhibit greater dispersion, indicating more heterogeneous market structures (a mix of small independent stations and large-chain outlets).</w:t>
      </w:r>
    </w:p>
    <w:p w14:paraId="2F70BE10" w14:textId="13383A31" w:rsidR="00C36572" w:rsidRDefault="00C241CC" w:rsidP="00C36572">
      <w:pPr>
        <w:ind w:firstLine="720"/>
        <w:rPr>
          <w:rFonts w:ascii="Times New Roman" w:hAnsi="Times New Roman" w:cs="Times New Roman"/>
        </w:rPr>
      </w:pPr>
      <w:r w:rsidRPr="00C241CC">
        <w:rPr>
          <w:rFonts w:ascii="Times New Roman" w:hAnsi="Times New Roman" w:cs="Times New Roman"/>
        </w:rPr>
        <w:t>Towns and county-level cities show stable and uniform price levels, comparable in median to the capital, but with smaller variance, implying dominance by larger, standardized networks.</w:t>
      </w:r>
    </w:p>
    <w:p w14:paraId="661A0A56" w14:textId="10477EB7" w:rsidR="00C241CC" w:rsidRPr="00C241CC" w:rsidRDefault="00C241CC" w:rsidP="00C36572">
      <w:pPr>
        <w:ind w:firstLine="720"/>
        <w:rPr>
          <w:rFonts w:ascii="Times New Roman" w:hAnsi="Times New Roman" w:cs="Times New Roman"/>
        </w:rPr>
      </w:pPr>
      <w:r w:rsidRPr="00C241CC">
        <w:rPr>
          <w:rFonts w:ascii="Times New Roman" w:hAnsi="Times New Roman" w:cs="Times New Roman"/>
        </w:rPr>
        <w:t>Outliers</w:t>
      </w:r>
      <w:r w:rsidR="00C36572">
        <w:rPr>
          <w:rFonts w:ascii="Times New Roman" w:hAnsi="Times New Roman" w:cs="Times New Roman"/>
        </w:rPr>
        <w:t xml:space="preserve">, in other words </w:t>
      </w:r>
      <w:r w:rsidRPr="00C241CC">
        <w:rPr>
          <w:rFonts w:ascii="Times New Roman" w:hAnsi="Times New Roman" w:cs="Times New Roman"/>
        </w:rPr>
        <w:t>extreme price observations</w:t>
      </w:r>
      <w:r w:rsidR="00C36572">
        <w:rPr>
          <w:rFonts w:ascii="Times New Roman" w:hAnsi="Times New Roman" w:cs="Times New Roman"/>
        </w:rPr>
        <w:t xml:space="preserve"> </w:t>
      </w:r>
      <w:r w:rsidRPr="00C241CC">
        <w:rPr>
          <w:rFonts w:ascii="Times New Roman" w:hAnsi="Times New Roman" w:cs="Times New Roman"/>
        </w:rPr>
        <w:t>occur mainly in smaller settlements, likely reflecting local pricing policies driven by distance, transport costs, or limited competition.</w:t>
      </w:r>
    </w:p>
    <w:p w14:paraId="4C465DD4" w14:textId="086765F1" w:rsidR="0018144E" w:rsidRPr="00F3672E" w:rsidRDefault="00C36572" w:rsidP="00C3657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Summarising</w:t>
      </w:r>
      <w:r w:rsidR="00C241CC" w:rsidRPr="00C241CC">
        <w:rPr>
          <w:rFonts w:ascii="Times New Roman" w:hAnsi="Times New Roman" w:cs="Times New Roman"/>
        </w:rPr>
        <w:t xml:space="preserve">, settlement type </w:t>
      </w:r>
      <w:r>
        <w:rPr>
          <w:rFonts w:ascii="Times New Roman" w:hAnsi="Times New Roman" w:cs="Times New Roman"/>
        </w:rPr>
        <w:t>effect shows</w:t>
      </w:r>
      <w:r w:rsidR="00C241CC" w:rsidRPr="00C241CC">
        <w:rPr>
          <w:rFonts w:ascii="Times New Roman" w:hAnsi="Times New Roman" w:cs="Times New Roman"/>
        </w:rPr>
        <w:t xml:space="preserve"> a moderate but non-negligible influence</w:t>
      </w:r>
      <w:r>
        <w:rPr>
          <w:rFonts w:ascii="Times New Roman" w:hAnsi="Times New Roman" w:cs="Times New Roman"/>
        </w:rPr>
        <w:t xml:space="preserve">, meaning that </w:t>
      </w:r>
      <w:r w:rsidR="00C241CC" w:rsidRPr="00C241CC">
        <w:rPr>
          <w:rFonts w:ascii="Times New Roman" w:hAnsi="Times New Roman" w:cs="Times New Roman"/>
        </w:rPr>
        <w:t>prices are slightly higher in the capital and more volatile in rural areas.</w:t>
      </w:r>
      <w:r w:rsidR="00C241CC" w:rsidRPr="00C241CC">
        <w:rPr>
          <w:rFonts w:ascii="Times New Roman" w:hAnsi="Times New Roman" w:cs="Times New Roman"/>
        </w:rPr>
        <w:br/>
        <w:t>This aligns with the expectation that urban markets exhibit more stable, competitive price structures, while smaller settlements experience greater price variability.</w:t>
      </w:r>
      <w:r>
        <w:rPr>
          <w:rFonts w:ascii="Times New Roman" w:hAnsi="Times New Roman" w:cs="Times New Roman"/>
        </w:rPr>
        <w:t xml:space="preserve"> </w:t>
      </w:r>
    </w:p>
    <w:sectPr w:rsidR="0018144E" w:rsidRPr="00F367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C2ED0"/>
    <w:multiLevelType w:val="multilevel"/>
    <w:tmpl w:val="5DF4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A4E5D"/>
    <w:multiLevelType w:val="multilevel"/>
    <w:tmpl w:val="0EFC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34BFC"/>
    <w:multiLevelType w:val="multilevel"/>
    <w:tmpl w:val="6FE2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33558"/>
    <w:multiLevelType w:val="multilevel"/>
    <w:tmpl w:val="4CF0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62D1E"/>
    <w:multiLevelType w:val="multilevel"/>
    <w:tmpl w:val="12C6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D2FE5"/>
    <w:multiLevelType w:val="multilevel"/>
    <w:tmpl w:val="3BE052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C5302"/>
    <w:multiLevelType w:val="multilevel"/>
    <w:tmpl w:val="6FD0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02A30"/>
    <w:multiLevelType w:val="multilevel"/>
    <w:tmpl w:val="6146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D2545"/>
    <w:multiLevelType w:val="multilevel"/>
    <w:tmpl w:val="25C4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82250C"/>
    <w:multiLevelType w:val="multilevel"/>
    <w:tmpl w:val="D380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BA46F9"/>
    <w:multiLevelType w:val="multilevel"/>
    <w:tmpl w:val="F670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262921"/>
    <w:multiLevelType w:val="multilevel"/>
    <w:tmpl w:val="2726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A06500"/>
    <w:multiLevelType w:val="multilevel"/>
    <w:tmpl w:val="E178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D75756"/>
    <w:multiLevelType w:val="multilevel"/>
    <w:tmpl w:val="7146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F74E98"/>
    <w:multiLevelType w:val="multilevel"/>
    <w:tmpl w:val="B2CC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02697D"/>
    <w:multiLevelType w:val="multilevel"/>
    <w:tmpl w:val="40F8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56178D"/>
    <w:multiLevelType w:val="multilevel"/>
    <w:tmpl w:val="8664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320F8D"/>
    <w:multiLevelType w:val="multilevel"/>
    <w:tmpl w:val="8F3A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020270">
    <w:abstractNumId w:val="2"/>
  </w:num>
  <w:num w:numId="2" w16cid:durableId="540673937">
    <w:abstractNumId w:val="7"/>
  </w:num>
  <w:num w:numId="3" w16cid:durableId="204104709">
    <w:abstractNumId w:val="5"/>
  </w:num>
  <w:num w:numId="4" w16cid:durableId="614168442">
    <w:abstractNumId w:val="14"/>
  </w:num>
  <w:num w:numId="5" w16cid:durableId="1484201714">
    <w:abstractNumId w:val="16"/>
  </w:num>
  <w:num w:numId="6" w16cid:durableId="769358200">
    <w:abstractNumId w:val="9"/>
  </w:num>
  <w:num w:numId="7" w16cid:durableId="957489896">
    <w:abstractNumId w:val="8"/>
  </w:num>
  <w:num w:numId="8" w16cid:durableId="516162089">
    <w:abstractNumId w:val="11"/>
  </w:num>
  <w:num w:numId="9" w16cid:durableId="1085032743">
    <w:abstractNumId w:val="0"/>
  </w:num>
  <w:num w:numId="10" w16cid:durableId="1323050024">
    <w:abstractNumId w:val="15"/>
  </w:num>
  <w:num w:numId="11" w16cid:durableId="993921825">
    <w:abstractNumId w:val="10"/>
  </w:num>
  <w:num w:numId="12" w16cid:durableId="1843465969">
    <w:abstractNumId w:val="17"/>
  </w:num>
  <w:num w:numId="13" w16cid:durableId="817839817">
    <w:abstractNumId w:val="1"/>
  </w:num>
  <w:num w:numId="14" w16cid:durableId="232859666">
    <w:abstractNumId w:val="13"/>
  </w:num>
  <w:num w:numId="15" w16cid:durableId="1739934618">
    <w:abstractNumId w:val="3"/>
  </w:num>
  <w:num w:numId="16" w16cid:durableId="402527471">
    <w:abstractNumId w:val="6"/>
  </w:num>
  <w:num w:numId="17" w16cid:durableId="538321605">
    <w:abstractNumId w:val="12"/>
  </w:num>
  <w:num w:numId="18" w16cid:durableId="17316143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04"/>
    <w:rsid w:val="00035B35"/>
    <w:rsid w:val="00082937"/>
    <w:rsid w:val="0008513C"/>
    <w:rsid w:val="000B071E"/>
    <w:rsid w:val="000F2BB4"/>
    <w:rsid w:val="00125898"/>
    <w:rsid w:val="001418CD"/>
    <w:rsid w:val="001579B9"/>
    <w:rsid w:val="0018144E"/>
    <w:rsid w:val="002724EC"/>
    <w:rsid w:val="002A760D"/>
    <w:rsid w:val="00327863"/>
    <w:rsid w:val="003452F7"/>
    <w:rsid w:val="00354337"/>
    <w:rsid w:val="003A19CC"/>
    <w:rsid w:val="003B4DDF"/>
    <w:rsid w:val="004255FD"/>
    <w:rsid w:val="00426B66"/>
    <w:rsid w:val="004B5C15"/>
    <w:rsid w:val="005C6D7A"/>
    <w:rsid w:val="005E7B24"/>
    <w:rsid w:val="00671127"/>
    <w:rsid w:val="006B0929"/>
    <w:rsid w:val="006F12DA"/>
    <w:rsid w:val="007B7DAE"/>
    <w:rsid w:val="007D03B3"/>
    <w:rsid w:val="007D347B"/>
    <w:rsid w:val="00806B49"/>
    <w:rsid w:val="008245E5"/>
    <w:rsid w:val="00867D45"/>
    <w:rsid w:val="008A62FE"/>
    <w:rsid w:val="008C6EAC"/>
    <w:rsid w:val="008E2E02"/>
    <w:rsid w:val="009053C7"/>
    <w:rsid w:val="00916D9A"/>
    <w:rsid w:val="00922F8D"/>
    <w:rsid w:val="00A01604"/>
    <w:rsid w:val="00A10C65"/>
    <w:rsid w:val="00A51D0B"/>
    <w:rsid w:val="00AD5FE1"/>
    <w:rsid w:val="00B44C3D"/>
    <w:rsid w:val="00BD16F1"/>
    <w:rsid w:val="00C241CC"/>
    <w:rsid w:val="00C36572"/>
    <w:rsid w:val="00C82DB5"/>
    <w:rsid w:val="00C92075"/>
    <w:rsid w:val="00D107F2"/>
    <w:rsid w:val="00D21C97"/>
    <w:rsid w:val="00D71546"/>
    <w:rsid w:val="00DB2B77"/>
    <w:rsid w:val="00DD7F70"/>
    <w:rsid w:val="00E243B8"/>
    <w:rsid w:val="00E3504E"/>
    <w:rsid w:val="00E55198"/>
    <w:rsid w:val="00EB3746"/>
    <w:rsid w:val="00F05E32"/>
    <w:rsid w:val="00F3672E"/>
    <w:rsid w:val="00F416F0"/>
    <w:rsid w:val="00F41866"/>
    <w:rsid w:val="00F53FA5"/>
    <w:rsid w:val="00F5731C"/>
    <w:rsid w:val="00F83FB0"/>
    <w:rsid w:val="00FF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6D2BC6"/>
  <w15:chartTrackingRefBased/>
  <w15:docId w15:val="{452D1DB6-DAAC-2945-BBF2-092FFA52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1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1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1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6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8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1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9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4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4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0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32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09069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4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69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0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9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8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65347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2243</Words>
  <Characters>12790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Csikós Martina</dc:creator>
  <cp:keywords/>
  <dc:description/>
  <cp:lastModifiedBy>Csikós Martina</cp:lastModifiedBy>
  <cp:revision>19</cp:revision>
  <dcterms:created xsi:type="dcterms:W3CDTF">2025-10-31T11:10:00Z</dcterms:created>
  <dcterms:modified xsi:type="dcterms:W3CDTF">2025-10-31T14:02:00Z</dcterms:modified>
</cp:coreProperties>
</file>