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Sales Analysis Report</w:t>
      </w:r>
    </w:p>
    <w:p>
      <w:r>
        <w:t>Total Revenue: 10,666,684.54</w:t>
      </w:r>
    </w:p>
    <w:p>
      <w:pPr>
        <w:pStyle w:val="Heading1"/>
      </w:pPr>
      <w:r>
        <w:t>Key Insights</w:t>
      </w:r>
    </w:p>
    <w:p>
      <w:r>
        <w:t>Top product: DOTCOM POSTAGE (206,248.77 revenue)</w:t>
      </w:r>
    </w:p>
    <w:p>
      <w:r>
        <w:t>Top region: United Kingdom (9,025,222.08 revenue)</w:t>
      </w:r>
    </w:p>
    <w:p>
      <w:r>
        <w:t>Revenue shows strong growth through 2011, peaking in November.</w:t>
      </w:r>
    </w:p>
    <w:p>
      <w:pPr>
        <w:pStyle w:val="Heading1"/>
      </w:pPr>
      <w:r>
        <w:t>Revenue Trend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Top Products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