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</w:pPr>
      <w:r>
        <w:rPr>
          <w:rFonts w:ascii="Microsoft YaHei" w:hAnsi="Microsoft YaHei" w:eastAsia="Microsoft YaHei" w:cs="Microsoft YaHei"/>
          <w:b/>
          <w:color w:val="10233F"/>
          <w:sz w:val="47"/>
        </w:rPr>
        <w:t>【40强赛】舜宇光学科技🤝工智跃迁｜TuneWise——AA 工站 AI 调机决策支持</w:t>
      </w:r>
    </w:p>
    <w:p>
      <w:pPr>
        <w:pStyle w:val="ProjectName"/>
        <w:keepNext/>
      </w:pPr>
      <w:r>
        <w:rPr>
          <w:rFonts w:ascii="Microsoft YaHei" w:hAnsi="Microsoft YaHei" w:eastAsia="Microsoft YaHei" w:cs="Microsoft YaHei"/>
          <w:b/>
          <w:color w:val="2446A8"/>
          <w:sz w:val="36"/>
        </w:rPr>
        <w:t>TuneWise</w:t>
      </w:r>
    </w:p>
    <w:p>
      <w:pPr>
        <w:pStyle w:val="Subtitle"/>
        <w:keepNext/>
      </w:pPr>
      <w:r>
        <w:rPr>
          <w:rFonts w:ascii="Microsoft YaHei" w:hAnsi="Microsoft YaHei" w:eastAsia="Microsoft YaHei" w:cs="Microsoft YaHei"/>
          <w:color w:val="5D6B82"/>
          <w:sz w:val="25"/>
        </w:rPr>
        <w:t>Human-in-the-loop AI 调机决策支持原型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一、参赛方案信息卡【必须包含】</w:t>
      </w:r>
    </w:p>
    <w:tbl>
      <w:tblPr>
        <w:tblW w:type="dxa" w:w="9723"/>
        <w:jc w:val="center"/>
        <w:tblBorders>
          <w:top w:val="single" w:sz="7" w:space="0" w:color="AEBFE2"/>
          <w:left w:val="single" w:sz="7" w:space="0" w:color="AEBFE2"/>
          <w:bottom w:val="single" w:sz="7" w:space="0" w:color="AEBFE2"/>
          <w:right w:val="single" w:sz="7" w:space="0" w:color="AEBFE2"/>
          <w:insideH w:val="single" w:sz="7" w:space="0" w:color="AEBFE2"/>
          <w:insideV w:val="single" w:sz="7" w:space="0" w:color="AEBFE2"/>
        </w:tblBorders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 w:val="true"/>
        </w:trPr>
        <w:tc>
          <w:tcPr>
            <w:tcW w:type="dxa" w:w="1843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880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企业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舜宇光学科技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队名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工智跃迁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命题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如果你是智造专家，你将如何借助 AI 设计并打造「智造调机助手」，提升现场良率？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一句话摘要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TuneWise 是面向精密光学 Active Alignment（AA）工站的 Human-in-the-loop AI 调机决策支持原型。确定性核心给出异常分析、根因优先级、历史参考案例与调参候选，工程师审核确认后，先做执行前仿真验证，再演示本地模拟设备受控执行；飞书 Aily 仅负责知识检索与解释。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成员介绍 &amp; 分工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钟秉辰｜个人参赛</w:t>
              <w:br/>
              <w:t>负责 TuneWise 的方案设计、机器学习与安全决策原型、执行前仿真验证与 OPC-UA 本地模拟环境验证、飞书 Aily 工程协作层集成，以及项目工程验证与参赛材料整理。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使用的飞书 AI 能力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飞书 Aily：工作流应用；知识空间；知识检索（RAG）；大语言模型（LLM）；已发布对话应用。</w:t>
            </w:r>
          </w:p>
        </w:tc>
      </w:tr>
    </w:tbl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方案摘要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聚焦精密光学主动对准（Active Alignment，AA）单一工站，是 Human-in-the-loop AI 调机决策支持原型。AI 完成异常分析、根因优先级、历史参考案例与调参候选；工程师审核并确认后，系统先做执行前仿真验证（Replay），再在全部安全门禁通过且显式启用 OPC-UA Sandbox 时演示本地模拟设备受控执行。大语言模型不生成新参数，也不进入设备控制链。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已发布的飞书 Aily 应用承担生成式 AI 协作层。它检索 8 文件版本化知识包、固定 Demo 证据与调机过程 Demo 证据，将模型、规则、安全边界和结果组织为自然语言解释。两层 AI 通过版本化项目知识与固定证据协作，而非通过实时控制接口连接：TuneWise 确定性工业 AI 核心产生可验证决策证据，Aily 只负责检索、解释、追溯与问答。</w:t>
      </w:r>
    </w:p>
    <w:tbl>
      <w:tblPr>
        <w:tblW w:type="dxa" w:w="9723"/>
        <w:jc w:val="center"/>
        <w:tblBorders>
          <w:top w:val="single" w:sz="7" w:space="0" w:color="E6AEB2"/>
          <w:left w:val="single" w:sz="7" w:space="0" w:color="E6AEB2"/>
          <w:bottom w:val="single" w:sz="7" w:space="0" w:color="E6AEB2"/>
          <w:right w:val="single" w:sz="7" w:space="0" w:color="E6AEB2"/>
          <w:insideH w:val="single" w:sz="7" w:space="0" w:color="E6AEB2"/>
          <w:insideV w:val="single" w:sz="7" w:space="0" w:color="E6AEB2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DEBEC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73F46"/>
                <w:sz w:val="19"/>
              </w:rPr>
              <w:t>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本项目是比赛原型，不代表舜宇真实内部系统。固定 Demo、调机过程 Demo、模型开发资产与案例均为公开知识和规则约束的合成数据；normalized_score 不是校准故障概率；仿真验证结果只属于固定模拟环境；OPC-UA 只连接本地 loopback sandbox；Aily 无控制权限。项目未接真实光学产线，也未完成授权真实 AA 业务数据验证。</w:t>
            </w:r>
          </w:p>
        </w:tc>
      </w:tr>
    </w:tbl>
    <w:p>
      <w:pPr>
        <w:pStyle w:val="SmallText"/>
        <w:spacing w:after="0"/>
      </w:pP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二、 方案成果展示【必须包含】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1. 命题场景描述、问题描述及痛点说明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精密光学 Active Alignment 需要同时观察中心与四角 MTF 等质量指标，并调整位置、倾角、焦向等多个参数。故障现象与根因并非一一对应：相似的四角下降可能来自平面倾斜、XY 偏心、平台不稳定、参考漂移或条件式 Z 离焦；同一参数变化也可能同时影响多个质量指标。因此，现场判断不能只看单个数值，更不能把一句自然语言建议直接当作可执行参数。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本方案聚焦方法级痛点，不将行业共性误述为舜宇已确认的内部现状。TuneWise 面向以下六类相互关联的问题：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多指标耦合：</w:t>
      </w:r>
      <w:r>
        <w:rPr>
          <w:rFonts w:ascii="Microsoft YaHei" w:hAnsi="Microsoft YaHei" w:eastAsia="Microsoft YaHei" w:cs="Microsoft YaHei"/>
          <w:color w:val="172B4D"/>
          <w:sz w:val="21"/>
        </w:rPr>
        <w:t>中心与四角 MTF、位置、倾角、焦向和平台状态必须放在同一上下文判断。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根因非一一对应：</w:t>
      </w:r>
      <w:r>
        <w:rPr>
          <w:rFonts w:ascii="Microsoft YaHei" w:hAnsi="Microsoft YaHei" w:eastAsia="Microsoft YaHei" w:cs="Microsoft YaHei"/>
          <w:color w:val="172B4D"/>
          <w:sz w:val="21"/>
        </w:rPr>
        <w:t>同一症状可能对应多类根因，单一数值不足以形成可靠排查顺序。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经验依赖：</w:t>
      </w:r>
      <w:r>
        <w:rPr>
          <w:rFonts w:ascii="Microsoft YaHei" w:hAnsi="Microsoft YaHei" w:eastAsia="Microsoft YaHei" w:cs="Microsoft YaHei"/>
          <w:color w:val="172B4D"/>
          <w:sz w:val="21"/>
        </w:rPr>
        <w:t>分散的信息与个人经验难以复核，判断依据也不易交接。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案例适用条件：</w:t>
      </w:r>
      <w:r>
        <w:rPr>
          <w:rFonts w:ascii="Microsoft YaHei" w:hAnsi="Microsoft YaHei" w:eastAsia="Microsoft YaHei" w:cs="Microsoft YaHei"/>
          <w:color w:val="172B4D"/>
          <w:sz w:val="21"/>
        </w:rPr>
        <w:t>历史动作缺少产品、工站、版本和审核状态时，可能被错误复用。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调参安全：</w:t>
      </w:r>
      <w:r>
        <w:rPr>
          <w:rFonts w:ascii="Microsoft YaHei" w:hAnsi="Microsoft YaHei" w:eastAsia="Microsoft YaHei" w:cs="Microsoft YaHei"/>
          <w:color w:val="172B4D"/>
          <w:sz w:val="21"/>
        </w:rPr>
        <w:t>范围、步长、方向、跨标称值和版本过期都需要统一门禁。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全链追溯（Provenance）：</w:t>
      </w:r>
      <w:r>
        <w:rPr>
          <w:rFonts w:ascii="Microsoft YaHei" w:hAnsi="Microsoft YaHei" w:eastAsia="Microsoft YaHei" w:cs="Microsoft YaHei"/>
          <w:color w:val="172B4D"/>
          <w:sz w:val="21"/>
        </w:rPr>
        <w:t>从输入、模型、规则、候选、工程师确认到结果都需要可追溯凭证。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传统路径通常是“异常出现 → 人工查看多个指标 → 依赖经验猜测根因 → 翻找历史记录或案例 → 尝试参数 → 重新测试 → 反复迭代 → 决策依据难以追溯”。TuneWise 不替代工程师，而是把“看什么、为什么、能否调整、由谁确认、如何验证”变成结构化且可拒绝的链路。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1｜传统调机流程 vs TuneWise 决策支持流程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1" name="图 1｜传统调机流程 vs TuneWise 决策支持流程" descr="图 1｜传统调机流程 vs TuneWise 决策支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图注：该图是工作流能力对比，不代表已验证的真实效率或良率 KPI。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2. 方案优势/创新点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2.1 从直接生成调参值转向证据约束型决策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不允许模型直接给出可执行参数。根因排序只是起点；调参候选还必须具备根因证据、方向证据、当前适用案例证据、确定性幅值规则与参数安全校验（ParameterSafetyValidator）结果。缺少支持、方向冲突、版本过期或内容被篡改时，系统拒绝继续。AI 的责任由“替人拍板”收敛为“帮助人形成可验证判断”。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2.2 安全关键工业 AI 与生成式 AI 解耦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底层 TuneWise 确定性工业 AI 核心负责数值分析、历史参考案例检索、规则约束、工程师确认、仿真验证与执行门禁；上层飞书 Aily 生成式 AI 协作层负责检索、解释、追溯与问答。Aily 能解释为什么 PLANE_TILT 排在第一、为什么选择 pitch 减少 1 tick、仿真验证通过说明什么，却不能生成或修改参数、创建 ConfirmedPlan、触发仿真验证或写入 OPC-UA。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2.3 执行前仿真验证与独立设备门禁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新参数不会从模型输出直接流向设备。候选先经安全校验，再由工程师确认并冻结为不可变计划；仿真验证先复现导入基线，再在相同隐藏场景、扰动和 seed 下只改变确认参数。设备执行是独立边界，要求仿真验证通过、独立工程师确认和全部门禁再次通过。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2.4 从数据到执行凭证的全链 provenance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数据、规则、模型、标准化器（StandardScaler）、案例索引、方向证据、候选、ConfirmedPlan、仿真验证结果（ReplayResult）与设备执行凭证均绑定版本或 SHA-256。写入开始后如果结果不确定，系统进入 UNKNOWN_OUTCOME，只用同一幂等键做只读核对，不盲目重写，也不根据当前值猜测成功。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3. 具体方案说明（突出AI能力）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3.1 双层 AI 总体架构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上层飞书 Aily 生成式 AI 协作层包含知识空间、知识检索（RAG）、大语言模型（LLM）、工程解释与评委 / 工程问答，负责检索、解释、追溯与问答。下层 TuneWise 确定性工业 AI 核心包含 SPC 异常检测、工程特征提取、AI 根因优先级、历史参考案例检索、安全调参候选生成、参数安全校验、工程师确认、执行前仿真验证与本地模拟设备受控执行。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两层之间传递的是版本化项目知识、固定 Demo 证据与调机过程 Demo 证据，不是实时控制接口。Core 产出固定证据，Aily 只读检索并解释；职责隔离使生成式 AI 的可用性不会扩大参数与设备权限。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2｜TuneWise 双层 AI 架构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2" name="图 2｜TuneWise 双层 AI 架构" descr="图 2｜TuneWise 双层 AI 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ual_layer_ai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图注：Core 产生确定、可审计的决策证据，Aily 只读检索并解释这些证据；Aily 不生成新参数、不创建 ConfirmedPlan、不触发仿真验证，也没有 OPC-UA 写权限。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 TuneWise Core 技术链路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172B4D"/>
          <w:sz w:val="21"/>
        </w:rPr>
        <w:t>完整链路为：版本化 CSV → 数据校验 → SPC 异常检测 → 工程特征提取 → 标准化器（StandardScaler）→ 多分类逻辑回归 → AI 根因优先级 → 历史参考案例检索 → 安全调参候选生成 → 参数安全校验 → 工程师确认 → ConfirmedPlan → 执行前仿真验证 → 本地模拟设备受控执行。调机过程信息首先在“当前适用案例”环节起作用，不进入根因分类器。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3｜TuneWise 核心决策链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3" name="图 3｜TuneWise 核心决策链" descr="图 3｜TuneWise 核心决策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图注：固定工程特征驱动根因排序；当前异常与根因证据再结合调机过程信息，决定当前适用案例。调机过程信息不进入分类器，最终动作仍受参数安全校验与工程师确认约束。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3.2.1 版本化数据、SPC 与工程特征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输入是固定 schema 的 AA 批次 CSV、Dataset Manifest、规则与版本快照。导入同时校验原始文件 SHA-256 和规范化观测 SHA-256；固定 Demo 包含 24 条观测。SPC 使用冻结控制限与持续性规则，把批次路由为 TARGET_ANOMALY、NORMAL、NON_TARGET_GLOBAL_DEGRADATION 或 INSUFFICIENT_DATA，避免单点噪声直接触发诊断。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系统形成 50 个固定批次工程特征，包括中心与四角 MTF、五个参数、振动、重复定位误差、标定残差的均值、标准差与趋势，以及最差角、四角极差、四角标准差、左右差、上下差和对角差等空间特征。哈希证明内容与版本一致，不证明数据来自真实产线。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3.2.2 可解释机器学习根因排序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固定 StandardScaler 与 multinomial logistic regression 对五类候选根因排序：PLANE_TILT、XY_DECENTER、PLATFORM_INSTABILITY、REFERENCE_DRIFT、Z_DEFOCUS_CONDITIONAL；Z 类还受额外硬门控。模型输出稳定 Top-3、raw logit、主要 logit contribution 与 normalized_score。</w:t>
      </w:r>
    </w:p>
    <w:tbl>
      <w:tblPr>
        <w:tblW w:type="dxa" w:w="9723"/>
        <w:jc w:val="center"/>
        <w:tblBorders>
          <w:top w:val="single" w:sz="7" w:space="0" w:color="9BB0DE"/>
          <w:left w:val="single" w:sz="7" w:space="0" w:color="9BB0DE"/>
          <w:bottom w:val="single" w:sz="7" w:space="0" w:color="9BB0DE"/>
          <w:right w:val="single" w:sz="7" w:space="0" w:color="9BB0DE"/>
          <w:insideH w:val="single" w:sz="7" w:space="0" w:color="9BB0DE"/>
          <w:insideV w:val="single" w:sz="7" w:space="0" w:color="9BB0DE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EAF0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Score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normalized_score 是当前可见候选根因的 relative ranking score，不是经真实产线故障频率校准的 calibrated fault probability，也不是现场发生率或真实置信度。logit contribution 只表示标准化特征对当前类别 raw logit 的贡献，不代表因果贡献。</w:t>
            </w:r>
          </w:p>
        </w:tc>
      </w:tr>
    </w:tbl>
    <w:p>
      <w:pPr>
        <w:pStyle w:val="SmallText"/>
        <w:spacing w:after="0"/>
      </w:pP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3.2.3 调机过程信息与 APPROVED-only 历史参考案例检索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历史参考案例检索对当前任务重新计算 50 维查询特征，并核对产品、工站、schema、特征定义与检索规则兼容性；随后在独立标准化器下以标准化欧氏距离排序。索引中的 60 个 APPROVED 案例来自合成开发训练分区，每类根因 12 个。APPROVED 只表示通过项目内版本化索引准入，不代表专家 Ground Truth、企业内部案例或真实生产验证；历史动作也不会被直接复制为当前参数。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系统新增“调机过程信息”，包括当前调机阶段、上一步调整和上一步调整结果。它与当前异常及根因证据共同确定当前适用案例，继而影响案例参考方案（CASE_GUIDED）的支持证据。调机过程信息不进入 Logistic Regression classifier，不修改 StandardScaler，不改变 Root Cause Top-3 算法，也不直接计算参数值；真实运行 A/B 画面集中在 3.6 节展示。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3.3 安全参数决策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参数方向来自冻结工程规则，不来自 LLM，也不由案例投票决定。固定 Demo 中，PLANE_TILT 的 pitch 使用 top_bottom_difference；该特征为正，当前 pitch 高于标称值，因此安全方向为 DECREASE。roll 对应的 left_right_difference 低于最小空间支持阈值，状态为 INSUFFICIENT_SUPPORT，不生成 roll 候选。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幅值有三种已实现策略：保守调整方案（CONSERVATIVE）固定 1 tick，标准调整方案（STANDARD）固定 2 ticks，案例参考方案（CASE_GUIDED）使用当前适用 APPROVED 案例中方向一致且历史安全通过动作的 tick 绝对值中位数。一个 tick 为 0.050000 normalized prototype unit。所有候选都经过同一个服务端参数安全校验器，检查范围、网格、非零变化、最大变化、参数族、方向、标称值、版本与 candidate hash。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工程师只选择服务端已有且 PASSED 的候选，前端不能覆盖参数。服务端复核候选、规则与哈希后形成状态为 VALID 的不可变 ConfirmedPlan；上游内容变化会使其 STALE，阻断仿真验证与设备执行。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4｜安全调参决策流程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4" name="图 4｜安全调参决策流程" descr="图 4｜安全调参决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fe_parameter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图注：三个候选均通过统一参数安全校验，最终由工程师确认（AA_PROCESS_ENGINEER）选择保守调整方案 pitch -1 tick；该方案使用固定规则幅值，不依赖案例幅值。证据不足的 roll 轴没有候选。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3.4 执行前仿真验证与 OPC-UA 工业安全门禁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172B4D"/>
          <w:sz w:val="21"/>
        </w:rPr>
        <w:t>安全链为：已确认调参方案 → 状态检查 → 安全复核 → 基线复现 → 调参方案仿真 → 仿真验证结果 → 设备执行资格检查 → 本地模拟设备执行。执行前仿真验证只接受服务端保存且仍为 VALID 的 ConfirmedPlan；基线与调参方案共享 simulator、固定 seed、固定 disturbance、样本数、时间序列、schema 与版本，唯一允许变化的是已确认参数。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设备执行默认关闭，只能在显式 OPCUA_SANDBOX 模式下连接固定 loopback endpoint，并重新检查计划 freshness、仿真验证绑定、参数安全、设备身份、映射、单位、访问能力与设备健康。仿真验证通过只解锁执行资格检查，不会自动写入；写入结果不确定时进入 UNKNOWN_OUTCOME，只按同一幂等键做只读核对，不盲目重试。</w:t>
      </w:r>
    </w:p>
    <w:tbl>
      <w:tblPr>
        <w:tblW w:type="dxa" w:w="9723"/>
        <w:jc w:val="center"/>
        <w:tblBorders>
          <w:top w:val="single" w:sz="7" w:space="0" w:color="E6BE83"/>
          <w:left w:val="single" w:sz="7" w:space="0" w:color="E6BE83"/>
          <w:bottom w:val="single" w:sz="7" w:space="0" w:color="E6BE83"/>
          <w:right w:val="single" w:sz="7" w:space="0" w:color="E6BE83"/>
          <w:insideH w:val="single" w:sz="7" w:space="0" w:color="E6BE83"/>
          <w:insideV w:val="single" w:sz="7" w:space="0" w:color="E6BE83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FF2DE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D97706"/>
                <w:sz w:val="19"/>
              </w:rPr>
              <w:t>仿真验证 / OPC-UA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仿真验证通过只表示当前固定 simulator、seed、disturbance 和评价规则下，确认方案满足预设条件；不代表真实设备有效、良率提升、参数最优、生产收益或真实因果证明。当前 OPC-UA 仅为 127.0.0.1 loopback 的 LOCAL_OPCUA_SANDBOX；项目未接真实光学设备或生产线，也未完成真实 PLC 联锁、证书身份或现场安全认证。</w:t>
            </w:r>
          </w:p>
        </w:tc>
      </w:tr>
    </w:tbl>
    <w:p>
      <w:pPr>
        <w:pStyle w:val="SmallText"/>
        <w:spacing w:after="0"/>
      </w:pP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3.5 固定 Demo 完整证据链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 身份为 Task tw-demo-task-001，预置资产 tw-aa-demo-v1，Batch tw-aa-demo-batch-001，Station AA，产品型号 TW-AA-PROTOTYPE-V1，共 24 条规则约束的合成 AA 原型观测。下表事实由当前仓库资产与完整 API 链再次核实。</w:t>
      </w:r>
    </w:p>
    <w:tbl>
      <w:tblPr>
        <w:tblW w:type="dxa" w:w="9723"/>
        <w:jc w:val="center"/>
        <w:tblBorders>
          <w:top w:val="single" w:sz="6" w:space="0" w:color="BFCBE0"/>
          <w:left w:val="single" w:sz="6" w:space="0" w:color="BFCBE0"/>
          <w:bottom w:val="single" w:sz="6" w:space="0" w:color="BFCBE0"/>
          <w:right w:val="single" w:sz="6" w:space="0" w:color="BFCBE0"/>
          <w:insideH w:val="single" w:sz="6" w:space="0" w:color="BFCBE0"/>
          <w:insideV w:val="single" w:sz="6" w:space="0" w:color="BFCBE0"/>
        </w:tblBorders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1276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535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固定证据</w:t>
            </w:r>
          </w:p>
        </w:tc>
        <w:tc>
          <w:tcPr>
            <w:tcW w:type="dxa" w:w="3912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事实边界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异常检测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TARGET_ANOMALY；24/24 持续违反路由信号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版本化 SPC，不是真实产线故障结论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诊断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PLANE_TILT；normalized_score 0.997781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相对排序分数，不是 99.7781% 故障概率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根因 Top-3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PLANE_TILT → XY_DECENTER → REFERENCE_DRIFT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候选优先级，不证明真实因果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调参候选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pitch 0.250000 → 0.200000；保守调整方案（CONSERVATIVE）；-1 tick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固定规则候选，不是最优参数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安全校验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Candidate PASSED；roll INSUFFICIENT_SUPPORT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只保留具备方向证据的单轴候选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工程师确认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AA_PROCESS_ENGINEER；ConfirmedPlan VALID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固定演示身份，不映射真实企业授权体系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仿真验证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基线复现 PASSED；SUCCESS；attempt 1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固定版本确定性模拟环境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受控执行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LOCAL_OPCUA_SANDBOX；SUCCEEDED；readback 0.200000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本地 loopback 模拟设备，不是真实设备</w:t>
            </w:r>
          </w:p>
        </w:tc>
      </w:tr>
    </w:tbl>
    <w:p>
      <w:pPr>
        <w:pStyle w:val="SmallText"/>
        <w:spacing w:after="20"/>
      </w:pP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同一规划结果还生成标准调整方案（STANDARD：pitch 0.250000 → 0.150000，-2 ticks）与案例参考方案（CASE_GUIDED：pitch 0.250000 → 0.100000，-3 ticks），二者均 PASSED，但本次 ConfirmedPlan 仅选择保守调整方案。保守方案的幅值来自固定 1 tick 规则，不依赖案例幅值；案例参考方案的 -3 ticks 才使用当前适用 APPROVED 案例的中位数证据。</w:t>
      </w:r>
    </w:p>
    <w:tbl>
      <w:tblPr>
        <w:tblW w:type="dxa" w:w="9723"/>
        <w:jc w:val="center"/>
        <w:tblBorders>
          <w:top w:val="single" w:sz="7" w:space="0" w:color="B8C7F0"/>
          <w:left w:val="single" w:sz="7" w:space="0" w:color="B8C7F0"/>
          <w:bottom w:val="single" w:sz="7" w:space="0" w:color="B8C7F0"/>
          <w:right w:val="single" w:sz="7" w:space="0" w:color="B8C7F0"/>
          <w:insideH w:val="single" w:sz="7" w:space="0" w:color="B8C7F0"/>
          <w:insideV w:val="single" w:sz="7" w:space="0" w:color="B8C7F0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EAF0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固定模拟指标（非生产 KPI）：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基线 → 调参方案仿真：中心 MTF 均值 0.831003 → 0.832128；最差角点 MTF 0.567683 → 0.651478；四角极差 0.184837 → 0.102292；四角标准差 0.071709 → 0.042654；控制限检查 false → true；目标异常触发 true → false。以上只属于当前固定模拟条件。</w:t>
            </w:r>
          </w:p>
        </w:tc>
      </w:tr>
    </w:tbl>
    <w:p>
      <w:pPr>
        <w:pStyle w:val="SmallText"/>
        <w:spacing w:after="0"/>
      </w:pP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5｜Fixed Demo 真实运行界面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5" name="图 5｜Fixed Demo 真实运行界面" descr="图 5｜Fixed Demo 真实运行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lay_opcua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图注：tw-demo-task-001 从异常诊断、调参候选、工程师确认、执行前仿真验证到本地模拟设备执行的真实运行画面。软件真实运行不等于真实生产验证：当前证据使用 synthetic fixed dataset 与 LOCAL_OPCUA_SANDBOX，不代表真实生产设备。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3.6 结合调机步骤的决策演示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真实运行的 /process-aware-demo/ A/B 页面使用相同测量数据与相同根因证据，Top-1 均为 PLANE_TILT。A｜初始评估没有上一步调整，当前适用案例为 tw-aa-approved-011，案例参考方案为 pitch -3 ticks；B｜调整后评估记录 pitch 0.250000 → 0.200000 且未观察到显著改善（NO_MATERIAL_IMPROVEMENT），当前适用案例变为 tw-aa-approved-003，案例参考方案变为 pitch -4 ticks。两边的保守调整方案均为 -1 tick、标准调整方案均为 -2 ticks，参数安全校验均为 PASSED。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6｜结合调机步骤的决策演示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6" name="图 6｜结合调机步骤的决策演示" descr="图 6｜结合调机步骤的决策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mo_evidence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图注：两个场景使用相同测量与根因证据；TuneWise 根据不同调机过程信息选择不同的当前适用案例，因此案例参考方案不同。画面来自真实运行软件，但数据是 synthetic process-context fixtures；它只证明确定性的上下文敏感案例选择，不代表舜宇真实 SOP，也不证明真实生产调参准确率。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3.7 飞书 Aily 工程解释工作流（RAG）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Core 的输出包含模型版本、规则、哈希、候选状态、仿真验证检查与设备凭证。Aily 的价值不是替代 Core，而是把分散在项目知识、工程规则、固定 Demo 与调机过程 Demo 证据中的事实变成可对话的解释入口。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应用：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TuneWise；已发布对话应用。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工作流：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Copilot；Start → Knowledge Space Retrieval → LLM → End。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知识空间：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Knowledge；在线知识包（Live Knowledge Pack）：8 / 8。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知识检索（RAG）：</w:t>
      </w:r>
      <w:r>
        <w:rPr>
          <w:rFonts w:ascii="Microsoft YaHei" w:hAnsi="Microsoft YaHei" w:eastAsia="Microsoft YaHei" w:cs="Microsoft YaHei"/>
          <w:color w:val="172B4D"/>
          <w:sz w:val="21"/>
        </w:rPr>
        <w:t>Top K = 5；Threshold Filter = off。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大语言模型（LLM）：</w:t>
      </w:r>
      <w:r>
        <w:rPr>
          <w:rFonts w:ascii="Microsoft YaHei" w:hAnsi="Microsoft YaHei" w:eastAsia="Microsoft YaHei" w:cs="Microsoft YaHei"/>
          <w:color w:val="172B4D"/>
          <w:sz w:val="21"/>
        </w:rPr>
        <w:t>发布时配置为 Doubao-seed-2.0-Pro。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Aily 已在发布应用中完成人工界面 / 对话验收（manual UI / conversational acceptance validation）：在线知识包（Live Knowledge Pack）8 / 8、既有安全硬门禁（Legacy Safety Hard Gates）PASS、调机过程问答（Process-aware QA）PASS、已发布环境（Published Environment）PASS。这些是人工验收记录，不是自动化 benchmark，不代表模型准确率 100%，也不是生产环境验证。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图 7 中的真实 Aily 对话截图是固定 Demo 工程问答，不冒充调机过程 Q5 的 Live 截图；Process-aware QA PASS 来自单独完成的发布环境人工对话验收记录。</w:t>
      </w:r>
    </w:p>
    <w:tbl>
      <w:tblPr>
        <w:tblW w:type="dxa" w:w="9723"/>
        <w:jc w:val="center"/>
        <w:tblBorders>
          <w:top w:val="single" w:sz="7" w:space="0" w:color="C3B8EF"/>
          <w:left w:val="single" w:sz="7" w:space="0" w:color="C3B8EF"/>
          <w:bottom w:val="single" w:sz="7" w:space="0" w:color="C3B8EF"/>
          <w:right w:val="single" w:sz="7" w:space="0" w:color="C3B8EF"/>
          <w:insideH w:val="single" w:sz="7" w:space="0" w:color="C3B8EF"/>
          <w:insideV w:val="single" w:sz="7" w:space="0" w:color="C3B8EF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1EE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6F5CE7"/>
                <w:sz w:val="19"/>
              </w:rPr>
              <w:t>Aily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Aily 只负责知识检索、工程解释、证据追溯与问答，不实时读取 TuneWise 运行状态，不生成或选择参数，不创建或修改 ConfirmedPlan，不触发仿真验证、本地模拟设备执行或 OPC-UA write。Aily 没有控制权限，工程师确认始终属于 TuneWise Core 授权链。</w:t>
            </w:r>
          </w:p>
        </w:tc>
      </w:tr>
    </w:tbl>
    <w:p>
      <w:pPr>
        <w:pStyle w:val="SmallText"/>
        <w:spacing w:after="0"/>
      </w:pP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7｜飞书 Aily 工程解释｜Workflow + 真实问答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7" name="图 7｜飞书 Aily 工程解释｜Workflow + 真实问答" descr="图 7｜飞书 Aily 工程解释｜Workflow + 真实问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ly_rag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图注：左侧为中文版 Workflow，右侧为已人工确认的固定 Demo 真实问答截图；它不是调机过程 Q5 的 Live 截图。Live Knowledge Pack 8 / 8、Legacy Safety Hard Gates、Process-aware QA 与 Published Environment 状态均来自 manual UI / conversational acceptance validation。真实 Aily 截图只证明检索与解释能力，不是设备控制证据；Aily 无参数生成、仿真触发或 OPC-UA 写权限。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3.8 公开真实数据验证边界审查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按照 Coach 建议，我们进一步核验了 Rikkyo University 发布的公开真实光学实验数据 LOROS。该数据属于 slanted-edge 光学测量的真实实验采集，包含可追溯的 MTF、SFR 与处理后 ROI，许可为 CC-BY-4.0；当前正式 record DOI 为 10.5281/zenodo.17493261，配套论文 DOI 为 10.1186/s40645-025-00783-7。它可以证明公开真实光学实验数据存在，以及 provenance、license 与 MTF / SFR 链路可核验。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但 LOROS 不是 AA production data，不能提供 AA 生产身份、x / y / z / pitch / roll 设备状态、调机动作、根因 Ground Truth、参数方向、干预前后结果、调机阶段或生产产出，因此不能支持 TuneWise 当前诊断与荐参合同的真实业务效果验证。</w:t>
      </w:r>
    </w:p>
    <w:tbl>
      <w:tblPr>
        <w:tblW w:type="dxa" w:w="9723"/>
        <w:jc w:val="center"/>
        <w:tblBorders>
          <w:top w:val="single" w:sz="7" w:space="0" w:color="E6BE83"/>
          <w:left w:val="single" w:sz="7" w:space="0" w:color="E6BE83"/>
          <w:bottom w:val="single" w:sz="7" w:space="0" w:color="E6BE83"/>
          <w:right w:val="single" w:sz="7" w:space="0" w:color="E6BE83"/>
          <w:insideH w:val="single" w:sz="7" w:space="0" w:color="E6BE83"/>
          <w:insideV w:val="single" w:sz="7" w:space="0" w:color="E6BE83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FF2DE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D97706"/>
                <w:sz w:val="19"/>
              </w:rPr>
              <w:t>语义映射审查结论：NO-GO：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为避免制造虚假的生产验证，TuneWise 未强行接入 LOROS，也未伪造 PLANE_TILT Ground Truth、把 edge angle 当 pitch、把 Pos 0..5 当空间五点、把 wavelength 当参数、复制中心 MTF 到四角或修改 frozen classifier contract。真实 AA 业务效果继续保留至授权企业数据验证阶段。</w:t>
            </w:r>
          </w:p>
        </w:tc>
      </w:tr>
    </w:tbl>
    <w:p>
      <w:pPr>
        <w:pStyle w:val="SmallText"/>
        <w:spacing w:after="0"/>
      </w:pP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4. 方案价值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4.1 工程效率：减少证据整理路径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把异常指标、根因候选、案例、参数依据、安全检查、确认与结果放在同一任务上下文中，使讨论围绕同一版本证据展开；Aily 进一步把这些证据转成可检索的自然语言解释。实际节省时间仍需在企业只读影子模式（Shadow Mode）中测量。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4.2 调机安全：把“不能继续”变成系统能力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数据不足、不可调根因、方向冲突、越界、离网格、跨标称、计划过期、仿真验证不通过、设备身份或能力不匹配都会阻断后续。设备执行默认关闭，当前只验证本地 sandbox 单参数路径，不能替代真实设备的 PLC 联锁、证书、审批与现场安全制度。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4.3 知识沉淀：保存证据，而不只保存结论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可复用知识应包含异常现象、数据版本、模型与规则、根因排序、调机过程信息、候选依据、确认主体、仿真验证结果与适用条件。当前 APPROVED 案例库是固定合成开发资产；其准入隔离和版本化结构体现“知识必须先审核再复用”的原则。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4.4 可复制性：场景知识与安全骨架分离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根因、特征、方向规则与约束属于具体工艺；版本、哈希、确认、仿真验证、幂等、receipt 与事实边界属于可复用安全骨架。迁移时可以替换场景资产，同时保留证据链和执行门禁思路。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4.5 价值验证：先定义量尺，再讨论收益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进入企业只读影子模式（Shadow Mode）后，工程效率可记录从异常出现到形成完整证据包的耗时、人工检索案例步骤数和证据可理解性评价；安全性可记录 Validator 拒绝的无效候选、过期计划和门禁不满足事件；知识价值可记录证据包完整率、案例准入审核结果与解释一致性；业务结果则由企业在获授权数据上定义质量指标、对照方式和观察周期。当前原型没有目标值，不预先承诺效率提升、成本节省、良率增长或收益金额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5. 方案体验入口 &amp; demo展示视频 【建议包含】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项目代码与工程证据：</w:t>
      </w:r>
      <w:r>
        <w:rPr>
          <w:rFonts w:ascii="Microsoft YaHei" w:hAnsi="Microsoft YaHei" w:eastAsia="Microsoft YaHei" w:cs="Microsoft YaHei"/>
          <w:color w:val="172B4D"/>
          <w:sz w:val="21"/>
        </w:rPr>
        <w:t>https://github.com/gakialter/TuneWise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飞书 Aily：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Copilot 已发布，核心工作流与真实问答效果见上文截图，并已完成发布环境下的人工 UI / conversational acceptance validation。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Demo 展示：</w:t>
      </w:r>
      <w:r>
        <w:rPr>
          <w:rFonts w:ascii="Microsoft YaHei" w:hAnsi="Microsoft YaHei" w:eastAsia="Microsoft YaHei" w:cs="Microsoft YaHei"/>
          <w:color w:val="172B4D"/>
          <w:sz w:val="21"/>
        </w:rPr>
        <w:t>固定 Demo 的异常检测、根因优先级、安全调参候选、工程师确认、仿真验证与本地模拟设备执行结果已在上文通过完整证据链展示；调机过程 A/B Demo 与固定 Demo 明确分离。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三、自由展示区【可选 · 加分项】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8｜验证与证据总结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8" name="图 8｜验证与证据总结" descr="图 8｜验证与证据总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tion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图注：当前工程自动化验证为 Backend 454 / 454 PASS、Frontend 46 / 46 PASS；固定 Demo 与调机过程 Demo 浏览器验证均 PASS。Aily 状态属于人工 UI / 对话验收，公开真实数据审查为 NO-GO，不是验证 PASS。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验证与证据分层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工程自动化验证：</w:t>
      </w:r>
      <w:r>
        <w:rPr>
          <w:rFonts w:ascii="Microsoft YaHei" w:hAnsi="Microsoft YaHei" w:eastAsia="Microsoft YaHei" w:cs="Microsoft YaHei"/>
          <w:color w:val="172B4D"/>
          <w:sz w:val="21"/>
        </w:rPr>
        <w:t>Backend 454 / 454 PASS；Frontend 46 / 46 PASS。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Demo 浏览器验证：</w:t>
      </w:r>
      <w:r>
        <w:rPr>
          <w:rFonts w:ascii="Microsoft YaHei" w:hAnsi="Microsoft YaHei" w:eastAsia="Microsoft YaHei" w:cs="Microsoft YaHei"/>
          <w:color w:val="172B4D"/>
          <w:sz w:val="21"/>
        </w:rPr>
        <w:t>固定 Demo PASS；调机过程 Demo（Process-aware Demo）PASS；桌面 / 移动端 PASS。固定 Demo 的本地模拟设备执行仍为 SUCCEEDED，readback 0.200000。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Aily 人工验收：</w:t>
      </w:r>
      <w:r>
        <w:rPr>
          <w:rFonts w:ascii="Microsoft YaHei" w:hAnsi="Microsoft YaHei" w:eastAsia="Microsoft YaHei" w:cs="Microsoft YaHei"/>
          <w:color w:val="172B4D"/>
          <w:sz w:val="21"/>
        </w:rPr>
        <w:t>在线知识包（Live Knowledge Pack）8 / 8；既有安全硬门禁（Legacy Safety Hard Gates）PASS；调机过程问答（Process-aware QA）PASS；已发布环境（Published Environment）PASS。验证类型为 manual UI / conversational acceptance validation，不是自动化 benchmark。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公开真实数据审查：</w:t>
      </w:r>
      <w:r>
        <w:rPr>
          <w:rFonts w:ascii="Microsoft YaHei" w:hAnsi="Microsoft YaHei" w:eastAsia="Microsoft YaHei" w:cs="Microsoft YaHei"/>
          <w:color w:val="172B4D"/>
          <w:sz w:val="21"/>
        </w:rPr>
        <w:t>LOROS provenance、license、MTF / SFR / ROI 可核验，但与 AA 调机合同存在语义缺口，结论为 NO-GO。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历史自动化快照：</w:t>
      </w:r>
      <w:r>
        <w:rPr>
          <w:rFonts w:ascii="Microsoft YaHei" w:hAnsi="Microsoft YaHei" w:eastAsia="Microsoft YaHei" w:cs="Microsoft YaHei"/>
          <w:color w:val="172B4D"/>
          <w:sz w:val="21"/>
        </w:rPr>
        <w:t>commit 1fdc526cc8794965b6c591a2fa5bc399e50a4e2b 上 433 backend tests、40 frontend tests 与 production build 通过；仅作历史证据，不作为当前主验证数字。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当前原型限制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尚未接入舜宇或其他真实光学产线、真实设备、MES 或 QMS。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尚未完成经授权真实 AA 业务数据验证；当前固定 Demo、调机过程 Demo、模型开发资产与 APPROVED cases 均不是企业真实生产数据。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公开 LOROS 数据审查为 NO-GO / semantic mismatch，不能被写成真实 AA 验证 PASS。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尚未验证真实 PLC/设备联锁、生产证书身份、现场安全协议、真实工艺控制限与物理单位映射。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不支持生产级多参数原子执行、自动回滚或无人值守调机。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尚无经真实业务数据验证的效率、成本、良率或收益 KPI。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三阶段落地路线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1｜只读影子模式（Shadow Mode）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取得授权导出数据，由设备、工艺与数据责任方确认字段语义、单位、设备型号、batch/lot、来源与授权引用。数据只进入 SHADOW_READ_ONLY，先做完整性、质量与离线输出评估，不进入训练集、案例库或设备写入。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2｜工程师决策支持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在真实工程师监督下，对诊断证据、候选合法性与解释质量进行盲评或回顾性验证，建立真实审核协议、拒绝标准与版本管理。系统仍只提供决策支持，由工程师在企业既有流程中执行。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3｜受监督的受控执行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只有设备侧受控 Method、CAS 或 PLC/上位机联锁、身份与证书、审批、回滚、并发所有权、断线恢复和现场安全测试全部获批后，才讨论受监督的真实设备集成。当前项目没有到达该阶段，也不以无人值守自动调机为近期目标。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推广边界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优先适用于多参数耦合但参数空间可明确约束、过程指标可测量、根因候选可结构化、历史案例有适用条件与审核状态、高风险动作保留工程师确认、结果可先在离线或影子环境评估的设备调优问题。方法可优先评估迁移到光学 AA、精密装调及部分参数型工艺优化场景；每次迁移都必须重新建立真实特征、控制限、单位、规则、模型、案例准入与设备安全协议，不能直接复用当前合成参数。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四、附录</w:t>
      </w: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A. 事实边界摘要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TuneWise 是面向 AA 单工站、人在回路的 AI 调机决策支持原型，不代表舜宇真实内部系统。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Demo、调机过程 Demo、模型开发资产与 APPROVED cases 为公开知识和规则约束的合成数据，不是舜宇真实生产数据，也不是专家 Ground Truth。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normalized_score 是 relative ranking score，不是 calibrated fault probability。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仿真验证通过只表示当前固定 simulator、seed、disturbance 和评价规则下满足预设条件，不证明真实良率、生产收益、真实设备效果、真实因果关系或参数最优。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 OPC-UA 通道仅连接本地 loopback sandbox，不代表真实 PLC/设备接入或生产安全认证。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Aily 只负责检索、解释、追溯与问答，不生成参数、不修改 ConfirmedPlan、不触发仿真验证、本地模拟设备执行或 OPC-UA write；工程师确认属于 Core 授权链。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仅用于公开真实数据的语义边界审查，结论为 NO-GO，不等于 AA production data 或真实业务验证。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 V1 未使用 Bridge、MCP、HTTP Connector、Custom Connector、Runtime API 或 Web SDK。</w:t>
      </w:r>
    </w:p>
    <w:tbl>
      <w:tblPr>
        <w:tblW w:type="dxa" w:w="9723"/>
        <w:jc w:val="center"/>
        <w:tblBorders>
          <w:top w:val="single" w:sz="7" w:space="0" w:color="E6AEB2"/>
          <w:left w:val="single" w:sz="7" w:space="0" w:color="E6AEB2"/>
          <w:bottom w:val="single" w:sz="7" w:space="0" w:color="E6AEB2"/>
          <w:right w:val="single" w:sz="7" w:space="0" w:color="E6AEB2"/>
          <w:insideH w:val="single" w:sz="7" w:space="0" w:color="E6AEB2"/>
          <w:insideV w:val="single" w:sz="7" w:space="0" w:color="E6AEB2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DEBEC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73F46"/>
                <w:sz w:val="19"/>
              </w:rPr>
              <w:t>最终事实边界与结论：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项目未接真实光学产线，未完成授权真实 AA 业务数据验证。score、仿真验证、OPC-UA 与 Aily 分别保持“相对排序”“固定模拟环境”“本地 sandbox”“只读检索与解释”的能力边界。TuneWise 的核心价值，是把工业 AI 从“给出答案”推进到“形成一条可验证、可拒绝、可追溯、有人授权的决策链”。</w:t>
            </w:r>
          </w:p>
        </w:tc>
      </w:tr>
    </w:tbl>
    <w:p>
      <w:pPr>
        <w:pStyle w:val="SmallText"/>
        <w:spacing w:after="0"/>
      </w:pP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B. 验证口径说明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当前工程自动化验证：Backend 454 / 454 PASS；Frontend 46 / 46 PASS。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 与调机过程 Demo（Process-aware Demo）浏览器验证均 PASS；只证明本地演示表面行为，不证明真机或生产收益。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历史 433 backend / 40 frontend 只绑定 commit 1fdc526，仅作历史证据。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Aily 的 8 / 8 与三项 PASS 是人工 UI / conversational acceptance validation，不是模型准确率或 automated benchmark。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审查是公开真实数据的语义映射 NO-GO，不是外部验证 PASS。</w:t>
      </w: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C. 必要参考资料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TuneWise 项目代码、版本化工程文档与验证记录：https://github.com/gakialter/TuneWise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飞书 Aily：以项目内已发布应用配置、8 文件知识包与人工验收记录为准。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当前记录 DOI：10.5281/zenodo.17493261；配套论文 DOI：10.1186/s40645-025-00783-7；许可：CC-BY-4.0。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OPC-UA：仅采用 TuneWise 本地 sandbox 的受控 Method、幂等、readback 与 reconciliation 语义，不主张 OPC-UA 协议天然提供 compare-and-set。</w:t>
      </w:r>
    </w:p>
    <w:sectPr>
      <w:footerReference w:type="default" r:id="rId3"/>
      <w:headerReference w:type="default" r:id="rId8"/>
      <w:pgSz w:h="16838" w:w="11906"/>
      <w:pgMar w:top="1049" w:bottom="1049" w:left="1049" w:right="1049" w:header="425" w:footer="425" w:gutter="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center"/>
    </w:pPr>
    <w:r/>
    <w:r>
      <w:rPr>
        <w:rFonts w:ascii="Microsoft YaHei" w:hAnsi="Microsoft YaHei" w:eastAsia="Microsoft YaHei" w:cs="Microsoft YaHei"/>
        <w:color w:val="5D6B82"/>
        <w:sz w:val="17"/>
      </w:rPr>
      <w:t xml:space="preserve">第 </w:t>
    </w:r>
    <w:r>
      <w:rPr>
        <w:rFonts w:ascii="Microsoft YaHei" w:hAnsi="Microsoft YaHei" w:eastAsia="Microsoft YaHei" w:cs="Microsoft YaHei"/>
        <w:color w:val="5D6B82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D6B82"/>
        <w:sz w:val="17"/>
      </w:rPr>
      <w:t xml:space="preserve"> 页</w:t>
    </w:r>
  </w:p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399">
    <w:lvl w:ilvl="0">
      <w:numFmt w:val="bullet"/>
      <w:suff w:val="tab"/>
      <w:lvlText w:val="•"/>
      <w:rPr>
        <w:color w:val="3370ff"/>
      </w:rPr>
    </w:lvl>
  </w:abstractNum>
  <w:abstractNum w:abstractNumId="46400">
    <w:lvl w:ilvl="0">
      <w:numFmt w:val="bullet"/>
      <w:suff w:val="tab"/>
      <w:lvlText w:val="•"/>
      <w:rPr>
        <w:color w:val="3370ff"/>
      </w:rPr>
    </w:lvl>
  </w:abstractNum>
  <w:abstractNum w:abstractNumId="46401">
    <w:lvl w:ilvl="0">
      <w:numFmt w:val="bullet"/>
      <w:suff w:val="tab"/>
      <w:lvlText w:val="•"/>
      <w:rPr>
        <w:color w:val="3370ff"/>
      </w:rPr>
    </w:lvl>
  </w:abstractNum>
  <w:abstractNum w:abstractNumId="46402">
    <w:lvl w:ilvl="0">
      <w:numFmt w:val="bullet"/>
      <w:suff w:val="tab"/>
      <w:lvlText w:val="•"/>
      <w:rPr>
        <w:color w:val="3370ff"/>
      </w:rPr>
    </w:lvl>
  </w:abstractNum>
  <w:abstractNum w:abstractNumId="46403">
    <w:lvl w:ilvl="0">
      <w:numFmt w:val="bullet"/>
      <w:suff w:val="tab"/>
      <w:lvlText w:val="•"/>
      <w:rPr>
        <w:color w:val="3370ff"/>
      </w:rPr>
    </w:lvl>
  </w:abstractNum>
  <w:abstractNum w:abstractNumId="46404">
    <w:lvl w:ilvl="0">
      <w:numFmt w:val="bullet"/>
      <w:suff w:val="tab"/>
      <w:lvlText w:val="•"/>
      <w:rPr>
        <w:color w:val="3370ff"/>
      </w:rPr>
    </w:lvl>
  </w:abstractNum>
  <w:abstractNum w:abstractNumId="46405">
    <w:lvl w:ilvl="0">
      <w:numFmt w:val="bullet"/>
      <w:suff w:val="tab"/>
      <w:lvlText w:val="•"/>
      <w:rPr>
        <w:color w:val="3370ff"/>
      </w:rPr>
    </w:lvl>
  </w:abstractNum>
  <w:abstractNum w:abstractNumId="46406">
    <w:lvl w:ilvl="0">
      <w:numFmt w:val="bullet"/>
      <w:suff w:val="tab"/>
      <w:lvlText w:val="•"/>
      <w:rPr>
        <w:color w:val="3370ff"/>
      </w:rPr>
    </w:lvl>
  </w:abstractNum>
  <w:abstractNum w:abstractNumId="46407">
    <w:lvl w:ilvl="0">
      <w:numFmt w:val="bullet"/>
      <w:suff w:val="tab"/>
      <w:lvlText w:val="•"/>
      <w:rPr>
        <w:color w:val="3370ff"/>
      </w:rPr>
    </w:lvl>
  </w:abstractNum>
  <w:abstractNum w:abstractNumId="46408">
    <w:lvl w:ilvl="0">
      <w:numFmt w:val="bullet"/>
      <w:suff w:val="tab"/>
      <w:lvlText w:val="•"/>
      <w:rPr>
        <w:color w:val="3370ff"/>
      </w:rPr>
    </w:lvl>
  </w:abstractNum>
  <w:abstractNum w:abstractNumId="900">
    <w:multiLevelType w:val="singleLevel"/>
    <w:lvl w:ilvl="0">
      <w:start w:val="1"/>
      <w:numFmt w:val="bullet"/>
      <w:lvlText w:val="•"/>
      <w:lvlJc w:val="left"/>
      <w:pPr>
        <w:tabs>
          <w:tab w:val="num" w:pos="390"/>
        </w:tabs>
        <w:ind w:left="390" w:hanging="210"/>
      </w:pPr>
      <w:rPr>
        <w:rFonts w:ascii="Symbol" w:hAnsi="Symbol"/>
        <w:color w:val="2446A8"/>
      </w:rPr>
    </w:lvl>
  </w:abstractNum>
  <w:num w:numId="1">
    <w:abstractNumId w:val="46399"/>
  </w:num>
  <w:num w:numId="2">
    <w:abstractNumId w:val="46400"/>
  </w:num>
  <w:num w:numId="3">
    <w:abstractNumId w:val="46401"/>
  </w:num>
  <w:num w:numId="4">
    <w:abstractNumId w:val="46402"/>
  </w:num>
  <w:num w:numId="5">
    <w:abstractNumId w:val="46403"/>
  </w:num>
  <w:num w:numId="6">
    <w:abstractNumId w:val="46404"/>
  </w:num>
  <w:num w:numId="7">
    <w:abstractNumId w:val="46405"/>
  </w:num>
  <w:num w:numId="8">
    <w:abstractNumId w:val="46406"/>
  </w:num>
  <w:num w:numId="9">
    <w:abstractNumId w:val="46407"/>
  </w:num>
  <w:num w:numId="10">
    <w:abstractNumId w:val="46408"/>
  </w:num>
  <w:num w:numId="99">
    <w:abstractNumId w:val="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 w:default="1">
    <w:name w:val="Normal"/>
    <w:pPr>
      <w:keepNext w:val="0"/>
      <w:widowControl/>
      <w:spacing w:before="0" w:after="80" w:line="341" w:lineRule="auto"/>
    </w:pPr>
    <w:rPr>
      <w:rFonts w:ascii="Microsoft YaHei" w:hAnsi="Microsoft YaHei" w:eastAsia="Microsoft YaHei" w:cs="Microsoft YaHei"/>
      <w:b w:val="0"/>
      <w:color w:val="172B4D"/>
      <w:sz w:val="21"/>
    </w:rPr>
  </w:style>
  <w:style w:type="paragraph" w:customStyle="1" w:styleId="Title">
    <w:name w:val="Title"/>
    <w:basedOn w:val="Normal"/>
    <w:pPr>
      <w:keepNext/>
      <w:widowControl/>
      <w:spacing w:before="0" w:after="100" w:line="269" w:lineRule="auto"/>
      <w:jc w:val="center"/>
    </w:pPr>
    <w:rPr>
      <w:rFonts w:ascii="Microsoft YaHei" w:hAnsi="Microsoft YaHei" w:eastAsia="Microsoft YaHei" w:cs="Microsoft YaHei"/>
      <w:b/>
      <w:color w:val="10233F"/>
      <w:sz w:val="47"/>
    </w:rPr>
  </w:style>
  <w:style w:type="paragraph" w:customStyle="1" w:styleId="ProjectName">
    <w:name w:val="Project Name"/>
    <w:basedOn w:val="Normal"/>
    <w:pPr>
      <w:keepNext/>
      <w:widowControl/>
      <w:spacing w:before="40" w:after="40" w:line="276" w:lineRule="auto"/>
      <w:jc w:val="center"/>
    </w:pPr>
    <w:rPr>
      <w:rFonts w:ascii="Microsoft YaHei" w:hAnsi="Microsoft YaHei" w:eastAsia="Microsoft YaHei" w:cs="Microsoft YaHei"/>
      <w:b/>
      <w:color w:val="2446A8"/>
      <w:sz w:val="36"/>
    </w:rPr>
  </w:style>
  <w:style w:type="paragraph" w:customStyle="1" w:styleId="Subtitle">
    <w:name w:val="Subtitle"/>
    <w:basedOn w:val="Normal"/>
    <w:pPr>
      <w:keepNext/>
      <w:widowControl/>
      <w:spacing w:before="0" w:after="200" w:line="288" w:lineRule="auto"/>
      <w:jc w:val="center"/>
    </w:pPr>
    <w:rPr>
      <w:rFonts w:ascii="Microsoft YaHei" w:hAnsi="Microsoft YaHei" w:eastAsia="Microsoft YaHei" w:cs="Microsoft YaHei"/>
      <w:b w:val="0"/>
      <w:color w:val="5D6B82"/>
      <w:sz w:val="25"/>
    </w:rPr>
  </w:style>
  <w:style w:type="paragraph" w:customStyle="1" w:styleId="Heading1">
    <w:name w:val="heading 1"/>
    <w:basedOn w:val="Normal"/>
    <w:qFormat/>
    <w:pPr>
      <w:keepNext/>
      <w:widowControl/>
      <w:spacing w:before="280" w:after="160" w:line="276" w:lineRule="auto"/>
      <w:outlineLvl w:val="0"/>
    </w:pPr>
    <w:rPr>
      <w:rFonts w:ascii="Microsoft YaHei" w:hAnsi="Microsoft YaHei" w:eastAsia="Microsoft YaHei" w:cs="Microsoft YaHei"/>
      <w:b/>
      <w:color w:val="10233F"/>
      <w:sz w:val="34"/>
    </w:rPr>
  </w:style>
  <w:style w:type="paragraph" w:customStyle="1" w:styleId="Heading2">
    <w:name w:val="heading 2"/>
    <w:basedOn w:val="Normal"/>
    <w:qFormat/>
    <w:pPr>
      <w:keepNext/>
      <w:widowControl/>
      <w:spacing w:before="220" w:after="120" w:line="288" w:lineRule="auto"/>
      <w:outlineLvl w:val="1"/>
    </w:pPr>
    <w:rPr>
      <w:rFonts w:ascii="Microsoft YaHei" w:hAnsi="Microsoft YaHei" w:eastAsia="Microsoft YaHei" w:cs="Microsoft YaHei"/>
      <w:b/>
      <w:color w:val="2446A8"/>
      <w:sz w:val="28"/>
    </w:rPr>
  </w:style>
  <w:style w:type="paragraph" w:customStyle="1" w:styleId="Heading3">
    <w:name w:val="heading 3"/>
    <w:basedOn w:val="Normal"/>
    <w:qFormat/>
    <w:pPr>
      <w:keepNext/>
      <w:widowControl/>
      <w:spacing w:before="160" w:after="80" w:line="300" w:lineRule="auto"/>
      <w:outlineLvl w:val="2"/>
    </w:pPr>
    <w:rPr>
      <w:rFonts w:ascii="Microsoft YaHei" w:hAnsi="Microsoft YaHei" w:eastAsia="Microsoft YaHei" w:cs="Microsoft YaHei"/>
      <w:b/>
      <w:color w:val="172B4D"/>
      <w:sz w:val="23"/>
    </w:rPr>
  </w:style>
  <w:style w:type="paragraph" w:customStyle="1" w:styleId="FigureTitle">
    <w:name w:val="Figure Title"/>
    <w:basedOn w:val="Normal"/>
    <w:pPr>
      <w:keepNext/>
      <w:widowControl/>
      <w:spacing w:before="160" w:after="80" w:line="288" w:lineRule="auto"/>
      <w:jc w:val="center"/>
    </w:pPr>
    <w:rPr>
      <w:rFonts w:ascii="Microsoft YaHei" w:hAnsi="Microsoft YaHei" w:eastAsia="Microsoft YaHei" w:cs="Microsoft YaHei"/>
      <w:b/>
      <w:color w:val="10233F"/>
      <w:sz w:val="21"/>
    </w:rPr>
  </w:style>
  <w:style w:type="paragraph" w:customStyle="1" w:styleId="Caption">
    <w:name w:val="caption"/>
    <w:basedOn w:val="Normal"/>
    <w:pPr>
      <w:keepNext w:val="0"/>
      <w:widowControl/>
      <w:spacing w:before="0" w:after="140" w:line="300" w:lineRule="auto"/>
      <w:jc w:val="center"/>
    </w:pPr>
    <w:rPr>
      <w:rFonts w:ascii="Microsoft YaHei" w:hAnsi="Microsoft YaHei" w:eastAsia="Microsoft YaHei" w:cs="Microsoft YaHei"/>
      <w:b w:val="0"/>
      <w:color w:val="5D6B82"/>
      <w:sz w:val="18"/>
    </w:rPr>
  </w:style>
  <w:style w:type="paragraph" w:customStyle="1" w:styleId="SmallText">
    <w:name w:val="Small Text"/>
    <w:basedOn w:val="Normal"/>
    <w:pPr>
      <w:keepNext w:val="0"/>
      <w:widowControl/>
      <w:spacing w:before="0" w:after="60" w:line="300" w:lineRule="auto"/>
      <w:jc w:val="left"/>
    </w:pPr>
    <w:rPr>
      <w:rFonts w:ascii="Microsoft YaHei" w:hAnsi="Microsoft YaHei" w:eastAsia="Microsoft YaHei" w:cs="Microsoft YaHei"/>
      <w:b w:val="0"/>
      <w:color w:val="5D6B82"/>
      <w:sz w:val="18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footer" Target="footer1.xml" /><Relationship Id="rId5" Type="http://schemas.openxmlformats.org/officeDocument/2006/relationships/numbering" Target="numbering.xml" /><Relationship Id="rId8" Type="http://schemas.openxmlformats.org/officeDocument/2006/relationships/header" Target="header1.xml" /><Relationship Id="rId9" Type="http://schemas.openxmlformats.org/officeDocument/2006/relationships/image" Target="media/image1.png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2026-08-11T14:21:20Z</dcterms:created>
  <dc:creator>工智跃迁</dc:creator>
  <dc:title>【40强赛】舜宇光学科技🤝工智跃迁｜TuneWise——AA 工站 AI 调机决策支持</dc:title>
  <dc:subject>AI 先锋未来人才大赛 40 强最终参赛方案</dc:subject>
  <cp:keywords>TuneWise, 飞书 Aily, Active Alignment, AI 调机决策支持</cp:keywords>
  <dc:description/>
</cp:coreProperties>
</file>