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49202A">
      <w:pPr>
        <w:pStyle w:val="2"/>
        <w:spacing w:line="579" w:lineRule="exact"/>
        <w:jc w:val="center"/>
        <w:rPr>
          <w:rFonts w:eastAsia="Times New Roman"/>
          <w:sz w:val="44"/>
        </w:rPr>
      </w:pPr>
      <w:r>
        <w:rPr>
          <w:rFonts w:hint="eastAsia" w:eastAsia="方正小标宋简体"/>
          <w:sz w:val="44"/>
        </w:rPr>
        <w:t>电力监控系统网络安全等级保护定级报告</w:t>
      </w:r>
    </w:p>
    <w:p w14:paraId="2363BFA1">
      <w:pPr>
        <w:pStyle w:val="2"/>
        <w:spacing w:line="579" w:lineRule="exact"/>
        <w:rPr>
          <w:rFonts w:eastAsia="Times New Roman"/>
          <w:sz w:val="21"/>
        </w:rPr>
      </w:pPr>
    </w:p>
    <w:p w14:paraId="44BB4B32">
      <w:pPr>
        <w:spacing w:line="579" w:lineRule="exact"/>
        <w:ind w:firstLine="640" w:firstLineChars="200"/>
        <w:rPr>
          <w:rFonts w:eastAsia="Times New Roman"/>
          <w:sz w:val="32"/>
        </w:rPr>
      </w:pPr>
      <w:bookmarkStart w:id="0" w:name="_Toc144109776"/>
      <w:bookmarkEnd w:id="0"/>
      <w:bookmarkStart w:id="1" w:name="_Toc144639195"/>
      <w:bookmarkStart w:id="2" w:name="_Toc118259388"/>
      <w:r>
        <w:rPr>
          <w:rFonts w:hint="eastAsia" w:eastAsia="黑体"/>
          <w:sz w:val="32"/>
        </w:rPr>
        <w:t>一、定级对象描述</w:t>
      </w:r>
    </w:p>
    <w:p w14:paraId="6040907C">
      <w:pPr>
        <w:spacing w:line="579" w:lineRule="exact"/>
        <w:ind w:firstLine="640" w:firstLineChars="200"/>
        <w:rPr>
          <w:rFonts w:eastAsia="Times New Roman"/>
          <w:sz w:val="32"/>
        </w:rPr>
      </w:pPr>
      <w:r>
        <w:rPr>
          <w:rFonts w:hint="eastAsia" w:eastAsia="楷体_GB2312"/>
          <w:sz w:val="32"/>
        </w:rPr>
        <w:t>（一）责任主体</w:t>
      </w:r>
    </w:p>
    <w:p w14:paraId="611C71CD">
      <w:pPr>
        <w:spacing w:line="579" w:lineRule="exact"/>
        <w:ind w:firstLine="560" w:firstLineChars="200"/>
        <w:rPr>
          <w:rFonts w:hint="eastAsia" w:ascii="Times New Roman" w:hAnsi="Times New Roman" w:eastAsia="仿宋_GB2312" w:cs="Times New Roman"/>
          <w:sz w:val="28"/>
        </w:rPr>
      </w:pPr>
      <w:r>
        <w:rPr>
          <w:rFonts w:hint="eastAsia" w:ascii="Times New Roman" w:hAnsi="Times New Roman" w:eastAsia="仿宋_GB2312" w:cs="Times New Roman"/>
          <w:sz w:val="28"/>
        </w:rPr>
        <w:t>电力监控系统于202</w:t>
      </w:r>
      <w:r>
        <w:rPr>
          <w:rFonts w:hint="eastAsia" w:ascii="Times New Roman" w:hAnsi="Times New Roman" w:eastAsia="仿宋_GB2312" w:cs="Times New Roman"/>
          <w:sz w:val="28"/>
          <w:lang w:val="en-US" w:eastAsia="zh-CN"/>
        </w:rPr>
        <w:t>2</w:t>
      </w:r>
      <w:r>
        <w:rPr>
          <w:rFonts w:hint="eastAsia" w:ascii="Times New Roman" w:hAnsi="Times New Roman" w:eastAsia="仿宋_GB2312" w:cs="Times New Roman"/>
          <w:sz w:val="28"/>
        </w:rPr>
        <w:t>年</w:t>
      </w:r>
      <w:r>
        <w:rPr>
          <w:rFonts w:hint="eastAsia" w:ascii="Times New Roman" w:hAnsi="Times New Roman" w:eastAsia="仿宋_GB2312" w:cs="Times New Roman"/>
          <w:sz w:val="28"/>
          <w:lang w:val="en-US" w:eastAsia="zh-CN"/>
        </w:rPr>
        <w:t>12</w:t>
      </w:r>
      <w:r>
        <w:rPr>
          <w:rFonts w:hint="eastAsia" w:ascii="Times New Roman" w:hAnsi="Times New Roman" w:eastAsia="仿宋_GB2312" w:cs="Times New Roman"/>
          <w:sz w:val="28"/>
        </w:rPr>
        <w:t>月由南京南瑞继保电气有限公司负责部署，目前河津国京新能源开发有限公司</w:t>
      </w:r>
      <w:r>
        <w:rPr>
          <w:rFonts w:hint="eastAsia" w:ascii="Times New Roman" w:hAnsi="Times New Roman" w:eastAsia="仿宋_GB2312" w:cs="Times New Roman"/>
          <w:sz w:val="28"/>
          <w:lang w:eastAsia="zh-CN"/>
        </w:rPr>
        <w:t>邵家岭光伏电站</w:t>
      </w:r>
      <w:r>
        <w:rPr>
          <w:rFonts w:hint="eastAsia" w:ascii="Times New Roman" w:hAnsi="Times New Roman" w:eastAsia="仿宋_GB2312" w:cs="Times New Roman"/>
          <w:sz w:val="28"/>
        </w:rPr>
        <w:t>负责运行维护，</w:t>
      </w:r>
      <w:r>
        <w:rPr>
          <w:rFonts w:hint="eastAsia" w:ascii="Times New Roman" w:hAnsi="Times New Roman" w:eastAsia="仿宋_GB2312" w:cs="Times New Roman"/>
          <w:sz w:val="28"/>
          <w:lang w:eastAsia="zh-CN"/>
        </w:rPr>
        <w:t>邵家岭光伏电站</w:t>
      </w:r>
      <w:r>
        <w:rPr>
          <w:rFonts w:hint="eastAsia" w:ascii="Times New Roman" w:hAnsi="Times New Roman" w:eastAsia="仿宋_GB2312" w:cs="Times New Roman"/>
          <w:sz w:val="28"/>
        </w:rPr>
        <w:t>是该系统的安全主管部门，河津国京新能源开发有限公司为该系统的定级责任单位，承担系统的网络安全和数据安全保护责任。</w:t>
      </w:r>
    </w:p>
    <w:p w14:paraId="4CD7DD2C">
      <w:pPr>
        <w:spacing w:line="579" w:lineRule="exact"/>
        <w:ind w:firstLine="640" w:firstLineChars="200"/>
        <w:rPr>
          <w:rFonts w:eastAsia="Times New Roman"/>
          <w:sz w:val="32"/>
        </w:rPr>
      </w:pPr>
      <w:r>
        <w:rPr>
          <w:rFonts w:hint="eastAsia" w:eastAsia="楷体_GB2312"/>
          <w:sz w:val="32"/>
        </w:rPr>
        <w:t>（二）定级对象构成</w:t>
      </w:r>
    </w:p>
    <w:p w14:paraId="65738CA2">
      <w:pPr>
        <w:spacing w:line="579" w:lineRule="exact"/>
        <w:ind w:firstLine="560" w:firstLineChars="200"/>
        <w:rPr>
          <w:rFonts w:hint="eastAsia" w:ascii="Times New Roman" w:hAnsi="Times New Roman" w:eastAsia="仿宋_GB2312" w:cs="Times New Roman"/>
          <w:sz w:val="28"/>
        </w:rPr>
      </w:pPr>
      <w:r>
        <w:rPr>
          <w:rFonts w:hint="eastAsia" w:ascii="Times New Roman" w:hAnsi="Times New Roman" w:eastAsia="仿宋_GB2312" w:cs="Times New Roman"/>
          <w:sz w:val="28"/>
        </w:rPr>
        <w:t>河津国京新能源开发有限公司安全防护的总体原则为“安全分区、网络专用、横向隔离、纵向认证”。</w:t>
      </w:r>
    </w:p>
    <w:p w14:paraId="39B4A6D9">
      <w:pPr>
        <w:spacing w:line="579" w:lineRule="exact"/>
        <w:ind w:firstLine="560" w:firstLineChars="200"/>
        <w:rPr>
          <w:rFonts w:hint="eastAsia" w:ascii="Times New Roman" w:hAnsi="Times New Roman" w:eastAsia="仿宋_GB2312" w:cs="Times New Roman"/>
          <w:sz w:val="28"/>
        </w:rPr>
      </w:pPr>
      <w:r>
        <w:rPr>
          <w:rFonts w:hint="eastAsia" w:ascii="Times New Roman" w:hAnsi="Times New Roman" w:eastAsia="仿宋_GB2312" w:cs="Times New Roman"/>
          <w:sz w:val="28"/>
        </w:rPr>
        <w:t>电力监控系统根据业务的重要性分为生产控制大区和管理信息大区。其中生产控制大区分为控制区（又称安全区I）和非控制区（又称安全区II），管理信息大区包括安全区III、安全区IV。河津国京新能源开发有限公司具有1套监控设备，电力监控系统均使用独立的网络设备组网，在物理层面上实现与其他网络的安全隔离。</w:t>
      </w:r>
    </w:p>
    <w:p w14:paraId="2316A770">
      <w:pPr>
        <w:spacing w:line="579" w:lineRule="exact"/>
        <w:ind w:firstLine="560" w:firstLineChars="200"/>
        <w:rPr>
          <w:rFonts w:hint="eastAsia" w:ascii="Times New Roman" w:hAnsi="Times New Roman" w:eastAsia="仿宋_GB2312" w:cs="Times New Roman"/>
          <w:sz w:val="28"/>
        </w:rPr>
      </w:pPr>
      <w:r>
        <w:rPr>
          <w:rFonts w:hint="eastAsia" w:ascii="Times New Roman" w:hAnsi="Times New Roman" w:eastAsia="仿宋_GB2312" w:cs="Times New Roman"/>
          <w:sz w:val="28"/>
        </w:rPr>
        <w:t>电力监控系统主要部署在安全区I、安全区II。区域边界部署有防火墙，不仅实现系统边界的划分，也通过加密装置实现双向身份认证、数据加密和访问控制，且采取严格的接入控制措施，仅有经过授权的节点才被允许接入网站，保证了业务系统接入的可信性。气象服务器与互联网之间部署有防火墙，可实现对网络攻击、入侵的监测和隔离，保障系统运行时的稳定与业务数据的安全。</w:t>
      </w:r>
    </w:p>
    <w:p w14:paraId="104CB4FB">
      <w:pPr>
        <w:spacing w:line="579" w:lineRule="exact"/>
        <w:ind w:firstLine="560" w:firstLineChars="200"/>
        <w:rPr>
          <w:rFonts w:eastAsia="Times New Roman"/>
          <w:sz w:val="32"/>
        </w:rPr>
      </w:pPr>
      <w:r>
        <w:rPr>
          <w:rFonts w:hint="eastAsia" w:ascii="Times New Roman" w:hAnsi="Times New Roman" w:eastAsia="仿宋_GB2312" w:cs="Times New Roman"/>
          <w:sz w:val="28"/>
        </w:rPr>
        <w:t>该信息系统服务于该单位内部，业务主要包含：该系统为光伏发电系统，系统可以实现数据合理性检查、异常数据分析、事件分类等，能够灵活设定历史数据存储周期，具备事故告警和预告告警功能。事故告警信息包括非正常操作引起的断路器跳闸和保护动作信号，预告告警信息包括设备变位、状态异常信息；可动态显示系统采集的开关量和模拟量、系统计算量和设备技术参数，这些功能都保证了系统的完全可靠和稳定运行。</w:t>
      </w:r>
    </w:p>
    <w:p w14:paraId="69C7CC69">
      <w:r>
        <w:drawing>
          <wp:inline distT="0" distB="0" distL="0" distR="0">
            <wp:extent cx="5029200" cy="2339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2340372"/>
                    </a:xfrm>
                    <a:prstGeom prst="rect">
                      <a:avLst/>
                    </a:prstGeom>
                  </pic:spPr>
                </pic:pic>
              </a:graphicData>
            </a:graphic>
          </wp:inline>
        </w:drawing>
      </w:r>
    </w:p>
    <w:p w14:paraId="30F9C012">
      <w:pPr>
        <w:spacing w:line="579" w:lineRule="exact"/>
        <w:ind w:firstLine="640" w:firstLineChars="200"/>
        <w:rPr>
          <w:rFonts w:eastAsia="Times New Roman"/>
          <w:sz w:val="32"/>
        </w:rPr>
      </w:pPr>
      <w:r>
        <w:rPr>
          <w:rFonts w:hint="eastAsia" w:eastAsia="楷体_GB2312"/>
          <w:sz w:val="32"/>
        </w:rPr>
        <w:t>（三）承载业务</w:t>
      </w:r>
    </w:p>
    <w:p w14:paraId="784A49E7">
      <w:pPr>
        <w:spacing w:line="579" w:lineRule="exact"/>
        <w:ind w:firstLine="560" w:firstLineChars="200"/>
        <w:rPr>
          <w:rFonts w:hint="eastAsia" w:ascii="Times New Roman" w:hAnsi="Times New Roman" w:eastAsia="仿宋_GB2312" w:cs="Times New Roman"/>
          <w:sz w:val="28"/>
        </w:rPr>
      </w:pPr>
      <w:r>
        <w:rPr>
          <w:rFonts w:hint="eastAsia" w:ascii="Times New Roman" w:hAnsi="Times New Roman" w:eastAsia="仿宋_GB2312" w:cs="Times New Roman"/>
          <w:sz w:val="28"/>
        </w:rPr>
        <w:t>电力监控系统是计算机及其相关的和配套的设备、设施构成的，是按照一定的应用目标和规则对生产产区一些设备的运行情况进行数据采集、加工、存储、传输、检索等处理的系统。</w:t>
      </w:r>
    </w:p>
    <w:p w14:paraId="5F1BFB93">
      <w:pPr>
        <w:spacing w:line="579" w:lineRule="exact"/>
        <w:ind w:firstLine="640" w:firstLineChars="200"/>
        <w:rPr>
          <w:rFonts w:hint="eastAsia" w:eastAsia="楷体_GB2312"/>
          <w:sz w:val="32"/>
        </w:rPr>
      </w:pPr>
      <w:r>
        <w:rPr>
          <w:rFonts w:hint="eastAsia" w:eastAsia="楷体_GB2312"/>
          <w:sz w:val="32"/>
        </w:rPr>
        <w:t>（四）承载数据</w:t>
      </w:r>
    </w:p>
    <w:p w14:paraId="1E413A7C">
      <w:pPr>
        <w:spacing w:line="579" w:lineRule="exact"/>
        <w:ind w:firstLine="560" w:firstLineChars="200"/>
        <w:rPr>
          <w:rFonts w:hint="eastAsia"/>
        </w:rPr>
      </w:pPr>
      <w:r>
        <w:rPr>
          <w:rFonts w:hint="eastAsia" w:eastAsia="仿宋_GB2312"/>
          <w:sz w:val="28"/>
        </w:rPr>
        <w:t>该定级对象承载的数据主要为升压站监控数据，包括主变保护数据、线路保护数据、远动通信数据、站内设备运行参数等，系统所涉及数据均为一般数据，无重要数据和核心数据。</w:t>
      </w:r>
    </w:p>
    <w:p w14:paraId="55021B2D">
      <w:pPr>
        <w:spacing w:line="579" w:lineRule="exact"/>
        <w:ind w:firstLine="640" w:firstLineChars="200"/>
        <w:rPr>
          <w:rFonts w:eastAsia="Times New Roman"/>
          <w:sz w:val="32"/>
        </w:rPr>
      </w:pPr>
      <w:r>
        <w:rPr>
          <w:rFonts w:hint="eastAsia" w:eastAsia="楷体_GB2312"/>
          <w:sz w:val="32"/>
        </w:rPr>
        <w:t>（</w:t>
      </w:r>
      <w:r>
        <w:rPr>
          <w:rFonts w:hint="eastAsia" w:eastAsia="楷体_GB2312"/>
          <w:sz w:val="32"/>
          <w:lang w:val="en-US" w:eastAsia="zh-CN"/>
        </w:rPr>
        <w:t>五</w:t>
      </w:r>
      <w:r>
        <w:rPr>
          <w:rFonts w:hint="eastAsia" w:eastAsia="楷体_GB2312"/>
          <w:sz w:val="32"/>
        </w:rPr>
        <w:t>）安全责任</w:t>
      </w:r>
    </w:p>
    <w:p w14:paraId="4CD97BB7">
      <w:pPr>
        <w:spacing w:line="579" w:lineRule="exact"/>
        <w:ind w:firstLine="560" w:firstLineChars="200"/>
        <w:rPr>
          <w:rFonts w:hint="eastAsia" w:ascii="Times New Roman" w:hAnsi="Times New Roman" w:eastAsia="仿宋_GB2312" w:cs="Times New Roman"/>
          <w:sz w:val="28"/>
        </w:rPr>
      </w:pPr>
      <w:r>
        <w:rPr>
          <w:rFonts w:hint="eastAsia" w:ascii="Times New Roman" w:hAnsi="Times New Roman" w:eastAsia="仿宋_GB2312" w:cs="Times New Roman"/>
          <w:sz w:val="28"/>
        </w:rPr>
        <w:t>按照网络安全法的相关要求，此次备案的电力监控系统的网络安全保护义务由电力监控系统单位履行，日常网络安全工作由我单位电力监控系统部门负责落实，河津国京新能源开发有限公司负责人王兆力（身份证号码：211303199005200439）为直接负责的主管人员。</w:t>
      </w:r>
    </w:p>
    <w:p w14:paraId="4E6C0AAC">
      <w:pPr>
        <w:spacing w:line="579" w:lineRule="exact"/>
        <w:ind w:firstLine="640" w:firstLineChars="200"/>
        <w:rPr>
          <w:rFonts w:eastAsia="Times New Roman"/>
          <w:sz w:val="32"/>
        </w:rPr>
      </w:pPr>
      <w:r>
        <w:rPr>
          <w:rFonts w:hint="eastAsia" w:eastAsia="黑体"/>
          <w:sz w:val="32"/>
        </w:rPr>
        <w:t>二、安全保护等级确定</w:t>
      </w:r>
    </w:p>
    <w:bookmarkEnd w:id="1"/>
    <w:bookmarkEnd w:id="2"/>
    <w:p w14:paraId="21E2579B">
      <w:pPr>
        <w:spacing w:line="579" w:lineRule="exact"/>
        <w:ind w:firstLine="640" w:firstLineChars="200"/>
        <w:rPr>
          <w:rFonts w:eastAsia="Times New Roman"/>
          <w:sz w:val="32"/>
        </w:rPr>
      </w:pPr>
      <w:r>
        <w:rPr>
          <w:rFonts w:hint="eastAsia" w:eastAsia="楷体_GB2312"/>
          <w:sz w:val="32"/>
        </w:rPr>
        <w:t>（一）业务信息安全保护等级的确定</w:t>
      </w:r>
      <w:bookmarkStart w:id="3" w:name="_Toc144639206"/>
    </w:p>
    <w:p w14:paraId="0347971A">
      <w:pPr>
        <w:spacing w:line="579" w:lineRule="exact"/>
        <w:ind w:firstLine="560" w:firstLineChars="200"/>
        <w:rPr>
          <w:rFonts w:eastAsia="Times New Roman"/>
          <w:sz w:val="28"/>
        </w:rPr>
      </w:pPr>
      <w:r>
        <w:rPr>
          <w:rFonts w:hint="eastAsia" w:eastAsia="Times New Roman"/>
          <w:sz w:val="28"/>
        </w:rPr>
        <w:t>1</w:t>
      </w:r>
      <w:r>
        <w:rPr>
          <w:rFonts w:hint="eastAsia" w:eastAsia="仿宋_GB2312"/>
          <w:sz w:val="28"/>
        </w:rPr>
        <w:t>、业务信息</w:t>
      </w:r>
      <w:bookmarkEnd w:id="3"/>
      <w:r>
        <w:rPr>
          <w:rFonts w:hint="eastAsia" w:eastAsia="仿宋_GB2312"/>
          <w:sz w:val="28"/>
        </w:rPr>
        <w:t>描述</w:t>
      </w:r>
    </w:p>
    <w:p w14:paraId="6C7C5FFD">
      <w:pPr>
        <w:pStyle w:val="5"/>
        <w:spacing w:after="0" w:line="579" w:lineRule="exact"/>
        <w:ind w:firstLine="560" w:firstLineChars="200"/>
        <w:rPr>
          <w:rFonts w:hint="eastAsia" w:ascii="仿宋_GB2312" w:eastAsia="仿宋_GB2312"/>
          <w:sz w:val="28"/>
        </w:rPr>
      </w:pPr>
      <w:r>
        <w:rPr>
          <w:rFonts w:ascii="仿宋_GB2312" w:eastAsia="仿宋_GB2312"/>
          <w:sz w:val="28"/>
        </w:rPr>
        <w:t>该定级对象承载的数据主要为升压站监控数据，包括主变保护数据、线路保护数据、远动通信数据、站内设备运行参数等</w:t>
      </w:r>
      <w:r>
        <w:rPr>
          <w:rFonts w:hint="eastAsia" w:ascii="仿宋_GB2312" w:eastAsia="仿宋_GB2312"/>
          <w:sz w:val="28"/>
        </w:rPr>
        <w:t>。</w:t>
      </w:r>
    </w:p>
    <w:p w14:paraId="7A7B58CE">
      <w:pPr>
        <w:spacing w:line="579" w:lineRule="exact"/>
        <w:ind w:firstLine="560" w:firstLineChars="200"/>
        <w:rPr>
          <w:rFonts w:eastAsia="Times New Roman"/>
          <w:sz w:val="28"/>
        </w:rPr>
      </w:pPr>
      <w:r>
        <w:rPr>
          <w:rFonts w:hint="eastAsia" w:eastAsia="Times New Roman"/>
          <w:sz w:val="28"/>
        </w:rPr>
        <w:t>2</w:t>
      </w:r>
      <w:r>
        <w:rPr>
          <w:rFonts w:hint="eastAsia" w:eastAsia="仿宋_GB2312"/>
          <w:sz w:val="28"/>
        </w:rPr>
        <w:t>、业务信息受到破坏时所侵害客体的确定</w:t>
      </w:r>
    </w:p>
    <w:p w14:paraId="690ADD54">
      <w:pPr>
        <w:pStyle w:val="5"/>
        <w:spacing w:after="0" w:line="579" w:lineRule="exact"/>
        <w:ind w:firstLine="560" w:firstLineChars="200"/>
        <w:rPr>
          <w:rFonts w:ascii="仿宋_GB2312" w:eastAsia="仿宋_GB2312"/>
          <w:sz w:val="28"/>
        </w:rPr>
      </w:pPr>
      <w:r>
        <w:rPr>
          <w:rFonts w:ascii="仿宋_GB2312" w:eastAsia="仿宋_GB2312"/>
          <w:sz w:val="28"/>
        </w:rPr>
        <w:t>该业务信息遭到破坏后，所侵害的客体是：公民、法人和其他组织的合法权益。</w:t>
      </w:r>
    </w:p>
    <w:p w14:paraId="60D9E184">
      <w:pPr>
        <w:spacing w:line="579" w:lineRule="exact"/>
        <w:ind w:firstLine="560" w:firstLineChars="200"/>
        <w:rPr>
          <w:rFonts w:eastAsia="Times New Roman"/>
          <w:sz w:val="28"/>
        </w:rPr>
      </w:pPr>
      <w:r>
        <w:rPr>
          <w:rFonts w:hint="eastAsia" w:eastAsia="Times New Roman"/>
          <w:sz w:val="28"/>
        </w:rPr>
        <w:t>3</w:t>
      </w:r>
      <w:r>
        <w:rPr>
          <w:rFonts w:hint="eastAsia" w:eastAsia="仿宋_GB2312"/>
          <w:sz w:val="28"/>
        </w:rPr>
        <w:t>、业务信息受到破坏时对侵害客体的侵害程度的确定</w:t>
      </w:r>
    </w:p>
    <w:p w14:paraId="21AD646A">
      <w:pPr>
        <w:pStyle w:val="5"/>
        <w:spacing w:after="0" w:line="579" w:lineRule="exact"/>
        <w:ind w:firstLine="560" w:firstLineChars="200"/>
        <w:rPr>
          <w:rFonts w:ascii="仿宋_GB2312" w:eastAsia="仿宋_GB2312"/>
          <w:sz w:val="28"/>
        </w:rPr>
      </w:pPr>
      <w:r>
        <w:rPr>
          <w:rFonts w:ascii="仿宋_GB2312" w:eastAsia="仿宋_GB2312"/>
          <w:sz w:val="28"/>
        </w:rPr>
        <w:t>该系统业务信息遭到破坏后，会对公民、法人和其他组织的合法权益造成严重损害。</w:t>
      </w:r>
    </w:p>
    <w:p w14:paraId="13F1F9B9">
      <w:pPr>
        <w:spacing w:line="579" w:lineRule="exact"/>
        <w:ind w:firstLine="560" w:firstLineChars="200"/>
        <w:rPr>
          <w:rFonts w:eastAsia="Times New Roman"/>
          <w:sz w:val="28"/>
        </w:rPr>
      </w:pPr>
      <w:r>
        <w:rPr>
          <w:rFonts w:hint="eastAsia" w:eastAsia="Times New Roman"/>
          <w:sz w:val="28"/>
        </w:rPr>
        <w:t>4</w:t>
      </w:r>
      <w:r>
        <w:rPr>
          <w:rFonts w:hint="eastAsia" w:eastAsia="仿宋_GB2312"/>
          <w:sz w:val="28"/>
        </w:rPr>
        <w:t>、业务信息安全保护等级的确定</w:t>
      </w:r>
    </w:p>
    <w:p w14:paraId="4505DF0F">
      <w:pPr>
        <w:pStyle w:val="5"/>
        <w:spacing w:after="0" w:line="579" w:lineRule="exact"/>
        <w:ind w:firstLine="560" w:firstLineChars="200"/>
        <w:rPr>
          <w:rFonts w:ascii="仿宋_GB2312" w:eastAsia="仿宋_GB2312"/>
          <w:sz w:val="28"/>
        </w:rPr>
      </w:pPr>
      <w:r>
        <w:rPr>
          <w:rFonts w:ascii="仿宋_GB2312" w:eastAsia="仿宋_GB2312"/>
          <w:sz w:val="28"/>
        </w:rPr>
        <w:t>依据业务信息受到破坏时所侵害的客体以及侵害程度，确定业务信息安全保护等级为第二级。</w:t>
      </w:r>
    </w:p>
    <w:p w14:paraId="0D4B2CC7">
      <w:pPr>
        <w:spacing w:line="579" w:lineRule="exact"/>
        <w:ind w:firstLine="480" w:firstLineChars="200"/>
        <w:jc w:val="center"/>
        <w:rPr>
          <w:rFonts w:eastAsia="Times New Roman"/>
          <w:kern w:val="0"/>
          <w:sz w:val="28"/>
        </w:rPr>
      </w:pPr>
      <w:r>
        <w:rPr>
          <w:rFonts w:hint="eastAsia" w:eastAsia="仿宋_GB2312"/>
          <w:kern w:val="0"/>
          <w:sz w:val="24"/>
        </w:rPr>
        <w:t>表一  业务信息安全保护等级矩阵表</w:t>
      </w:r>
    </w:p>
    <w:tbl>
      <w:tblPr>
        <w:tblStyle w:val="19"/>
        <w:tblW w:w="0" w:type="auto"/>
        <w:jc w:val="center"/>
        <w:tblLayout w:type="fixed"/>
        <w:tblCellMar>
          <w:top w:w="0" w:type="dxa"/>
          <w:left w:w="0" w:type="dxa"/>
          <w:bottom w:w="0" w:type="dxa"/>
          <w:right w:w="0" w:type="dxa"/>
        </w:tblCellMar>
      </w:tblPr>
      <w:tblGrid>
        <w:gridCol w:w="3890"/>
        <w:gridCol w:w="1190"/>
        <w:gridCol w:w="1310"/>
        <w:gridCol w:w="1840"/>
      </w:tblGrid>
      <w:tr w14:paraId="655185A7">
        <w:tblPrEx>
          <w:tblCellMar>
            <w:top w:w="0" w:type="dxa"/>
            <w:left w:w="0" w:type="dxa"/>
            <w:bottom w:w="0" w:type="dxa"/>
            <w:right w:w="0" w:type="dxa"/>
          </w:tblCellMar>
        </w:tblPrEx>
        <w:trPr>
          <w:trHeight w:val="463" w:hRule="atLeast"/>
          <w:jc w:val="center"/>
        </w:trPr>
        <w:tc>
          <w:tcPr>
            <w:tcW w:w="3890" w:type="dxa"/>
            <w:vMerge w:val="restart"/>
            <w:tcBorders>
              <w:top w:val="single" w:color="000000" w:sz="4" w:space="0"/>
              <w:left w:val="single" w:color="000000" w:sz="4" w:space="0"/>
              <w:bottom w:val="single" w:color="000000" w:sz="4" w:space="0"/>
              <w:right w:val="single" w:color="000000" w:sz="4" w:space="0"/>
              <w:tl2br w:val="nil"/>
              <w:tr2bl w:val="nil"/>
            </w:tcBorders>
            <w:tcMar>
              <w:top w:w="10" w:type="dxa"/>
              <w:left w:w="10" w:type="dxa"/>
              <w:right w:w="10" w:type="dxa"/>
            </w:tcMar>
            <w:vAlign w:val="center"/>
          </w:tcPr>
          <w:p w14:paraId="1801781B">
            <w:pPr>
              <w:widowControl/>
              <w:snapToGrid w:val="0"/>
              <w:textAlignment w:val="bottom"/>
              <w:rPr>
                <w:rFonts w:eastAsia="Times New Roman"/>
                <w:sz w:val="24"/>
              </w:rPr>
            </w:pPr>
            <w:r>
              <w:rPr>
                <w:rFonts w:hint="eastAsia" w:eastAsia="仿宋_GB2312"/>
                <w:kern w:val="0"/>
                <w:sz w:val="24"/>
              </w:rPr>
              <w:t>业务信息安全被破坏时所侵害的客体</w:t>
            </w:r>
          </w:p>
        </w:tc>
        <w:tc>
          <w:tcPr>
            <w:tcW w:w="4340" w:type="dxa"/>
            <w:gridSpan w:val="3"/>
            <w:tcBorders>
              <w:top w:val="single" w:color="000000" w:sz="4" w:space="0"/>
              <w:left w:val="single" w:color="000000" w:sz="4" w:space="0"/>
              <w:bottom w:val="single" w:color="000000" w:sz="4" w:space="0"/>
              <w:right w:val="single" w:color="000000" w:sz="4" w:space="0"/>
              <w:tl2br w:val="nil"/>
              <w:tr2bl w:val="nil"/>
            </w:tcBorders>
            <w:tcMar>
              <w:top w:w="10" w:type="dxa"/>
              <w:left w:w="10" w:type="dxa"/>
              <w:right w:w="10" w:type="dxa"/>
            </w:tcMar>
            <w:vAlign w:val="bottom"/>
          </w:tcPr>
          <w:p w14:paraId="0B6964ED">
            <w:pPr>
              <w:widowControl/>
              <w:jc w:val="center"/>
              <w:textAlignment w:val="bottom"/>
              <w:rPr>
                <w:rFonts w:eastAsia="Times New Roman"/>
                <w:sz w:val="24"/>
              </w:rPr>
            </w:pPr>
            <w:r>
              <w:rPr>
                <w:rFonts w:hint="eastAsia" w:eastAsia="仿宋_GB2312"/>
                <w:kern w:val="0"/>
                <w:sz w:val="24"/>
              </w:rPr>
              <w:t>对相应客体的侵害程度</w:t>
            </w:r>
          </w:p>
        </w:tc>
      </w:tr>
      <w:tr w14:paraId="65B57A7C">
        <w:tblPrEx>
          <w:tblCellMar>
            <w:top w:w="0" w:type="dxa"/>
            <w:left w:w="0" w:type="dxa"/>
            <w:bottom w:w="0" w:type="dxa"/>
            <w:right w:w="0" w:type="dxa"/>
          </w:tblCellMar>
        </w:tblPrEx>
        <w:trPr>
          <w:trHeight w:val="463" w:hRule="atLeast"/>
          <w:jc w:val="center"/>
        </w:trPr>
        <w:tc>
          <w:tcPr>
            <w:tcW w:w="3890" w:type="dxa"/>
            <w:vMerge w:val="continue"/>
            <w:tcBorders>
              <w:top w:val="single" w:color="000000" w:sz="4" w:space="0"/>
              <w:left w:val="single" w:color="000000" w:sz="4" w:space="0"/>
              <w:bottom w:val="single" w:color="000000" w:sz="4" w:space="0"/>
              <w:right w:val="single" w:color="000000" w:sz="4" w:space="0"/>
              <w:tl2br w:val="nil"/>
              <w:tr2bl w:val="nil"/>
            </w:tcBorders>
            <w:tcMar>
              <w:top w:w="10" w:type="dxa"/>
              <w:left w:w="10" w:type="dxa"/>
              <w:right w:w="10" w:type="dxa"/>
            </w:tcMar>
            <w:vAlign w:val="center"/>
          </w:tcPr>
          <w:p w14:paraId="0381424C">
            <w:pPr>
              <w:snapToGrid w:val="0"/>
              <w:rPr>
                <w:rFonts w:eastAsia="Times New Roman"/>
                <w:sz w:val="24"/>
              </w:rPr>
            </w:pPr>
          </w:p>
        </w:tc>
        <w:tc>
          <w:tcPr>
            <w:tcW w:w="1190" w:type="dxa"/>
            <w:tcBorders>
              <w:top w:val="single" w:color="000000" w:sz="4" w:space="0"/>
              <w:left w:val="single" w:color="000000" w:sz="4" w:space="0"/>
              <w:bottom w:val="single" w:color="000000" w:sz="4" w:space="0"/>
              <w:right w:val="single" w:color="000000" w:sz="4" w:space="0"/>
              <w:tl2br w:val="nil"/>
              <w:tr2bl w:val="nil"/>
            </w:tcBorders>
            <w:shd w:val="clear" w:color="auto" w:fill="auto"/>
            <w:tcMar>
              <w:top w:w="10" w:type="dxa"/>
              <w:left w:w="10" w:type="dxa"/>
              <w:right w:w="10" w:type="dxa"/>
            </w:tcMar>
            <w:vAlign w:val="bottom"/>
          </w:tcPr>
          <w:p w14:paraId="10D8FCEF">
            <w:pPr>
              <w:widowControl/>
              <w:jc w:val="center"/>
              <w:textAlignment w:val="bottom"/>
              <w:rPr>
                <w:rFonts w:eastAsia="Times New Roman"/>
                <w:color w:val="auto"/>
                <w:sz w:val="24"/>
              </w:rPr>
            </w:pPr>
            <w:r>
              <w:rPr>
                <w:rFonts w:hint="eastAsia" w:eastAsia="仿宋_GB2312"/>
                <w:color w:val="auto"/>
                <w:kern w:val="0"/>
                <w:sz w:val="24"/>
              </w:rPr>
              <w:t>一般损害</w:t>
            </w:r>
          </w:p>
        </w:tc>
        <w:tc>
          <w:tcPr>
            <w:tcW w:w="1310" w:type="dxa"/>
            <w:tcBorders>
              <w:top w:val="single" w:color="000000" w:sz="4" w:space="0"/>
              <w:left w:val="single" w:color="000000" w:sz="4" w:space="0"/>
              <w:bottom w:val="single" w:color="000000" w:sz="4" w:space="0"/>
              <w:right w:val="single" w:color="000000" w:sz="4" w:space="0"/>
              <w:tl2br w:val="nil"/>
              <w:tr2bl w:val="nil"/>
            </w:tcBorders>
            <w:shd w:val="clear" w:color="auto" w:fill="A4A4A4" w:themeFill="background1" w:themeFillShade="A5"/>
            <w:tcMar>
              <w:top w:w="10" w:type="dxa"/>
              <w:left w:w="10" w:type="dxa"/>
              <w:right w:w="10" w:type="dxa"/>
            </w:tcMar>
            <w:vAlign w:val="bottom"/>
          </w:tcPr>
          <w:p w14:paraId="6F6C0D73">
            <w:pPr>
              <w:widowControl/>
              <w:jc w:val="center"/>
              <w:textAlignment w:val="bottom"/>
              <w:rPr>
                <w:rFonts w:eastAsia="Times New Roman"/>
                <w:color w:val="auto"/>
                <w:sz w:val="24"/>
              </w:rPr>
            </w:pPr>
            <w:r>
              <w:rPr>
                <w:rFonts w:hint="eastAsia" w:eastAsia="仿宋_GB2312"/>
                <w:color w:val="auto"/>
                <w:kern w:val="0"/>
                <w:sz w:val="24"/>
              </w:rPr>
              <w:t>严重损害</w:t>
            </w:r>
          </w:p>
        </w:tc>
        <w:tc>
          <w:tcPr>
            <w:tcW w:w="1840" w:type="dxa"/>
            <w:tcBorders>
              <w:top w:val="single" w:color="000000" w:sz="4" w:space="0"/>
              <w:left w:val="single" w:color="000000" w:sz="4" w:space="0"/>
              <w:bottom w:val="single" w:color="000000" w:sz="4" w:space="0"/>
              <w:right w:val="single" w:color="000000" w:sz="4" w:space="0"/>
              <w:tl2br w:val="nil"/>
              <w:tr2bl w:val="nil"/>
            </w:tcBorders>
            <w:tcMar>
              <w:top w:w="10" w:type="dxa"/>
              <w:left w:w="10" w:type="dxa"/>
              <w:right w:w="10" w:type="dxa"/>
            </w:tcMar>
            <w:vAlign w:val="bottom"/>
          </w:tcPr>
          <w:p w14:paraId="1F4CF090">
            <w:pPr>
              <w:widowControl/>
              <w:jc w:val="center"/>
              <w:textAlignment w:val="bottom"/>
              <w:rPr>
                <w:rFonts w:eastAsia="Times New Roman"/>
                <w:sz w:val="24"/>
              </w:rPr>
            </w:pPr>
            <w:r>
              <w:rPr>
                <w:rFonts w:hint="eastAsia" w:eastAsia="仿宋_GB2312"/>
                <w:kern w:val="0"/>
                <w:sz w:val="24"/>
              </w:rPr>
              <w:t>特别严重损害</w:t>
            </w:r>
          </w:p>
        </w:tc>
      </w:tr>
      <w:tr w14:paraId="1C4AE568">
        <w:tblPrEx>
          <w:tblCellMar>
            <w:top w:w="0" w:type="dxa"/>
            <w:left w:w="0" w:type="dxa"/>
            <w:bottom w:w="0" w:type="dxa"/>
            <w:right w:w="0" w:type="dxa"/>
          </w:tblCellMar>
        </w:tblPrEx>
        <w:trPr>
          <w:trHeight w:val="463" w:hRule="atLeast"/>
          <w:jc w:val="center"/>
        </w:trPr>
        <w:tc>
          <w:tcPr>
            <w:tcW w:w="3890" w:type="dxa"/>
            <w:tcBorders>
              <w:top w:val="single" w:color="000000" w:sz="4" w:space="0"/>
              <w:left w:val="single" w:color="000000" w:sz="4" w:space="0"/>
              <w:bottom w:val="single" w:color="000000" w:sz="4" w:space="0"/>
              <w:right w:val="single" w:color="000000" w:sz="4" w:space="0"/>
              <w:tl2br w:val="nil"/>
              <w:tr2bl w:val="nil"/>
            </w:tcBorders>
            <w:shd w:val="clear" w:color="auto" w:fill="A4A4A4" w:themeFill="background1" w:themeFillShade="A5"/>
            <w:tcMar>
              <w:top w:w="10" w:type="dxa"/>
              <w:left w:w="10" w:type="dxa"/>
              <w:right w:w="10" w:type="dxa"/>
            </w:tcMar>
            <w:vAlign w:val="center"/>
          </w:tcPr>
          <w:p w14:paraId="7E28CD65">
            <w:pPr>
              <w:widowControl/>
              <w:snapToGrid w:val="0"/>
              <w:textAlignment w:val="bottom"/>
              <w:rPr>
                <w:rFonts w:eastAsia="Times New Roman"/>
                <w:color w:val="auto"/>
                <w:sz w:val="24"/>
              </w:rPr>
            </w:pPr>
            <w:r>
              <w:rPr>
                <w:rFonts w:hint="eastAsia" w:eastAsia="仿宋_GB2312"/>
                <w:color w:val="auto"/>
                <w:kern w:val="0"/>
                <w:sz w:val="24"/>
              </w:rPr>
              <w:t>公民、法人和其他组织的合法权益</w:t>
            </w:r>
          </w:p>
        </w:tc>
        <w:tc>
          <w:tcPr>
            <w:tcW w:w="1190" w:type="dxa"/>
            <w:tcBorders>
              <w:top w:val="single" w:color="000000" w:sz="4" w:space="0"/>
              <w:left w:val="single" w:color="000000" w:sz="4" w:space="0"/>
              <w:bottom w:val="single" w:color="000000" w:sz="4" w:space="0"/>
              <w:right w:val="single" w:color="000000" w:sz="4" w:space="0"/>
              <w:tl2br w:val="nil"/>
              <w:tr2bl w:val="nil"/>
            </w:tcBorders>
            <w:shd w:val="clear" w:color="auto" w:fill="auto"/>
            <w:tcMar>
              <w:top w:w="10" w:type="dxa"/>
              <w:left w:w="10" w:type="dxa"/>
              <w:right w:w="10" w:type="dxa"/>
            </w:tcMar>
            <w:vAlign w:val="bottom"/>
          </w:tcPr>
          <w:p w14:paraId="7E5CA089">
            <w:pPr>
              <w:widowControl/>
              <w:jc w:val="center"/>
              <w:textAlignment w:val="bottom"/>
              <w:rPr>
                <w:rFonts w:eastAsia="Times New Roman"/>
                <w:color w:val="auto"/>
                <w:sz w:val="24"/>
              </w:rPr>
            </w:pPr>
            <w:r>
              <w:rPr>
                <w:rFonts w:hint="eastAsia" w:eastAsia="仿宋_GB2312"/>
                <w:color w:val="auto"/>
                <w:kern w:val="0"/>
                <w:sz w:val="24"/>
              </w:rPr>
              <w:t>第一级</w:t>
            </w:r>
          </w:p>
        </w:tc>
        <w:tc>
          <w:tcPr>
            <w:tcW w:w="1310" w:type="dxa"/>
            <w:tcBorders>
              <w:top w:val="single" w:color="000000" w:sz="4" w:space="0"/>
              <w:left w:val="single" w:color="000000" w:sz="4" w:space="0"/>
              <w:bottom w:val="single" w:color="000000" w:sz="4" w:space="0"/>
              <w:right w:val="single" w:color="000000" w:sz="4" w:space="0"/>
              <w:tl2br w:val="nil"/>
              <w:tr2bl w:val="nil"/>
            </w:tcBorders>
            <w:shd w:val="clear" w:color="auto" w:fill="A4A4A4" w:themeFill="background1" w:themeFillShade="A5"/>
            <w:tcMar>
              <w:top w:w="10" w:type="dxa"/>
              <w:left w:w="10" w:type="dxa"/>
              <w:right w:w="10" w:type="dxa"/>
            </w:tcMar>
            <w:vAlign w:val="bottom"/>
          </w:tcPr>
          <w:p w14:paraId="4287A9EC">
            <w:pPr>
              <w:widowControl/>
              <w:jc w:val="center"/>
              <w:textAlignment w:val="bottom"/>
              <w:rPr>
                <w:rFonts w:eastAsia="Times New Roman"/>
                <w:color w:val="auto"/>
                <w:sz w:val="24"/>
              </w:rPr>
            </w:pPr>
            <w:r>
              <w:rPr>
                <w:rFonts w:hint="eastAsia" w:eastAsia="仿宋_GB2312"/>
                <w:color w:val="auto"/>
                <w:kern w:val="0"/>
                <w:sz w:val="24"/>
              </w:rPr>
              <w:t>第二级</w:t>
            </w:r>
          </w:p>
        </w:tc>
        <w:tc>
          <w:tcPr>
            <w:tcW w:w="1840" w:type="dxa"/>
            <w:tcBorders>
              <w:top w:val="single" w:color="000000" w:sz="4" w:space="0"/>
              <w:left w:val="single" w:color="000000" w:sz="4" w:space="0"/>
              <w:bottom w:val="single" w:color="000000" w:sz="4" w:space="0"/>
              <w:right w:val="single" w:color="000000" w:sz="4" w:space="0"/>
              <w:tl2br w:val="nil"/>
              <w:tr2bl w:val="nil"/>
            </w:tcBorders>
            <w:tcMar>
              <w:top w:w="10" w:type="dxa"/>
              <w:left w:w="10" w:type="dxa"/>
              <w:right w:w="10" w:type="dxa"/>
            </w:tcMar>
            <w:vAlign w:val="bottom"/>
          </w:tcPr>
          <w:p w14:paraId="698E89D7">
            <w:pPr>
              <w:widowControl/>
              <w:jc w:val="center"/>
              <w:textAlignment w:val="bottom"/>
              <w:rPr>
                <w:rFonts w:eastAsia="Times New Roman"/>
                <w:sz w:val="24"/>
              </w:rPr>
            </w:pPr>
            <w:r>
              <w:rPr>
                <w:rFonts w:hint="eastAsia" w:eastAsia="仿宋_GB2312"/>
                <w:kern w:val="0"/>
                <w:sz w:val="24"/>
              </w:rPr>
              <w:t>第二级</w:t>
            </w:r>
          </w:p>
        </w:tc>
      </w:tr>
      <w:tr w14:paraId="263AA725">
        <w:tblPrEx>
          <w:tblCellMar>
            <w:top w:w="0" w:type="dxa"/>
            <w:left w:w="0" w:type="dxa"/>
            <w:bottom w:w="0" w:type="dxa"/>
            <w:right w:w="0" w:type="dxa"/>
          </w:tblCellMar>
        </w:tblPrEx>
        <w:trPr>
          <w:trHeight w:val="463" w:hRule="atLeast"/>
          <w:jc w:val="center"/>
        </w:trPr>
        <w:tc>
          <w:tcPr>
            <w:tcW w:w="3890" w:type="dxa"/>
            <w:tcBorders>
              <w:top w:val="single" w:color="000000" w:sz="4" w:space="0"/>
              <w:left w:val="single" w:color="000000" w:sz="4" w:space="0"/>
              <w:bottom w:val="single" w:color="000000" w:sz="4" w:space="0"/>
              <w:right w:val="single" w:color="000000" w:sz="4" w:space="0"/>
              <w:tl2br w:val="nil"/>
              <w:tr2bl w:val="nil"/>
            </w:tcBorders>
            <w:tcMar>
              <w:top w:w="10" w:type="dxa"/>
              <w:left w:w="10" w:type="dxa"/>
              <w:right w:w="10" w:type="dxa"/>
            </w:tcMar>
            <w:vAlign w:val="center"/>
          </w:tcPr>
          <w:p w14:paraId="004F9AA1">
            <w:pPr>
              <w:widowControl/>
              <w:snapToGrid w:val="0"/>
              <w:textAlignment w:val="bottom"/>
              <w:rPr>
                <w:rFonts w:eastAsia="Times New Roman"/>
                <w:sz w:val="24"/>
              </w:rPr>
            </w:pPr>
            <w:r>
              <w:rPr>
                <w:rFonts w:hint="eastAsia" w:eastAsia="仿宋_GB2312"/>
                <w:kern w:val="0"/>
                <w:sz w:val="24"/>
              </w:rPr>
              <w:t>社会秩序、公共利益</w:t>
            </w:r>
          </w:p>
        </w:tc>
        <w:tc>
          <w:tcPr>
            <w:tcW w:w="1190" w:type="dxa"/>
            <w:tcBorders>
              <w:top w:val="single" w:color="000000" w:sz="4" w:space="0"/>
              <w:left w:val="single" w:color="000000" w:sz="4" w:space="0"/>
              <w:bottom w:val="single" w:color="000000" w:sz="4" w:space="0"/>
              <w:right w:val="single" w:color="000000" w:sz="4" w:space="0"/>
              <w:tl2br w:val="nil"/>
              <w:tr2bl w:val="nil"/>
            </w:tcBorders>
            <w:shd w:val="clear" w:color="auto" w:fill="auto"/>
            <w:tcMar>
              <w:top w:w="10" w:type="dxa"/>
              <w:left w:w="10" w:type="dxa"/>
              <w:right w:w="10" w:type="dxa"/>
            </w:tcMar>
            <w:vAlign w:val="bottom"/>
          </w:tcPr>
          <w:p w14:paraId="08EBCFC9">
            <w:pPr>
              <w:widowControl/>
              <w:jc w:val="center"/>
              <w:textAlignment w:val="bottom"/>
              <w:rPr>
                <w:rFonts w:eastAsia="Times New Roman"/>
                <w:sz w:val="24"/>
              </w:rPr>
            </w:pPr>
            <w:r>
              <w:rPr>
                <w:rFonts w:hint="eastAsia" w:eastAsia="仿宋_GB2312"/>
                <w:kern w:val="0"/>
                <w:sz w:val="24"/>
              </w:rPr>
              <w:t>第二级</w:t>
            </w:r>
          </w:p>
        </w:tc>
        <w:tc>
          <w:tcPr>
            <w:tcW w:w="1310" w:type="dxa"/>
            <w:tcBorders>
              <w:top w:val="single" w:color="000000" w:sz="4" w:space="0"/>
              <w:left w:val="single" w:color="000000" w:sz="4" w:space="0"/>
              <w:bottom w:val="single" w:color="000000" w:sz="4" w:space="0"/>
              <w:right w:val="single" w:color="000000" w:sz="4" w:space="0"/>
              <w:tl2br w:val="nil"/>
              <w:tr2bl w:val="nil"/>
            </w:tcBorders>
            <w:tcMar>
              <w:top w:w="10" w:type="dxa"/>
              <w:left w:w="10" w:type="dxa"/>
              <w:right w:w="10" w:type="dxa"/>
            </w:tcMar>
            <w:vAlign w:val="bottom"/>
          </w:tcPr>
          <w:p w14:paraId="598EF576">
            <w:pPr>
              <w:widowControl/>
              <w:jc w:val="center"/>
              <w:textAlignment w:val="bottom"/>
              <w:rPr>
                <w:rFonts w:eastAsia="Times New Roman"/>
                <w:sz w:val="24"/>
              </w:rPr>
            </w:pPr>
            <w:r>
              <w:rPr>
                <w:rFonts w:hint="eastAsia" w:eastAsia="仿宋_GB2312"/>
                <w:kern w:val="0"/>
                <w:sz w:val="24"/>
              </w:rPr>
              <w:t>第三级</w:t>
            </w:r>
          </w:p>
        </w:tc>
        <w:tc>
          <w:tcPr>
            <w:tcW w:w="1840" w:type="dxa"/>
            <w:tcBorders>
              <w:top w:val="single" w:color="000000" w:sz="4" w:space="0"/>
              <w:left w:val="single" w:color="000000" w:sz="4" w:space="0"/>
              <w:bottom w:val="single" w:color="000000" w:sz="4" w:space="0"/>
              <w:right w:val="single" w:color="000000" w:sz="4" w:space="0"/>
              <w:tl2br w:val="nil"/>
              <w:tr2bl w:val="nil"/>
            </w:tcBorders>
            <w:tcMar>
              <w:top w:w="10" w:type="dxa"/>
              <w:left w:w="10" w:type="dxa"/>
              <w:right w:w="10" w:type="dxa"/>
            </w:tcMar>
            <w:vAlign w:val="bottom"/>
          </w:tcPr>
          <w:p w14:paraId="5C6B94DC">
            <w:pPr>
              <w:widowControl/>
              <w:jc w:val="center"/>
              <w:textAlignment w:val="bottom"/>
              <w:rPr>
                <w:rFonts w:eastAsia="Times New Roman"/>
                <w:sz w:val="24"/>
              </w:rPr>
            </w:pPr>
            <w:r>
              <w:rPr>
                <w:rFonts w:hint="eastAsia" w:eastAsia="仿宋_GB2312"/>
                <w:kern w:val="0"/>
                <w:sz w:val="24"/>
              </w:rPr>
              <w:t>第四级</w:t>
            </w:r>
          </w:p>
        </w:tc>
      </w:tr>
      <w:tr w14:paraId="31CA70E7">
        <w:tblPrEx>
          <w:tblCellMar>
            <w:top w:w="0" w:type="dxa"/>
            <w:left w:w="0" w:type="dxa"/>
            <w:bottom w:w="0" w:type="dxa"/>
            <w:right w:w="0" w:type="dxa"/>
          </w:tblCellMar>
        </w:tblPrEx>
        <w:trPr>
          <w:trHeight w:val="463" w:hRule="atLeast"/>
          <w:jc w:val="center"/>
        </w:trPr>
        <w:tc>
          <w:tcPr>
            <w:tcW w:w="3890" w:type="dxa"/>
            <w:tcBorders>
              <w:top w:val="single" w:color="000000" w:sz="4" w:space="0"/>
              <w:left w:val="single" w:color="000000" w:sz="4" w:space="0"/>
              <w:bottom w:val="single" w:color="000000" w:sz="4" w:space="0"/>
              <w:right w:val="single" w:color="000000" w:sz="4" w:space="0"/>
              <w:tl2br w:val="nil"/>
              <w:tr2bl w:val="nil"/>
            </w:tcBorders>
            <w:tcMar>
              <w:top w:w="10" w:type="dxa"/>
              <w:left w:w="10" w:type="dxa"/>
              <w:right w:w="10" w:type="dxa"/>
            </w:tcMar>
            <w:vAlign w:val="center"/>
          </w:tcPr>
          <w:p w14:paraId="332B0D82">
            <w:pPr>
              <w:widowControl/>
              <w:snapToGrid w:val="0"/>
              <w:textAlignment w:val="bottom"/>
              <w:rPr>
                <w:rFonts w:eastAsia="Times New Roman"/>
                <w:sz w:val="24"/>
              </w:rPr>
            </w:pPr>
            <w:r>
              <w:rPr>
                <w:rFonts w:hint="eastAsia" w:eastAsia="仿宋_GB2312"/>
                <w:kern w:val="0"/>
                <w:sz w:val="24"/>
              </w:rPr>
              <w:t>国家安全或地区安全、国计民生</w:t>
            </w:r>
          </w:p>
        </w:tc>
        <w:tc>
          <w:tcPr>
            <w:tcW w:w="1190" w:type="dxa"/>
            <w:tcBorders>
              <w:top w:val="single" w:color="000000" w:sz="4" w:space="0"/>
              <w:left w:val="single" w:color="000000" w:sz="4" w:space="0"/>
              <w:bottom w:val="single" w:color="000000" w:sz="4" w:space="0"/>
              <w:right w:val="single" w:color="000000" w:sz="4" w:space="0"/>
              <w:tl2br w:val="nil"/>
              <w:tr2bl w:val="nil"/>
            </w:tcBorders>
            <w:tcMar>
              <w:top w:w="10" w:type="dxa"/>
              <w:left w:w="10" w:type="dxa"/>
              <w:right w:w="10" w:type="dxa"/>
            </w:tcMar>
            <w:vAlign w:val="bottom"/>
          </w:tcPr>
          <w:p w14:paraId="15B2109E">
            <w:pPr>
              <w:widowControl/>
              <w:jc w:val="center"/>
              <w:textAlignment w:val="bottom"/>
              <w:rPr>
                <w:rFonts w:eastAsia="Times New Roman"/>
                <w:sz w:val="24"/>
              </w:rPr>
            </w:pPr>
            <w:r>
              <w:rPr>
                <w:rFonts w:hint="eastAsia" w:eastAsia="仿宋_GB2312"/>
                <w:kern w:val="0"/>
                <w:sz w:val="24"/>
              </w:rPr>
              <w:t>第四级</w:t>
            </w:r>
          </w:p>
        </w:tc>
        <w:tc>
          <w:tcPr>
            <w:tcW w:w="1310" w:type="dxa"/>
            <w:tcBorders>
              <w:top w:val="single" w:color="000000" w:sz="4" w:space="0"/>
              <w:left w:val="single" w:color="000000" w:sz="4" w:space="0"/>
              <w:bottom w:val="single" w:color="000000" w:sz="4" w:space="0"/>
              <w:right w:val="single" w:color="000000" w:sz="4" w:space="0"/>
              <w:tl2br w:val="nil"/>
              <w:tr2bl w:val="nil"/>
            </w:tcBorders>
            <w:tcMar>
              <w:top w:w="10" w:type="dxa"/>
              <w:left w:w="10" w:type="dxa"/>
              <w:right w:w="10" w:type="dxa"/>
            </w:tcMar>
            <w:vAlign w:val="bottom"/>
          </w:tcPr>
          <w:p w14:paraId="6B342F73">
            <w:pPr>
              <w:widowControl/>
              <w:jc w:val="center"/>
              <w:textAlignment w:val="bottom"/>
              <w:rPr>
                <w:rFonts w:eastAsia="Times New Roman"/>
                <w:sz w:val="24"/>
              </w:rPr>
            </w:pPr>
            <w:r>
              <w:rPr>
                <w:rFonts w:hint="eastAsia" w:eastAsia="仿宋_GB2312"/>
                <w:kern w:val="0"/>
                <w:sz w:val="24"/>
              </w:rPr>
              <w:t>第五级</w:t>
            </w:r>
          </w:p>
        </w:tc>
        <w:tc>
          <w:tcPr>
            <w:tcW w:w="1840" w:type="dxa"/>
            <w:tcBorders>
              <w:top w:val="single" w:color="000000" w:sz="4" w:space="0"/>
              <w:left w:val="single" w:color="000000" w:sz="4" w:space="0"/>
              <w:bottom w:val="single" w:color="000000" w:sz="4" w:space="0"/>
              <w:right w:val="single" w:color="000000" w:sz="4" w:space="0"/>
              <w:tl2br w:val="nil"/>
              <w:tr2bl w:val="nil"/>
            </w:tcBorders>
            <w:tcMar>
              <w:top w:w="10" w:type="dxa"/>
              <w:left w:w="10" w:type="dxa"/>
              <w:right w:w="10" w:type="dxa"/>
            </w:tcMar>
            <w:vAlign w:val="bottom"/>
          </w:tcPr>
          <w:p w14:paraId="4C0D3581">
            <w:pPr>
              <w:widowControl/>
              <w:jc w:val="center"/>
              <w:textAlignment w:val="bottom"/>
              <w:rPr>
                <w:rFonts w:eastAsia="Times New Roman"/>
                <w:sz w:val="24"/>
              </w:rPr>
            </w:pPr>
            <w:r>
              <w:rPr>
                <w:rFonts w:hint="eastAsia" w:eastAsia="仿宋_GB2312"/>
                <w:kern w:val="0"/>
                <w:sz w:val="24"/>
              </w:rPr>
              <w:t>第五级</w:t>
            </w:r>
          </w:p>
        </w:tc>
      </w:tr>
    </w:tbl>
    <w:p w14:paraId="3E5A1BFE">
      <w:pPr>
        <w:spacing w:line="579" w:lineRule="exact"/>
        <w:ind w:firstLine="640" w:firstLineChars="200"/>
        <w:rPr>
          <w:rFonts w:eastAsia="Times New Roman"/>
          <w:sz w:val="32"/>
        </w:rPr>
      </w:pPr>
      <w:r>
        <w:rPr>
          <w:rFonts w:hint="eastAsia" w:eastAsia="楷体_GB2312"/>
          <w:sz w:val="32"/>
        </w:rPr>
        <w:t>（二）系统服务安全保护等级的确定</w:t>
      </w:r>
    </w:p>
    <w:p w14:paraId="21F0C374">
      <w:pPr>
        <w:spacing w:line="579" w:lineRule="exact"/>
        <w:ind w:firstLine="560" w:firstLineChars="200"/>
        <w:rPr>
          <w:rFonts w:eastAsia="Times New Roman"/>
          <w:sz w:val="28"/>
        </w:rPr>
      </w:pPr>
      <w:r>
        <w:rPr>
          <w:rFonts w:hint="eastAsia" w:eastAsia="Times New Roman"/>
          <w:sz w:val="28"/>
        </w:rPr>
        <w:t>1</w:t>
      </w:r>
      <w:r>
        <w:rPr>
          <w:rFonts w:hint="eastAsia" w:eastAsia="仿宋_GB2312"/>
          <w:sz w:val="28"/>
        </w:rPr>
        <w:t>、系统服务描述</w:t>
      </w:r>
    </w:p>
    <w:p w14:paraId="64CEF301">
      <w:pPr>
        <w:pStyle w:val="5"/>
        <w:spacing w:line="579" w:lineRule="exact"/>
        <w:ind w:firstLine="560" w:firstLineChars="200"/>
        <w:rPr>
          <w:rFonts w:hint="eastAsia" w:eastAsia="仿宋_GB2312"/>
          <w:sz w:val="28"/>
        </w:rPr>
      </w:pPr>
      <w:r>
        <w:rPr>
          <w:rFonts w:hint="eastAsia" w:eastAsia="仿宋_GB2312"/>
          <w:sz w:val="28"/>
        </w:rPr>
        <w:t>该定级对象为电力监控系统，是计算机及其相关的和配套的设备、设施构成的，是按照一定的应用目标和规则对生产产区一些设备的运行情况进行数据采集、加工、存储、传输、检索等处理的系统。</w:t>
      </w:r>
    </w:p>
    <w:p w14:paraId="724D4733">
      <w:pPr>
        <w:pStyle w:val="5"/>
        <w:spacing w:line="579" w:lineRule="exact"/>
        <w:ind w:firstLine="560" w:firstLineChars="200"/>
        <w:rPr>
          <w:rFonts w:hint="eastAsia" w:eastAsia="仿宋_GB2312"/>
          <w:sz w:val="28"/>
        </w:rPr>
      </w:pPr>
      <w:r>
        <w:rPr>
          <w:rFonts w:hint="eastAsia" w:eastAsia="仿宋_GB2312"/>
          <w:sz w:val="28"/>
        </w:rPr>
        <w:t>电力监控系统服务对象为本单位内部办公人员。</w:t>
      </w:r>
    </w:p>
    <w:p w14:paraId="19B16791">
      <w:pPr>
        <w:pStyle w:val="5"/>
        <w:spacing w:line="579" w:lineRule="exact"/>
        <w:ind w:firstLine="560" w:firstLineChars="200"/>
        <w:rPr>
          <w:rFonts w:hint="eastAsia" w:eastAsia="仿宋_GB2312"/>
          <w:sz w:val="28"/>
        </w:rPr>
      </w:pPr>
      <w:r>
        <w:rPr>
          <w:rFonts w:hint="eastAsia" w:eastAsia="仿宋_GB2312"/>
          <w:sz w:val="28"/>
        </w:rPr>
        <w:t>系统服务范围：本单位。</w:t>
      </w:r>
    </w:p>
    <w:p w14:paraId="2C870D5D">
      <w:pPr>
        <w:pStyle w:val="5"/>
        <w:spacing w:line="579" w:lineRule="exact"/>
        <w:ind w:firstLine="560" w:firstLineChars="200"/>
        <w:rPr>
          <w:rFonts w:hint="eastAsia" w:eastAsia="仿宋_GB2312"/>
          <w:sz w:val="28"/>
        </w:rPr>
      </w:pPr>
      <w:r>
        <w:rPr>
          <w:rFonts w:hint="eastAsia" w:eastAsia="仿宋_GB2312"/>
          <w:sz w:val="28"/>
        </w:rPr>
        <w:t>系统服务对象：本单位内部办公人员</w:t>
      </w:r>
      <w:r>
        <w:rPr>
          <w:rFonts w:eastAsia="仿宋_GB2312"/>
          <w:sz w:val="28"/>
        </w:rPr>
        <w:t>。</w:t>
      </w:r>
    </w:p>
    <w:p w14:paraId="5418628E">
      <w:pPr>
        <w:spacing w:line="579" w:lineRule="exact"/>
        <w:ind w:firstLine="560" w:firstLineChars="200"/>
        <w:rPr>
          <w:rFonts w:eastAsia="Times New Roman"/>
          <w:sz w:val="28"/>
        </w:rPr>
      </w:pPr>
      <w:r>
        <w:rPr>
          <w:rFonts w:hint="eastAsia" w:eastAsia="Times New Roman"/>
          <w:sz w:val="28"/>
        </w:rPr>
        <w:t>2</w:t>
      </w:r>
      <w:r>
        <w:rPr>
          <w:rFonts w:hint="eastAsia" w:eastAsia="仿宋_GB2312"/>
          <w:sz w:val="28"/>
        </w:rPr>
        <w:t>、系统服务受到破坏时所侵害客体的确定</w:t>
      </w:r>
    </w:p>
    <w:p w14:paraId="4689BD26">
      <w:pPr>
        <w:pStyle w:val="5"/>
        <w:spacing w:line="579" w:lineRule="exact"/>
        <w:ind w:firstLine="560" w:firstLineChars="200"/>
        <w:rPr>
          <w:rFonts w:eastAsia="仿宋_GB2312"/>
          <w:sz w:val="28"/>
        </w:rPr>
      </w:pPr>
      <w:r>
        <w:rPr>
          <w:rFonts w:eastAsia="仿宋_GB2312"/>
          <w:sz w:val="28"/>
        </w:rPr>
        <w:t>该系统服务遭到破坏后，所侵害的客体是公民、法人和其他组织的合法权益。</w:t>
      </w:r>
    </w:p>
    <w:p w14:paraId="2D2A334C">
      <w:pPr>
        <w:pStyle w:val="5"/>
        <w:spacing w:line="579" w:lineRule="exact"/>
        <w:ind w:firstLine="560" w:firstLineChars="200"/>
        <w:rPr>
          <w:rFonts w:eastAsia="Times New Roman"/>
          <w:sz w:val="28"/>
        </w:rPr>
      </w:pPr>
      <w:r>
        <w:rPr>
          <w:rFonts w:hint="eastAsia" w:eastAsia="仿宋_GB2312"/>
          <w:sz w:val="28"/>
        </w:rPr>
        <w:t>3、系统服务受到破坏时对侵害客体的侵害程度的确定</w:t>
      </w:r>
    </w:p>
    <w:p w14:paraId="46FEB1F1">
      <w:pPr>
        <w:pStyle w:val="5"/>
        <w:spacing w:line="579" w:lineRule="exact"/>
        <w:ind w:firstLine="560" w:firstLineChars="200"/>
        <w:rPr>
          <w:rFonts w:eastAsia="仿宋_GB2312"/>
          <w:sz w:val="28"/>
        </w:rPr>
      </w:pPr>
      <w:r>
        <w:rPr>
          <w:rFonts w:eastAsia="仿宋_GB2312"/>
          <w:sz w:val="28"/>
        </w:rPr>
        <w:t>该系统的系统服务受到破坏后，可能会导致电力监控、数据采集与监控、报警等日常工作不能正常开展，会对公民、法人和其他组织的合法权益造成严重损害。</w:t>
      </w:r>
    </w:p>
    <w:p w14:paraId="33FD4165">
      <w:pPr>
        <w:spacing w:line="579" w:lineRule="exact"/>
        <w:ind w:firstLine="560" w:firstLineChars="200"/>
        <w:rPr>
          <w:rFonts w:eastAsia="Times New Roman"/>
          <w:sz w:val="28"/>
        </w:rPr>
      </w:pPr>
      <w:r>
        <w:rPr>
          <w:rFonts w:hint="eastAsia" w:eastAsia="Times New Roman"/>
          <w:sz w:val="28"/>
        </w:rPr>
        <w:t>4</w:t>
      </w:r>
      <w:r>
        <w:rPr>
          <w:rFonts w:hint="eastAsia" w:eastAsia="仿宋_GB2312"/>
          <w:sz w:val="28"/>
        </w:rPr>
        <w:t>、系统服务安全保护等级的确定</w:t>
      </w:r>
    </w:p>
    <w:p w14:paraId="17290D72">
      <w:pPr>
        <w:pStyle w:val="5"/>
        <w:spacing w:line="579" w:lineRule="exact"/>
        <w:ind w:firstLine="560" w:firstLineChars="200"/>
        <w:rPr>
          <w:rFonts w:hint="eastAsia" w:eastAsia="仿宋_GB2312"/>
          <w:sz w:val="28"/>
        </w:rPr>
      </w:pPr>
      <w:r>
        <w:rPr>
          <w:rFonts w:eastAsia="仿宋_GB2312"/>
          <w:sz w:val="28"/>
        </w:rPr>
        <w:t>依据系统服务受到破坏时所侵害的客体以及侵害程度确定系统服务安全保护等级为第二级。</w:t>
      </w:r>
    </w:p>
    <w:p w14:paraId="62C887C3">
      <w:pPr>
        <w:widowControl/>
        <w:jc w:val="center"/>
        <w:rPr>
          <w:rFonts w:eastAsia="Times New Roman"/>
          <w:kern w:val="0"/>
          <w:sz w:val="24"/>
        </w:rPr>
      </w:pPr>
      <w:r>
        <w:rPr>
          <w:rFonts w:hint="eastAsia" w:eastAsia="仿宋_GB2312"/>
          <w:kern w:val="0"/>
          <w:sz w:val="24"/>
        </w:rPr>
        <w:t>表二 系统服务安全保护等级矩阵表</w:t>
      </w:r>
    </w:p>
    <w:tbl>
      <w:tblPr>
        <w:tblStyle w:val="19"/>
        <w:tblW w:w="0" w:type="auto"/>
        <w:jc w:val="center"/>
        <w:tblLayout w:type="fixed"/>
        <w:tblCellMar>
          <w:top w:w="0" w:type="dxa"/>
          <w:left w:w="0" w:type="dxa"/>
          <w:bottom w:w="0" w:type="dxa"/>
          <w:right w:w="0" w:type="dxa"/>
        </w:tblCellMar>
      </w:tblPr>
      <w:tblGrid>
        <w:gridCol w:w="4220"/>
        <w:gridCol w:w="1140"/>
        <w:gridCol w:w="1140"/>
        <w:gridCol w:w="1700"/>
      </w:tblGrid>
      <w:tr w14:paraId="0D0B4154">
        <w:tblPrEx>
          <w:tblCellMar>
            <w:top w:w="0" w:type="dxa"/>
            <w:left w:w="0" w:type="dxa"/>
            <w:bottom w:w="0" w:type="dxa"/>
            <w:right w:w="0" w:type="dxa"/>
          </w:tblCellMar>
        </w:tblPrEx>
        <w:trPr>
          <w:trHeight w:val="474" w:hRule="atLeast"/>
          <w:jc w:val="center"/>
        </w:trPr>
        <w:tc>
          <w:tcPr>
            <w:tcW w:w="4220" w:type="dxa"/>
            <w:vMerge w:val="restart"/>
            <w:tcBorders>
              <w:top w:val="single" w:color="000000" w:sz="4" w:space="0"/>
              <w:left w:val="single" w:color="000000" w:sz="4" w:space="0"/>
              <w:bottom w:val="single" w:color="000000" w:sz="4" w:space="0"/>
              <w:right w:val="single" w:color="000000" w:sz="4" w:space="0"/>
              <w:tl2br w:val="nil"/>
              <w:tr2bl w:val="nil"/>
            </w:tcBorders>
            <w:tcMar>
              <w:top w:w="10" w:type="dxa"/>
              <w:left w:w="10" w:type="dxa"/>
              <w:right w:w="10" w:type="dxa"/>
            </w:tcMar>
            <w:vAlign w:val="center"/>
          </w:tcPr>
          <w:p w14:paraId="420D2971">
            <w:pPr>
              <w:widowControl/>
              <w:snapToGrid w:val="0"/>
              <w:textAlignment w:val="bottom"/>
              <w:rPr>
                <w:rFonts w:eastAsia="Times New Roman"/>
                <w:kern w:val="0"/>
                <w:sz w:val="24"/>
              </w:rPr>
            </w:pPr>
            <w:r>
              <w:rPr>
                <w:rFonts w:hint="eastAsia" w:eastAsia="仿宋_GB2312"/>
                <w:kern w:val="0"/>
                <w:sz w:val="24"/>
              </w:rPr>
              <w:t>系统服务安全被破坏时所侵害的客体</w:t>
            </w:r>
          </w:p>
        </w:tc>
        <w:tc>
          <w:tcPr>
            <w:tcW w:w="3980" w:type="dxa"/>
            <w:gridSpan w:val="3"/>
            <w:tcBorders>
              <w:top w:val="single" w:color="000000" w:sz="4" w:space="0"/>
              <w:left w:val="single" w:color="000000" w:sz="4" w:space="0"/>
              <w:bottom w:val="single" w:color="000000" w:sz="4" w:space="0"/>
              <w:right w:val="single" w:color="000000" w:sz="4" w:space="0"/>
              <w:tl2br w:val="nil"/>
              <w:tr2bl w:val="nil"/>
            </w:tcBorders>
            <w:tcMar>
              <w:top w:w="10" w:type="dxa"/>
              <w:left w:w="10" w:type="dxa"/>
              <w:right w:w="10" w:type="dxa"/>
            </w:tcMar>
            <w:vAlign w:val="bottom"/>
          </w:tcPr>
          <w:p w14:paraId="0DFBB995">
            <w:pPr>
              <w:widowControl/>
              <w:jc w:val="center"/>
              <w:textAlignment w:val="bottom"/>
              <w:rPr>
                <w:rFonts w:eastAsia="Times New Roman"/>
                <w:sz w:val="24"/>
              </w:rPr>
            </w:pPr>
            <w:r>
              <w:rPr>
                <w:rFonts w:hint="eastAsia" w:eastAsia="仿宋_GB2312"/>
                <w:kern w:val="0"/>
                <w:sz w:val="24"/>
              </w:rPr>
              <w:t>对相应客体的侵害程度</w:t>
            </w:r>
          </w:p>
        </w:tc>
      </w:tr>
      <w:tr w14:paraId="0EC95B9C">
        <w:tblPrEx>
          <w:tblCellMar>
            <w:top w:w="0" w:type="dxa"/>
            <w:left w:w="0" w:type="dxa"/>
            <w:bottom w:w="0" w:type="dxa"/>
            <w:right w:w="0" w:type="dxa"/>
          </w:tblCellMar>
        </w:tblPrEx>
        <w:trPr>
          <w:trHeight w:val="474" w:hRule="atLeast"/>
          <w:jc w:val="center"/>
        </w:trPr>
        <w:tc>
          <w:tcPr>
            <w:tcW w:w="4220" w:type="dxa"/>
            <w:vMerge w:val="continue"/>
            <w:tcBorders>
              <w:top w:val="single" w:color="000000" w:sz="4" w:space="0"/>
              <w:left w:val="single" w:color="000000" w:sz="4" w:space="0"/>
              <w:bottom w:val="single" w:color="000000" w:sz="4" w:space="0"/>
              <w:right w:val="single" w:color="000000" w:sz="4" w:space="0"/>
              <w:tl2br w:val="nil"/>
              <w:tr2bl w:val="nil"/>
            </w:tcBorders>
            <w:tcMar>
              <w:top w:w="10" w:type="dxa"/>
              <w:left w:w="10" w:type="dxa"/>
              <w:right w:w="10" w:type="dxa"/>
            </w:tcMar>
            <w:vAlign w:val="center"/>
          </w:tcPr>
          <w:p w14:paraId="03D5EFD6">
            <w:pPr>
              <w:widowControl/>
              <w:snapToGrid w:val="0"/>
              <w:textAlignment w:val="bottom"/>
              <w:rPr>
                <w:rFonts w:eastAsia="Times New Roman"/>
                <w:kern w:val="0"/>
                <w:sz w:val="24"/>
              </w:rPr>
            </w:pPr>
          </w:p>
        </w:tc>
        <w:tc>
          <w:tcPr>
            <w:tcW w:w="1140" w:type="dxa"/>
            <w:tcBorders>
              <w:top w:val="single" w:color="000000" w:sz="4" w:space="0"/>
              <w:left w:val="single" w:color="000000" w:sz="4" w:space="0"/>
              <w:bottom w:val="single" w:color="000000" w:sz="4" w:space="0"/>
              <w:right w:val="single" w:color="000000" w:sz="4" w:space="0"/>
              <w:tl2br w:val="nil"/>
              <w:tr2bl w:val="nil"/>
            </w:tcBorders>
            <w:shd w:val="clear" w:color="auto" w:fill="auto"/>
            <w:tcMar>
              <w:top w:w="10" w:type="dxa"/>
              <w:left w:w="10" w:type="dxa"/>
              <w:right w:w="10" w:type="dxa"/>
            </w:tcMar>
            <w:vAlign w:val="bottom"/>
          </w:tcPr>
          <w:p w14:paraId="415EA0AF">
            <w:pPr>
              <w:widowControl/>
              <w:jc w:val="center"/>
              <w:textAlignment w:val="bottom"/>
              <w:rPr>
                <w:rFonts w:eastAsia="Times New Roman"/>
                <w:sz w:val="24"/>
              </w:rPr>
            </w:pPr>
            <w:r>
              <w:rPr>
                <w:rFonts w:hint="eastAsia" w:eastAsia="仿宋_GB2312"/>
                <w:kern w:val="0"/>
                <w:sz w:val="24"/>
              </w:rPr>
              <w:t>一般损害</w:t>
            </w:r>
          </w:p>
        </w:tc>
        <w:tc>
          <w:tcPr>
            <w:tcW w:w="1140" w:type="dxa"/>
            <w:tcBorders>
              <w:top w:val="single" w:color="000000" w:sz="4" w:space="0"/>
              <w:left w:val="single" w:color="000000" w:sz="4" w:space="0"/>
              <w:bottom w:val="single" w:color="000000" w:sz="4" w:space="0"/>
              <w:right w:val="single" w:color="000000" w:sz="4" w:space="0"/>
              <w:tl2br w:val="nil"/>
              <w:tr2bl w:val="nil"/>
            </w:tcBorders>
            <w:shd w:val="clear" w:color="auto" w:fill="A4A4A4" w:themeFill="background1" w:themeFillShade="A5"/>
            <w:tcMar>
              <w:top w:w="10" w:type="dxa"/>
              <w:left w:w="10" w:type="dxa"/>
              <w:right w:w="10" w:type="dxa"/>
            </w:tcMar>
            <w:vAlign w:val="bottom"/>
          </w:tcPr>
          <w:p w14:paraId="66473F66">
            <w:pPr>
              <w:widowControl/>
              <w:jc w:val="center"/>
              <w:textAlignment w:val="bottom"/>
              <w:rPr>
                <w:rFonts w:eastAsia="Times New Roman"/>
                <w:color w:val="auto"/>
                <w:sz w:val="24"/>
              </w:rPr>
            </w:pPr>
            <w:r>
              <w:rPr>
                <w:rFonts w:hint="eastAsia" w:eastAsia="仿宋_GB2312"/>
                <w:color w:val="auto"/>
                <w:kern w:val="0"/>
                <w:sz w:val="24"/>
              </w:rPr>
              <w:t>严重损害</w:t>
            </w:r>
          </w:p>
        </w:tc>
        <w:tc>
          <w:tcPr>
            <w:tcW w:w="1700" w:type="dxa"/>
            <w:tcBorders>
              <w:top w:val="single" w:color="000000" w:sz="4" w:space="0"/>
              <w:left w:val="single" w:color="000000" w:sz="4" w:space="0"/>
              <w:bottom w:val="single" w:color="000000" w:sz="4" w:space="0"/>
              <w:right w:val="single" w:color="000000" w:sz="4" w:space="0"/>
              <w:tl2br w:val="nil"/>
              <w:tr2bl w:val="nil"/>
            </w:tcBorders>
            <w:tcMar>
              <w:top w:w="10" w:type="dxa"/>
              <w:left w:w="10" w:type="dxa"/>
              <w:right w:w="10" w:type="dxa"/>
            </w:tcMar>
            <w:vAlign w:val="bottom"/>
          </w:tcPr>
          <w:p w14:paraId="5658267D">
            <w:pPr>
              <w:widowControl/>
              <w:jc w:val="center"/>
              <w:textAlignment w:val="bottom"/>
              <w:rPr>
                <w:rFonts w:eastAsia="Times New Roman"/>
                <w:sz w:val="24"/>
              </w:rPr>
            </w:pPr>
            <w:r>
              <w:rPr>
                <w:rFonts w:hint="eastAsia" w:eastAsia="仿宋_GB2312"/>
                <w:kern w:val="0"/>
                <w:sz w:val="24"/>
              </w:rPr>
              <w:t>特别严重损害</w:t>
            </w:r>
          </w:p>
        </w:tc>
      </w:tr>
      <w:tr w14:paraId="4F76EE9D">
        <w:tblPrEx>
          <w:tblCellMar>
            <w:top w:w="0" w:type="dxa"/>
            <w:left w:w="0" w:type="dxa"/>
            <w:bottom w:w="0" w:type="dxa"/>
            <w:right w:w="0" w:type="dxa"/>
          </w:tblCellMar>
        </w:tblPrEx>
        <w:trPr>
          <w:trHeight w:val="474" w:hRule="atLeast"/>
          <w:jc w:val="center"/>
        </w:trPr>
        <w:tc>
          <w:tcPr>
            <w:tcW w:w="4220" w:type="dxa"/>
            <w:tcBorders>
              <w:top w:val="single" w:color="000000" w:sz="4" w:space="0"/>
              <w:left w:val="single" w:color="000000" w:sz="4" w:space="0"/>
              <w:bottom w:val="single" w:color="000000" w:sz="4" w:space="0"/>
              <w:right w:val="single" w:color="000000" w:sz="4" w:space="0"/>
              <w:tl2br w:val="nil"/>
              <w:tr2bl w:val="nil"/>
            </w:tcBorders>
            <w:shd w:val="clear" w:color="auto" w:fill="A4A4A4" w:themeFill="background1" w:themeFillShade="A5"/>
            <w:tcMar>
              <w:top w:w="10" w:type="dxa"/>
              <w:left w:w="10" w:type="dxa"/>
              <w:right w:w="10" w:type="dxa"/>
            </w:tcMar>
            <w:vAlign w:val="center"/>
          </w:tcPr>
          <w:p w14:paraId="5DCC2D1D">
            <w:pPr>
              <w:widowControl/>
              <w:snapToGrid w:val="0"/>
              <w:textAlignment w:val="bottom"/>
              <w:rPr>
                <w:rFonts w:eastAsia="Times New Roman"/>
                <w:color w:val="auto"/>
                <w:kern w:val="0"/>
                <w:sz w:val="24"/>
              </w:rPr>
            </w:pPr>
            <w:r>
              <w:rPr>
                <w:rFonts w:hint="eastAsia" w:eastAsia="仿宋_GB2312"/>
                <w:color w:val="auto"/>
                <w:kern w:val="0"/>
                <w:sz w:val="24"/>
              </w:rPr>
              <w:t>公民、法人和其他组织的合法权益</w:t>
            </w:r>
          </w:p>
        </w:tc>
        <w:tc>
          <w:tcPr>
            <w:tcW w:w="1140" w:type="dxa"/>
            <w:tcBorders>
              <w:top w:val="single" w:color="000000" w:sz="4" w:space="0"/>
              <w:left w:val="single" w:color="000000" w:sz="4" w:space="0"/>
              <w:bottom w:val="single" w:color="000000" w:sz="4" w:space="0"/>
              <w:right w:val="single" w:color="000000" w:sz="4" w:space="0"/>
              <w:tl2br w:val="nil"/>
              <w:tr2bl w:val="nil"/>
            </w:tcBorders>
            <w:shd w:val="clear" w:color="auto" w:fill="auto"/>
            <w:tcMar>
              <w:top w:w="10" w:type="dxa"/>
              <w:left w:w="10" w:type="dxa"/>
              <w:right w:w="10" w:type="dxa"/>
            </w:tcMar>
            <w:vAlign w:val="bottom"/>
          </w:tcPr>
          <w:p w14:paraId="7CEB8946">
            <w:pPr>
              <w:widowControl/>
              <w:jc w:val="center"/>
              <w:textAlignment w:val="bottom"/>
              <w:rPr>
                <w:rFonts w:eastAsia="Times New Roman"/>
                <w:color w:val="auto"/>
                <w:sz w:val="24"/>
              </w:rPr>
            </w:pPr>
            <w:r>
              <w:rPr>
                <w:rFonts w:hint="eastAsia" w:eastAsia="仿宋_GB2312"/>
                <w:color w:val="auto"/>
                <w:kern w:val="0"/>
                <w:sz w:val="24"/>
              </w:rPr>
              <w:t>第一级</w:t>
            </w:r>
          </w:p>
        </w:tc>
        <w:tc>
          <w:tcPr>
            <w:tcW w:w="1140" w:type="dxa"/>
            <w:tcBorders>
              <w:top w:val="single" w:color="000000" w:sz="4" w:space="0"/>
              <w:left w:val="single" w:color="000000" w:sz="4" w:space="0"/>
              <w:bottom w:val="single" w:color="000000" w:sz="4" w:space="0"/>
              <w:right w:val="single" w:color="000000" w:sz="4" w:space="0"/>
              <w:tl2br w:val="nil"/>
              <w:tr2bl w:val="nil"/>
            </w:tcBorders>
            <w:shd w:val="clear" w:color="auto" w:fill="A4A4A4" w:themeFill="background1" w:themeFillShade="A5"/>
            <w:tcMar>
              <w:top w:w="10" w:type="dxa"/>
              <w:left w:w="10" w:type="dxa"/>
              <w:right w:w="10" w:type="dxa"/>
            </w:tcMar>
            <w:vAlign w:val="bottom"/>
          </w:tcPr>
          <w:p w14:paraId="72FE372A">
            <w:pPr>
              <w:widowControl/>
              <w:jc w:val="center"/>
              <w:textAlignment w:val="bottom"/>
              <w:rPr>
                <w:rFonts w:eastAsia="Times New Roman"/>
                <w:color w:val="auto"/>
                <w:sz w:val="24"/>
              </w:rPr>
            </w:pPr>
            <w:r>
              <w:rPr>
                <w:rFonts w:hint="eastAsia" w:eastAsia="仿宋_GB2312"/>
                <w:color w:val="auto"/>
                <w:kern w:val="0"/>
                <w:sz w:val="24"/>
              </w:rPr>
              <w:t>第二级</w:t>
            </w:r>
          </w:p>
        </w:tc>
        <w:tc>
          <w:tcPr>
            <w:tcW w:w="1700" w:type="dxa"/>
            <w:tcBorders>
              <w:top w:val="single" w:color="000000" w:sz="4" w:space="0"/>
              <w:left w:val="single" w:color="000000" w:sz="4" w:space="0"/>
              <w:bottom w:val="single" w:color="000000" w:sz="4" w:space="0"/>
              <w:right w:val="single" w:color="000000" w:sz="4" w:space="0"/>
              <w:tl2br w:val="nil"/>
              <w:tr2bl w:val="nil"/>
            </w:tcBorders>
            <w:tcMar>
              <w:top w:w="10" w:type="dxa"/>
              <w:left w:w="10" w:type="dxa"/>
              <w:right w:w="10" w:type="dxa"/>
            </w:tcMar>
            <w:vAlign w:val="bottom"/>
          </w:tcPr>
          <w:p w14:paraId="1D974676">
            <w:pPr>
              <w:widowControl/>
              <w:jc w:val="center"/>
              <w:textAlignment w:val="bottom"/>
              <w:rPr>
                <w:rFonts w:eastAsia="Times New Roman"/>
                <w:sz w:val="24"/>
              </w:rPr>
            </w:pPr>
            <w:r>
              <w:rPr>
                <w:rFonts w:hint="eastAsia" w:eastAsia="仿宋_GB2312"/>
                <w:kern w:val="0"/>
                <w:sz w:val="24"/>
              </w:rPr>
              <w:t>第二级</w:t>
            </w:r>
          </w:p>
        </w:tc>
      </w:tr>
      <w:tr w14:paraId="648D0CAC">
        <w:tblPrEx>
          <w:tblCellMar>
            <w:top w:w="0" w:type="dxa"/>
            <w:left w:w="0" w:type="dxa"/>
            <w:bottom w:w="0" w:type="dxa"/>
            <w:right w:w="0" w:type="dxa"/>
          </w:tblCellMar>
        </w:tblPrEx>
        <w:trPr>
          <w:trHeight w:val="474" w:hRule="atLeast"/>
          <w:jc w:val="center"/>
        </w:trPr>
        <w:tc>
          <w:tcPr>
            <w:tcW w:w="4220" w:type="dxa"/>
            <w:tcBorders>
              <w:top w:val="single" w:color="000000" w:sz="4" w:space="0"/>
              <w:left w:val="single" w:color="000000" w:sz="4" w:space="0"/>
              <w:bottom w:val="single" w:color="000000" w:sz="4" w:space="0"/>
              <w:right w:val="single" w:color="000000" w:sz="4" w:space="0"/>
              <w:tl2br w:val="nil"/>
              <w:tr2bl w:val="nil"/>
            </w:tcBorders>
            <w:tcMar>
              <w:top w:w="10" w:type="dxa"/>
              <w:left w:w="10" w:type="dxa"/>
              <w:right w:w="10" w:type="dxa"/>
            </w:tcMar>
            <w:vAlign w:val="center"/>
          </w:tcPr>
          <w:p w14:paraId="20ACDD65">
            <w:pPr>
              <w:widowControl/>
              <w:snapToGrid w:val="0"/>
              <w:textAlignment w:val="bottom"/>
              <w:rPr>
                <w:rFonts w:eastAsia="Times New Roman"/>
                <w:kern w:val="0"/>
                <w:sz w:val="24"/>
              </w:rPr>
            </w:pPr>
            <w:r>
              <w:rPr>
                <w:rFonts w:hint="eastAsia" w:eastAsia="仿宋_GB2312"/>
                <w:kern w:val="0"/>
                <w:sz w:val="24"/>
              </w:rPr>
              <w:t>社会秩序、公共利益</w:t>
            </w:r>
          </w:p>
        </w:tc>
        <w:tc>
          <w:tcPr>
            <w:tcW w:w="1140" w:type="dxa"/>
            <w:tcBorders>
              <w:top w:val="single" w:color="000000" w:sz="4" w:space="0"/>
              <w:left w:val="single" w:color="000000" w:sz="4" w:space="0"/>
              <w:bottom w:val="single" w:color="000000" w:sz="4" w:space="0"/>
              <w:right w:val="single" w:color="000000" w:sz="4" w:space="0"/>
              <w:tl2br w:val="nil"/>
              <w:tr2bl w:val="nil"/>
            </w:tcBorders>
            <w:shd w:val="clear" w:color="auto" w:fill="auto"/>
            <w:tcMar>
              <w:top w:w="10" w:type="dxa"/>
              <w:left w:w="10" w:type="dxa"/>
              <w:right w:w="10" w:type="dxa"/>
            </w:tcMar>
            <w:vAlign w:val="bottom"/>
          </w:tcPr>
          <w:p w14:paraId="22B635CC">
            <w:pPr>
              <w:widowControl/>
              <w:jc w:val="center"/>
              <w:textAlignment w:val="bottom"/>
              <w:rPr>
                <w:rFonts w:eastAsia="Times New Roman"/>
                <w:sz w:val="24"/>
              </w:rPr>
            </w:pPr>
            <w:r>
              <w:rPr>
                <w:rFonts w:hint="eastAsia" w:eastAsia="仿宋_GB2312"/>
                <w:kern w:val="0"/>
                <w:sz w:val="24"/>
              </w:rPr>
              <w:t>第二级</w:t>
            </w:r>
          </w:p>
        </w:tc>
        <w:tc>
          <w:tcPr>
            <w:tcW w:w="1140" w:type="dxa"/>
            <w:tcBorders>
              <w:top w:val="single" w:color="000000" w:sz="4" w:space="0"/>
              <w:left w:val="single" w:color="000000" w:sz="4" w:space="0"/>
              <w:bottom w:val="single" w:color="000000" w:sz="4" w:space="0"/>
              <w:right w:val="single" w:color="000000" w:sz="4" w:space="0"/>
              <w:tl2br w:val="nil"/>
              <w:tr2bl w:val="nil"/>
            </w:tcBorders>
            <w:tcMar>
              <w:top w:w="10" w:type="dxa"/>
              <w:left w:w="10" w:type="dxa"/>
              <w:right w:w="10" w:type="dxa"/>
            </w:tcMar>
            <w:vAlign w:val="bottom"/>
          </w:tcPr>
          <w:p w14:paraId="433A9F3D">
            <w:pPr>
              <w:widowControl/>
              <w:jc w:val="center"/>
              <w:textAlignment w:val="bottom"/>
              <w:rPr>
                <w:rFonts w:eastAsia="Times New Roman"/>
                <w:sz w:val="24"/>
              </w:rPr>
            </w:pPr>
            <w:r>
              <w:rPr>
                <w:rFonts w:hint="eastAsia" w:eastAsia="仿宋_GB2312"/>
                <w:kern w:val="0"/>
                <w:sz w:val="24"/>
              </w:rPr>
              <w:t>第三级</w:t>
            </w:r>
          </w:p>
        </w:tc>
        <w:tc>
          <w:tcPr>
            <w:tcW w:w="1700" w:type="dxa"/>
            <w:tcBorders>
              <w:top w:val="single" w:color="000000" w:sz="4" w:space="0"/>
              <w:left w:val="single" w:color="000000" w:sz="4" w:space="0"/>
              <w:bottom w:val="single" w:color="000000" w:sz="4" w:space="0"/>
              <w:right w:val="single" w:color="000000" w:sz="4" w:space="0"/>
              <w:tl2br w:val="nil"/>
              <w:tr2bl w:val="nil"/>
            </w:tcBorders>
            <w:tcMar>
              <w:top w:w="10" w:type="dxa"/>
              <w:left w:w="10" w:type="dxa"/>
              <w:right w:w="10" w:type="dxa"/>
            </w:tcMar>
            <w:vAlign w:val="bottom"/>
          </w:tcPr>
          <w:p w14:paraId="3AFBAF9E">
            <w:pPr>
              <w:widowControl/>
              <w:jc w:val="center"/>
              <w:textAlignment w:val="bottom"/>
              <w:rPr>
                <w:rFonts w:eastAsia="Times New Roman"/>
                <w:sz w:val="24"/>
              </w:rPr>
            </w:pPr>
            <w:r>
              <w:rPr>
                <w:rFonts w:hint="eastAsia" w:eastAsia="仿宋_GB2312"/>
                <w:kern w:val="0"/>
                <w:sz w:val="24"/>
              </w:rPr>
              <w:t>第四级</w:t>
            </w:r>
          </w:p>
        </w:tc>
      </w:tr>
      <w:tr w14:paraId="356ABD6A">
        <w:tblPrEx>
          <w:tblCellMar>
            <w:top w:w="0" w:type="dxa"/>
            <w:left w:w="0" w:type="dxa"/>
            <w:bottom w:w="0" w:type="dxa"/>
            <w:right w:w="0" w:type="dxa"/>
          </w:tblCellMar>
        </w:tblPrEx>
        <w:trPr>
          <w:trHeight w:val="474" w:hRule="atLeast"/>
          <w:jc w:val="center"/>
        </w:trPr>
        <w:tc>
          <w:tcPr>
            <w:tcW w:w="4220" w:type="dxa"/>
            <w:tcBorders>
              <w:top w:val="single" w:color="000000" w:sz="4" w:space="0"/>
              <w:left w:val="single" w:color="000000" w:sz="4" w:space="0"/>
              <w:bottom w:val="single" w:color="000000" w:sz="4" w:space="0"/>
              <w:right w:val="single" w:color="000000" w:sz="4" w:space="0"/>
              <w:tl2br w:val="nil"/>
              <w:tr2bl w:val="nil"/>
            </w:tcBorders>
            <w:tcMar>
              <w:top w:w="10" w:type="dxa"/>
              <w:left w:w="10" w:type="dxa"/>
              <w:right w:w="10" w:type="dxa"/>
            </w:tcMar>
            <w:vAlign w:val="center"/>
          </w:tcPr>
          <w:p w14:paraId="122C1F3E">
            <w:pPr>
              <w:widowControl/>
              <w:textAlignment w:val="bottom"/>
              <w:rPr>
                <w:rFonts w:eastAsia="Times New Roman"/>
                <w:sz w:val="24"/>
              </w:rPr>
            </w:pPr>
            <w:r>
              <w:rPr>
                <w:rFonts w:hint="eastAsia" w:eastAsia="仿宋_GB2312"/>
                <w:kern w:val="0"/>
                <w:sz w:val="24"/>
              </w:rPr>
              <w:t>国家安全或地区安全、国计民生</w:t>
            </w:r>
          </w:p>
        </w:tc>
        <w:tc>
          <w:tcPr>
            <w:tcW w:w="1140" w:type="dxa"/>
            <w:tcBorders>
              <w:top w:val="single" w:color="000000" w:sz="4" w:space="0"/>
              <w:left w:val="single" w:color="000000" w:sz="4" w:space="0"/>
              <w:bottom w:val="single" w:color="000000" w:sz="4" w:space="0"/>
              <w:right w:val="single" w:color="000000" w:sz="4" w:space="0"/>
              <w:tl2br w:val="nil"/>
              <w:tr2bl w:val="nil"/>
            </w:tcBorders>
            <w:tcMar>
              <w:top w:w="10" w:type="dxa"/>
              <w:left w:w="10" w:type="dxa"/>
              <w:right w:w="10" w:type="dxa"/>
            </w:tcMar>
            <w:vAlign w:val="bottom"/>
          </w:tcPr>
          <w:p w14:paraId="41B7518F">
            <w:pPr>
              <w:widowControl/>
              <w:jc w:val="center"/>
              <w:textAlignment w:val="bottom"/>
              <w:rPr>
                <w:rFonts w:eastAsia="Times New Roman"/>
                <w:sz w:val="24"/>
              </w:rPr>
            </w:pPr>
            <w:r>
              <w:rPr>
                <w:rFonts w:hint="eastAsia" w:eastAsia="仿宋_GB2312"/>
                <w:kern w:val="0"/>
                <w:sz w:val="24"/>
              </w:rPr>
              <w:t>第四级</w:t>
            </w:r>
          </w:p>
        </w:tc>
        <w:tc>
          <w:tcPr>
            <w:tcW w:w="1140" w:type="dxa"/>
            <w:tcBorders>
              <w:top w:val="single" w:color="000000" w:sz="4" w:space="0"/>
              <w:left w:val="single" w:color="000000" w:sz="4" w:space="0"/>
              <w:bottom w:val="single" w:color="000000" w:sz="4" w:space="0"/>
              <w:right w:val="single" w:color="000000" w:sz="4" w:space="0"/>
              <w:tl2br w:val="nil"/>
              <w:tr2bl w:val="nil"/>
            </w:tcBorders>
            <w:tcMar>
              <w:top w:w="10" w:type="dxa"/>
              <w:left w:w="10" w:type="dxa"/>
              <w:right w:w="10" w:type="dxa"/>
            </w:tcMar>
            <w:vAlign w:val="bottom"/>
          </w:tcPr>
          <w:p w14:paraId="30C0B218">
            <w:pPr>
              <w:widowControl/>
              <w:jc w:val="center"/>
              <w:textAlignment w:val="bottom"/>
              <w:rPr>
                <w:rFonts w:eastAsia="Times New Roman"/>
                <w:sz w:val="24"/>
              </w:rPr>
            </w:pPr>
            <w:r>
              <w:rPr>
                <w:rFonts w:hint="eastAsia" w:eastAsia="仿宋_GB2312"/>
                <w:kern w:val="0"/>
                <w:sz w:val="24"/>
              </w:rPr>
              <w:t>第五级</w:t>
            </w:r>
          </w:p>
        </w:tc>
        <w:tc>
          <w:tcPr>
            <w:tcW w:w="1700" w:type="dxa"/>
            <w:tcBorders>
              <w:top w:val="single" w:color="000000" w:sz="4" w:space="0"/>
              <w:left w:val="single" w:color="000000" w:sz="4" w:space="0"/>
              <w:bottom w:val="single" w:color="000000" w:sz="4" w:space="0"/>
              <w:right w:val="single" w:color="000000" w:sz="4" w:space="0"/>
              <w:tl2br w:val="nil"/>
              <w:tr2bl w:val="nil"/>
            </w:tcBorders>
            <w:tcMar>
              <w:top w:w="10" w:type="dxa"/>
              <w:left w:w="10" w:type="dxa"/>
              <w:right w:w="10" w:type="dxa"/>
            </w:tcMar>
            <w:vAlign w:val="bottom"/>
          </w:tcPr>
          <w:p w14:paraId="6B7CFFB5">
            <w:pPr>
              <w:widowControl/>
              <w:jc w:val="center"/>
              <w:textAlignment w:val="bottom"/>
              <w:rPr>
                <w:rFonts w:eastAsia="Times New Roman"/>
                <w:sz w:val="24"/>
              </w:rPr>
            </w:pPr>
            <w:r>
              <w:rPr>
                <w:rFonts w:hint="eastAsia" w:eastAsia="仿宋_GB2312"/>
                <w:kern w:val="0"/>
                <w:sz w:val="24"/>
              </w:rPr>
              <w:t>第五级</w:t>
            </w:r>
          </w:p>
        </w:tc>
      </w:tr>
    </w:tbl>
    <w:p w14:paraId="6E45387A">
      <w:pPr>
        <w:rPr>
          <w:rFonts w:hint="eastAsia" w:eastAsia="楷体_GB2312"/>
          <w:sz w:val="32"/>
        </w:rPr>
      </w:pPr>
      <w:r>
        <w:rPr>
          <w:rFonts w:hint="eastAsia" w:eastAsia="楷体_GB2312"/>
          <w:sz w:val="32"/>
        </w:rPr>
        <w:br w:type="page"/>
      </w:r>
    </w:p>
    <w:p w14:paraId="5AF14C52">
      <w:pPr>
        <w:spacing w:line="579" w:lineRule="exact"/>
        <w:ind w:firstLine="640" w:firstLineChars="200"/>
        <w:rPr>
          <w:rFonts w:eastAsia="Times New Roman"/>
          <w:sz w:val="32"/>
        </w:rPr>
      </w:pPr>
      <w:r>
        <w:rPr>
          <w:rFonts w:hint="eastAsia" w:eastAsia="楷体_GB2312"/>
          <w:sz w:val="32"/>
        </w:rPr>
        <w:t>（三）安全保护等级的确定</w:t>
      </w:r>
    </w:p>
    <w:p w14:paraId="7609C432">
      <w:pPr>
        <w:pStyle w:val="5"/>
        <w:spacing w:line="579" w:lineRule="exact"/>
        <w:ind w:firstLine="560" w:firstLineChars="200"/>
        <w:rPr>
          <w:rFonts w:eastAsia="仿宋_GB2312"/>
          <w:sz w:val="28"/>
        </w:rPr>
      </w:pPr>
      <w:r>
        <w:rPr>
          <w:rFonts w:eastAsia="仿宋_GB2312"/>
          <w:sz w:val="28"/>
        </w:rPr>
        <w:t>定级对象的安全保护等级由业务信息安全保护等级和系统服务安全保护等级较高者决定，最终确定电力监控系统的网络安全保护等级为第二级。</w:t>
      </w:r>
    </w:p>
    <w:tbl>
      <w:tblPr>
        <w:tblStyle w:val="19"/>
        <w:tblpPr w:leftFromText="180" w:rightFromText="180" w:vertAnchor="text" w:horzAnchor="margin" w:tblpXSpec="center" w:tblpY="3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1417"/>
        <w:gridCol w:w="2694"/>
        <w:gridCol w:w="2693"/>
      </w:tblGrid>
      <w:tr w14:paraId="1F7B4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1980" w:type="dxa"/>
            <w:tcBorders>
              <w:top w:val="single" w:color="auto" w:sz="4" w:space="0"/>
              <w:left w:val="single" w:color="auto" w:sz="4" w:space="0"/>
              <w:bottom w:val="single" w:color="auto" w:sz="4" w:space="0"/>
              <w:right w:val="single" w:color="auto" w:sz="4" w:space="0"/>
              <w:tl2br w:val="nil"/>
              <w:tr2bl w:val="nil"/>
            </w:tcBorders>
            <w:shd w:val="clear" w:color="auto" w:fill="F3F3F3"/>
            <w:vAlign w:val="center"/>
          </w:tcPr>
          <w:p w14:paraId="6FB8AD45">
            <w:pPr>
              <w:widowControl/>
              <w:tabs>
                <w:tab w:val="left" w:pos="60"/>
              </w:tabs>
              <w:snapToGrid w:val="0"/>
              <w:jc w:val="center"/>
              <w:rPr>
                <w:rFonts w:eastAsia="Times New Roman"/>
                <w:sz w:val="24"/>
              </w:rPr>
            </w:pPr>
            <w:r>
              <w:rPr>
                <w:rFonts w:hint="eastAsia" w:eastAsia="仿宋_GB2312"/>
                <w:sz w:val="24"/>
              </w:rPr>
              <w:t>定级对象名称</w:t>
            </w:r>
          </w:p>
        </w:tc>
        <w:tc>
          <w:tcPr>
            <w:tcW w:w="1417" w:type="dxa"/>
            <w:tcBorders>
              <w:top w:val="single" w:color="auto" w:sz="4" w:space="0"/>
              <w:left w:val="single" w:color="auto" w:sz="4" w:space="0"/>
              <w:bottom w:val="single" w:color="auto" w:sz="4" w:space="0"/>
              <w:right w:val="single" w:color="auto" w:sz="4" w:space="0"/>
              <w:tl2br w:val="nil"/>
              <w:tr2bl w:val="nil"/>
            </w:tcBorders>
            <w:shd w:val="clear" w:color="auto" w:fill="F3F3F3"/>
            <w:vAlign w:val="center"/>
          </w:tcPr>
          <w:p w14:paraId="1ADC1AB1">
            <w:pPr>
              <w:widowControl/>
              <w:tabs>
                <w:tab w:val="left" w:pos="60"/>
              </w:tabs>
              <w:snapToGrid w:val="0"/>
              <w:jc w:val="center"/>
              <w:rPr>
                <w:rFonts w:eastAsia="Times New Roman"/>
                <w:sz w:val="24"/>
              </w:rPr>
            </w:pPr>
            <w:r>
              <w:rPr>
                <w:rFonts w:hint="eastAsia" w:eastAsia="仿宋_GB2312"/>
                <w:sz w:val="24"/>
              </w:rPr>
              <w:t>安全保护等级</w:t>
            </w:r>
          </w:p>
        </w:tc>
        <w:tc>
          <w:tcPr>
            <w:tcW w:w="2694" w:type="dxa"/>
            <w:tcBorders>
              <w:top w:val="single" w:color="auto" w:sz="4" w:space="0"/>
              <w:left w:val="single" w:color="auto" w:sz="4" w:space="0"/>
              <w:bottom w:val="single" w:color="auto" w:sz="4" w:space="0"/>
              <w:right w:val="single" w:color="auto" w:sz="4" w:space="0"/>
              <w:tl2br w:val="nil"/>
              <w:tr2bl w:val="nil"/>
            </w:tcBorders>
            <w:shd w:val="clear" w:color="auto" w:fill="F3F3F3"/>
            <w:vAlign w:val="center"/>
          </w:tcPr>
          <w:p w14:paraId="08F8BE10">
            <w:pPr>
              <w:widowControl/>
              <w:tabs>
                <w:tab w:val="left" w:pos="60"/>
              </w:tabs>
              <w:snapToGrid w:val="0"/>
              <w:jc w:val="center"/>
              <w:rPr>
                <w:rFonts w:eastAsia="Times New Roman"/>
                <w:sz w:val="24"/>
              </w:rPr>
            </w:pPr>
            <w:r>
              <w:rPr>
                <w:rFonts w:hint="eastAsia" w:eastAsia="仿宋_GB2312"/>
                <w:sz w:val="24"/>
              </w:rPr>
              <w:t>业务信息安全保护等级</w:t>
            </w:r>
          </w:p>
        </w:tc>
        <w:tc>
          <w:tcPr>
            <w:tcW w:w="2693" w:type="dxa"/>
            <w:tcBorders>
              <w:top w:val="single" w:color="auto" w:sz="4" w:space="0"/>
              <w:left w:val="single" w:color="auto" w:sz="4" w:space="0"/>
              <w:bottom w:val="single" w:color="auto" w:sz="4" w:space="0"/>
              <w:right w:val="single" w:color="auto" w:sz="4" w:space="0"/>
              <w:tl2br w:val="nil"/>
              <w:tr2bl w:val="nil"/>
            </w:tcBorders>
            <w:shd w:val="clear" w:color="auto" w:fill="F3F3F3"/>
            <w:vAlign w:val="center"/>
          </w:tcPr>
          <w:p w14:paraId="49A02369">
            <w:pPr>
              <w:widowControl/>
              <w:tabs>
                <w:tab w:val="left" w:pos="60"/>
              </w:tabs>
              <w:snapToGrid w:val="0"/>
              <w:jc w:val="center"/>
              <w:rPr>
                <w:rFonts w:eastAsia="Times New Roman"/>
                <w:sz w:val="24"/>
              </w:rPr>
            </w:pPr>
            <w:r>
              <w:rPr>
                <w:rFonts w:hint="eastAsia" w:eastAsia="仿宋_GB2312"/>
                <w:sz w:val="24"/>
              </w:rPr>
              <w:t>系统服务安全保护等级</w:t>
            </w:r>
          </w:p>
        </w:tc>
      </w:tr>
      <w:tr w14:paraId="20C97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1980" w:type="dxa"/>
            <w:tcBorders>
              <w:top w:val="single" w:color="auto" w:sz="4" w:space="0"/>
              <w:left w:val="single" w:color="auto" w:sz="4" w:space="0"/>
              <w:bottom w:val="single" w:color="auto" w:sz="4" w:space="0"/>
              <w:right w:val="single" w:color="auto" w:sz="4" w:space="0"/>
              <w:tl2br w:val="nil"/>
              <w:tr2bl w:val="nil"/>
            </w:tcBorders>
            <w:vAlign w:val="center"/>
          </w:tcPr>
          <w:p w14:paraId="56FD7FF6">
            <w:pPr>
              <w:widowControl/>
              <w:tabs>
                <w:tab w:val="left" w:pos="60"/>
              </w:tabs>
              <w:snapToGrid w:val="0"/>
              <w:spacing w:line="360" w:lineRule="auto"/>
              <w:jc w:val="center"/>
              <w:rPr>
                <w:rFonts w:eastAsia="Times New Roman"/>
                <w:sz w:val="24"/>
              </w:rPr>
            </w:pPr>
            <w:r>
              <w:rPr>
                <w:rFonts w:hint="eastAsia" w:eastAsia="仿宋_GB2312"/>
                <w:sz w:val="24"/>
              </w:rPr>
              <w:t>电力监控系统</w:t>
            </w:r>
          </w:p>
        </w:tc>
        <w:tc>
          <w:tcPr>
            <w:tcW w:w="1417" w:type="dxa"/>
            <w:tcBorders>
              <w:top w:val="single" w:color="auto" w:sz="4" w:space="0"/>
              <w:left w:val="single" w:color="auto" w:sz="4" w:space="0"/>
              <w:bottom w:val="single" w:color="auto" w:sz="4" w:space="0"/>
              <w:right w:val="single" w:color="auto" w:sz="4" w:space="0"/>
              <w:tl2br w:val="nil"/>
              <w:tr2bl w:val="nil"/>
            </w:tcBorders>
            <w:vAlign w:val="center"/>
          </w:tcPr>
          <w:p w14:paraId="5622E332">
            <w:pPr>
              <w:spacing w:line="360" w:lineRule="auto"/>
              <w:jc w:val="center"/>
              <w:rPr>
                <w:rFonts w:eastAsia="Times New Roman"/>
                <w:sz w:val="24"/>
              </w:rPr>
            </w:pPr>
            <w:r>
              <w:rPr>
                <w:rFonts w:hint="eastAsia" w:eastAsia="仿宋_GB2312"/>
                <w:sz w:val="24"/>
              </w:rPr>
              <w:t>第二级</w:t>
            </w:r>
          </w:p>
        </w:tc>
        <w:tc>
          <w:tcPr>
            <w:tcW w:w="2694" w:type="dxa"/>
            <w:tcBorders>
              <w:top w:val="single" w:color="auto" w:sz="4" w:space="0"/>
              <w:left w:val="single" w:color="auto" w:sz="4" w:space="0"/>
              <w:bottom w:val="single" w:color="auto" w:sz="4" w:space="0"/>
              <w:right w:val="single" w:color="auto" w:sz="4" w:space="0"/>
              <w:tl2br w:val="nil"/>
              <w:tr2bl w:val="nil"/>
            </w:tcBorders>
            <w:vAlign w:val="center"/>
          </w:tcPr>
          <w:p w14:paraId="1372E569">
            <w:pPr>
              <w:spacing w:line="360" w:lineRule="auto"/>
              <w:jc w:val="center"/>
              <w:rPr>
                <w:rFonts w:eastAsia="Times New Roman"/>
                <w:sz w:val="24"/>
              </w:rPr>
            </w:pPr>
            <w:r>
              <w:rPr>
                <w:rFonts w:hint="eastAsia" w:eastAsia="仿宋_GB2312"/>
                <w:sz w:val="24"/>
              </w:rPr>
              <w:t>第二级</w:t>
            </w:r>
          </w:p>
        </w:tc>
        <w:tc>
          <w:tcPr>
            <w:tcW w:w="2693" w:type="dxa"/>
            <w:tcBorders>
              <w:top w:val="single" w:color="auto" w:sz="4" w:space="0"/>
              <w:left w:val="single" w:color="auto" w:sz="4" w:space="0"/>
              <w:bottom w:val="single" w:color="auto" w:sz="4" w:space="0"/>
              <w:right w:val="single" w:color="auto" w:sz="4" w:space="0"/>
              <w:tl2br w:val="nil"/>
              <w:tr2bl w:val="nil"/>
            </w:tcBorders>
            <w:vAlign w:val="center"/>
          </w:tcPr>
          <w:p w14:paraId="39D7A45E">
            <w:pPr>
              <w:spacing w:line="360" w:lineRule="auto"/>
              <w:jc w:val="center"/>
              <w:rPr>
                <w:rFonts w:eastAsia="Times New Roman"/>
                <w:sz w:val="24"/>
              </w:rPr>
            </w:pPr>
            <w:r>
              <w:rPr>
                <w:rFonts w:hint="eastAsia" w:eastAsia="仿宋_GB2312"/>
                <w:sz w:val="24"/>
              </w:rPr>
              <w:t>第二级</w:t>
            </w:r>
          </w:p>
        </w:tc>
      </w:tr>
    </w:tbl>
    <w:p w14:paraId="6D18BB3F">
      <w:pPr>
        <w:rPr>
          <w:rFonts w:eastAsia="Times New Roman"/>
        </w:rPr>
      </w:pPr>
    </w:p>
    <w:p w14:paraId="590C3125">
      <w:pPr>
        <w:wordWrap w:val="0"/>
        <w:jc w:val="right"/>
        <w:rPr>
          <w:rFonts w:hint="eastAsia" w:eastAsia="仿宋_GB2312"/>
          <w:sz w:val="28"/>
        </w:rPr>
      </w:pPr>
    </w:p>
    <w:p w14:paraId="7D87DAA4">
      <w:pPr>
        <w:wordWrap w:val="0"/>
        <w:jc w:val="right"/>
        <w:rPr>
          <w:rFonts w:hint="eastAsia" w:eastAsia="仿宋_GB2312"/>
          <w:sz w:val="28"/>
        </w:rPr>
      </w:pPr>
    </w:p>
    <w:p w14:paraId="68D440D7">
      <w:pPr>
        <w:wordWrap w:val="0"/>
        <w:jc w:val="right"/>
        <w:rPr>
          <w:rFonts w:eastAsia="Times New Roman"/>
          <w:sz w:val="24"/>
        </w:rPr>
      </w:pPr>
      <w:bookmarkStart w:id="4" w:name="_GoBack"/>
      <w:bookmarkEnd w:id="4"/>
      <w:r>
        <w:rPr>
          <w:rFonts w:hint="eastAsia" w:eastAsia="仿宋_GB2312"/>
          <w:sz w:val="28"/>
        </w:rPr>
        <w:t xml:space="preserve">单位（盖章）          </w:t>
      </w:r>
    </w:p>
    <w:p w14:paraId="31C87A1B">
      <w:pPr>
        <w:wordWrap w:val="0"/>
        <w:ind w:right="630"/>
        <w:jc w:val="right"/>
        <w:rPr>
          <w:rFonts w:eastAsia="Times New Roman"/>
        </w:rPr>
      </w:pPr>
      <w:r>
        <w:rPr>
          <w:rFonts w:hint="eastAsia" w:eastAsia="仿宋_GB2312"/>
          <w:sz w:val="28"/>
          <w:lang w:val="en-US" w:eastAsia="zh-CN"/>
        </w:rPr>
        <w:t>2026</w:t>
      </w:r>
      <w:r>
        <w:rPr>
          <w:rFonts w:hint="eastAsia" w:eastAsia="仿宋_GB2312"/>
          <w:sz w:val="28"/>
        </w:rPr>
        <w:t xml:space="preserve">年 </w:t>
      </w:r>
      <w:r>
        <w:rPr>
          <w:rFonts w:hint="eastAsia" w:eastAsia="仿宋_GB2312"/>
          <w:sz w:val="28"/>
          <w:lang w:val="en-US" w:eastAsia="zh-CN"/>
        </w:rPr>
        <w:t>5</w:t>
      </w:r>
      <w:r>
        <w:rPr>
          <w:rFonts w:hint="eastAsia" w:eastAsia="仿宋_GB2312"/>
          <w:sz w:val="28"/>
        </w:rPr>
        <w:t xml:space="preserve"> 月 </w:t>
      </w:r>
      <w:r>
        <w:rPr>
          <w:rFonts w:hint="eastAsia" w:eastAsia="仿宋_GB2312"/>
          <w:sz w:val="28"/>
          <w:lang w:val="en-US" w:eastAsia="zh-CN"/>
        </w:rPr>
        <w:t>19</w:t>
      </w:r>
      <w:r>
        <w:rPr>
          <w:rFonts w:hint="eastAsia" w:eastAsia="仿宋_GB2312"/>
          <w:sz w:val="28"/>
        </w:rPr>
        <w:t xml:space="preserve"> 日  </w:t>
      </w:r>
    </w:p>
    <w:p w14:paraId="73013D44"/>
    <w:sectPr>
      <w:footerReference r:id="rId3" w:type="default"/>
      <w:footerReference r:id="rId4" w:type="even"/>
      <w:pgSz w:w="11906" w:h="16838"/>
      <w:pgMar w:top="964" w:right="1644" w:bottom="964" w:left="1797" w:header="851" w:footer="850" w:gutter="0"/>
      <w:pgNumType w:fmt="numberInDash"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仿宋_GB2312">
    <w:altName w:val="仿宋"/>
    <w:panose1 w:val="00000000000000000000"/>
    <w:charset w:val="86"/>
    <w:family w:val="modern"/>
    <w:pitch w:val="default"/>
    <w:sig w:usb0="00000000" w:usb1="00000000" w:usb2="00000016" w:usb3="00000000" w:csb0="00040001" w:csb1="00000000"/>
  </w:font>
  <w:font w:name="仿宋">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方正小标宋简体">
    <w:panose1 w:val="03000509000000000000"/>
    <w:charset w:val="86"/>
    <w:family w:val="script"/>
    <w:pitch w:val="default"/>
    <w:sig w:usb0="00000001" w:usb1="080E0000" w:usb2="00000000" w:usb3="00000000" w:csb0="00040000" w:csb1="00000000"/>
  </w:font>
  <w:font w:name="楷体_GB2312">
    <w:altName w:val="楷体"/>
    <w:panose1 w:val="00000000000000000000"/>
    <w:charset w:val="86"/>
    <w:family w:val="modern"/>
    <w:pitch w:val="default"/>
    <w:sig w:usb0="00000000" w:usb1="00000000" w:usb2="00000016" w:usb3="00000000" w:csb0="00040001" w:csb1="00000000"/>
  </w:font>
  <w:font w:name="楷体">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_GB2312">
    <w:altName w:val="仿宋"/>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2FB839">
    <w:pPr>
      <w:pStyle w:val="16"/>
      <w:framePr w:wrap="around" w:vAnchor="text" w:hAnchor="margin" w:xAlign="center" w:y="1"/>
      <w:rPr>
        <w:rStyle w:val="22"/>
      </w:rPr>
    </w:pPr>
    <w:r>
      <w:fldChar w:fldCharType="begin"/>
    </w:r>
    <w:r>
      <w:rPr>
        <w:rStyle w:val="22"/>
      </w:rPr>
      <w:instrText xml:space="preserve">PAGE  </w:instrText>
    </w:r>
    <w:r>
      <w:fldChar w:fldCharType="separate"/>
    </w:r>
    <w:r>
      <w:rPr>
        <w:rStyle w:val="22"/>
      </w:rPr>
      <w:t>- 3 -</w:t>
    </w:r>
    <w:r>
      <w:fldChar w:fldCharType="end"/>
    </w:r>
  </w:p>
  <w:p w14:paraId="27BB2253">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15B80E">
    <w:pPr>
      <w:pStyle w:val="16"/>
      <w:framePr w:wrap="around" w:vAnchor="text" w:hAnchor="margin" w:xAlign="center" w:y="1"/>
      <w:rPr>
        <w:rStyle w:val="22"/>
      </w:rPr>
    </w:pPr>
    <w:r>
      <w:fldChar w:fldCharType="begin"/>
    </w:r>
    <w:r>
      <w:rPr>
        <w:rStyle w:val="22"/>
      </w:rPr>
      <w:instrText xml:space="preserve">PAGE  </w:instrText>
    </w:r>
    <w:r>
      <w:fldChar w:fldCharType="end"/>
    </w:r>
  </w:p>
  <w:p w14:paraId="4142C801">
    <w:pPr>
      <w:pStyle w:val="16"/>
      <w:ind w:right="360" w:firstLine="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2368BE"/>
    <w:multiLevelType w:val="multilevel"/>
    <w:tmpl w:val="7A2368BE"/>
    <w:lvl w:ilvl="0" w:tentative="0">
      <w:start w:val="1"/>
      <w:numFmt w:val="decimal"/>
      <w:pStyle w:val="3"/>
      <w:lvlText w:val="%1"/>
      <w:lvlJc w:val="left"/>
      <w:pPr>
        <w:tabs>
          <w:tab w:val="left" w:pos="432"/>
        </w:tabs>
        <w:ind w:left="432" w:hanging="432"/>
      </w:pPr>
    </w:lvl>
    <w:lvl w:ilvl="1" w:tentative="0">
      <w:start w:val="1"/>
      <w:numFmt w:val="decimal"/>
      <w:pStyle w:val="6"/>
      <w:lvlText w:val="%1.%2"/>
      <w:lvlJc w:val="left"/>
      <w:pPr>
        <w:tabs>
          <w:tab w:val="left" w:pos="567"/>
        </w:tabs>
        <w:ind w:left="567" w:hanging="567"/>
      </w:pPr>
      <w:rPr>
        <w:rFonts w:hint="eastAsia"/>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2" w:tentative="0">
      <w:start w:val="1"/>
      <w:numFmt w:val="decimal"/>
      <w:pStyle w:val="7"/>
      <w:lvlText w:val="%1.%2.%3"/>
      <w:lvlJc w:val="left"/>
      <w:pPr>
        <w:tabs>
          <w:tab w:val="left" w:pos="720"/>
        </w:tabs>
        <w:ind w:left="720" w:hanging="720"/>
      </w:pPr>
    </w:lvl>
    <w:lvl w:ilvl="3" w:tentative="0">
      <w:start w:val="1"/>
      <w:numFmt w:val="decimal"/>
      <w:pStyle w:val="8"/>
      <w:lvlText w:val="%1.%2.%3.%4"/>
      <w:lvlJc w:val="left"/>
      <w:pPr>
        <w:tabs>
          <w:tab w:val="left" w:pos="964"/>
        </w:tabs>
        <w:ind w:left="964" w:hanging="964"/>
      </w:pPr>
    </w:lvl>
    <w:lvl w:ilvl="4" w:tentative="0">
      <w:start w:val="1"/>
      <w:numFmt w:val="decimal"/>
      <w:pStyle w:val="9"/>
      <w:lvlText w:val="%1.%2.%3.%4.%5"/>
      <w:lvlJc w:val="left"/>
      <w:pPr>
        <w:tabs>
          <w:tab w:val="left" w:pos="1077"/>
        </w:tabs>
        <w:ind w:left="1077" w:hanging="1077"/>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FjMDJmNjdlOTIzYmY1ODM5YzMzYzQ2ZDkzZWQxYzkifQ=="/>
  </w:docVars>
  <w:rsids>
    <w:rsidRoot w:val="00A323F2"/>
    <w:rsid w:val="00000218"/>
    <w:rsid w:val="00002896"/>
    <w:rsid w:val="00004CB2"/>
    <w:rsid w:val="00004F16"/>
    <w:rsid w:val="00012287"/>
    <w:rsid w:val="0001249B"/>
    <w:rsid w:val="00014449"/>
    <w:rsid w:val="000159CA"/>
    <w:rsid w:val="0001685C"/>
    <w:rsid w:val="00016920"/>
    <w:rsid w:val="00017313"/>
    <w:rsid w:val="00021BA7"/>
    <w:rsid w:val="00022CE6"/>
    <w:rsid w:val="00022DFD"/>
    <w:rsid w:val="00024391"/>
    <w:rsid w:val="00027903"/>
    <w:rsid w:val="0003160E"/>
    <w:rsid w:val="000324EC"/>
    <w:rsid w:val="00034B64"/>
    <w:rsid w:val="0003559D"/>
    <w:rsid w:val="00035763"/>
    <w:rsid w:val="00035895"/>
    <w:rsid w:val="00036A19"/>
    <w:rsid w:val="00037958"/>
    <w:rsid w:val="00037E1E"/>
    <w:rsid w:val="00040444"/>
    <w:rsid w:val="0004062E"/>
    <w:rsid w:val="00040723"/>
    <w:rsid w:val="000427A8"/>
    <w:rsid w:val="000433DC"/>
    <w:rsid w:val="00043883"/>
    <w:rsid w:val="000446C9"/>
    <w:rsid w:val="00047F08"/>
    <w:rsid w:val="000504FA"/>
    <w:rsid w:val="00050755"/>
    <w:rsid w:val="00052191"/>
    <w:rsid w:val="00052997"/>
    <w:rsid w:val="00054FED"/>
    <w:rsid w:val="00057403"/>
    <w:rsid w:val="00060A9A"/>
    <w:rsid w:val="000617CF"/>
    <w:rsid w:val="00062EEA"/>
    <w:rsid w:val="00063199"/>
    <w:rsid w:val="000641FF"/>
    <w:rsid w:val="00065795"/>
    <w:rsid w:val="0006706F"/>
    <w:rsid w:val="00071EA7"/>
    <w:rsid w:val="000720A8"/>
    <w:rsid w:val="000726E2"/>
    <w:rsid w:val="00072F17"/>
    <w:rsid w:val="000736D2"/>
    <w:rsid w:val="0007451C"/>
    <w:rsid w:val="00074DD3"/>
    <w:rsid w:val="000757F3"/>
    <w:rsid w:val="000775F6"/>
    <w:rsid w:val="00080339"/>
    <w:rsid w:val="00080782"/>
    <w:rsid w:val="00081002"/>
    <w:rsid w:val="00082556"/>
    <w:rsid w:val="000832C5"/>
    <w:rsid w:val="000905E3"/>
    <w:rsid w:val="00091DE7"/>
    <w:rsid w:val="00092D37"/>
    <w:rsid w:val="00094056"/>
    <w:rsid w:val="00096CEB"/>
    <w:rsid w:val="0009719C"/>
    <w:rsid w:val="000A1625"/>
    <w:rsid w:val="000A1710"/>
    <w:rsid w:val="000A1A4E"/>
    <w:rsid w:val="000A28A9"/>
    <w:rsid w:val="000A2A89"/>
    <w:rsid w:val="000A3291"/>
    <w:rsid w:val="000A3C22"/>
    <w:rsid w:val="000A4C6F"/>
    <w:rsid w:val="000A5967"/>
    <w:rsid w:val="000A6F67"/>
    <w:rsid w:val="000A716E"/>
    <w:rsid w:val="000A746E"/>
    <w:rsid w:val="000A7924"/>
    <w:rsid w:val="000B224A"/>
    <w:rsid w:val="000B22A5"/>
    <w:rsid w:val="000B2D71"/>
    <w:rsid w:val="000B4B0A"/>
    <w:rsid w:val="000B6F32"/>
    <w:rsid w:val="000C071D"/>
    <w:rsid w:val="000C0B21"/>
    <w:rsid w:val="000C227D"/>
    <w:rsid w:val="000C3F22"/>
    <w:rsid w:val="000C5E5C"/>
    <w:rsid w:val="000D344A"/>
    <w:rsid w:val="000D39DE"/>
    <w:rsid w:val="000D3C60"/>
    <w:rsid w:val="000D50E6"/>
    <w:rsid w:val="000D6008"/>
    <w:rsid w:val="000D6064"/>
    <w:rsid w:val="000E0412"/>
    <w:rsid w:val="000E1B43"/>
    <w:rsid w:val="000E4A59"/>
    <w:rsid w:val="000E7887"/>
    <w:rsid w:val="000E7C1D"/>
    <w:rsid w:val="000F1484"/>
    <w:rsid w:val="000F2471"/>
    <w:rsid w:val="000F2DB3"/>
    <w:rsid w:val="000F32E3"/>
    <w:rsid w:val="000F41DC"/>
    <w:rsid w:val="000F4518"/>
    <w:rsid w:val="000F489F"/>
    <w:rsid w:val="000F5D42"/>
    <w:rsid w:val="000F6638"/>
    <w:rsid w:val="0010039D"/>
    <w:rsid w:val="001005F1"/>
    <w:rsid w:val="00100C05"/>
    <w:rsid w:val="00103069"/>
    <w:rsid w:val="00103EFD"/>
    <w:rsid w:val="00110D18"/>
    <w:rsid w:val="00110F44"/>
    <w:rsid w:val="00113A1B"/>
    <w:rsid w:val="00115FB6"/>
    <w:rsid w:val="00116E73"/>
    <w:rsid w:val="0012067E"/>
    <w:rsid w:val="00120901"/>
    <w:rsid w:val="00122011"/>
    <w:rsid w:val="0012201F"/>
    <w:rsid w:val="0012320F"/>
    <w:rsid w:val="00123BEA"/>
    <w:rsid w:val="00123CE0"/>
    <w:rsid w:val="0012419B"/>
    <w:rsid w:val="0012495C"/>
    <w:rsid w:val="00124B5D"/>
    <w:rsid w:val="001251EC"/>
    <w:rsid w:val="0012528C"/>
    <w:rsid w:val="001257A6"/>
    <w:rsid w:val="00125FAD"/>
    <w:rsid w:val="001266B0"/>
    <w:rsid w:val="00126C45"/>
    <w:rsid w:val="001300F5"/>
    <w:rsid w:val="00130FFA"/>
    <w:rsid w:val="00131554"/>
    <w:rsid w:val="0013262D"/>
    <w:rsid w:val="00133111"/>
    <w:rsid w:val="00135AB4"/>
    <w:rsid w:val="001363D4"/>
    <w:rsid w:val="001363DB"/>
    <w:rsid w:val="00136C72"/>
    <w:rsid w:val="001371FC"/>
    <w:rsid w:val="001373B8"/>
    <w:rsid w:val="00140182"/>
    <w:rsid w:val="00140F93"/>
    <w:rsid w:val="00142A7E"/>
    <w:rsid w:val="001437EB"/>
    <w:rsid w:val="00147516"/>
    <w:rsid w:val="0015063F"/>
    <w:rsid w:val="00150CCF"/>
    <w:rsid w:val="0015184C"/>
    <w:rsid w:val="00153E50"/>
    <w:rsid w:val="001541C1"/>
    <w:rsid w:val="00154C7D"/>
    <w:rsid w:val="00155FE9"/>
    <w:rsid w:val="001562F4"/>
    <w:rsid w:val="00157B40"/>
    <w:rsid w:val="00157E4A"/>
    <w:rsid w:val="00157FFC"/>
    <w:rsid w:val="001605F3"/>
    <w:rsid w:val="00161AFE"/>
    <w:rsid w:val="00163CE2"/>
    <w:rsid w:val="00164244"/>
    <w:rsid w:val="00164EB0"/>
    <w:rsid w:val="00165B49"/>
    <w:rsid w:val="001670B3"/>
    <w:rsid w:val="001740B3"/>
    <w:rsid w:val="00174EDB"/>
    <w:rsid w:val="001761F0"/>
    <w:rsid w:val="0017684F"/>
    <w:rsid w:val="001777DC"/>
    <w:rsid w:val="00180439"/>
    <w:rsid w:val="00180964"/>
    <w:rsid w:val="00180E97"/>
    <w:rsid w:val="00182123"/>
    <w:rsid w:val="00185A2B"/>
    <w:rsid w:val="00187228"/>
    <w:rsid w:val="00187F84"/>
    <w:rsid w:val="001905A0"/>
    <w:rsid w:val="0019187F"/>
    <w:rsid w:val="00191C58"/>
    <w:rsid w:val="001923AA"/>
    <w:rsid w:val="001928E4"/>
    <w:rsid w:val="00193F75"/>
    <w:rsid w:val="00194339"/>
    <w:rsid w:val="00194FEF"/>
    <w:rsid w:val="00196327"/>
    <w:rsid w:val="00197165"/>
    <w:rsid w:val="00197A8C"/>
    <w:rsid w:val="00197B82"/>
    <w:rsid w:val="001A0490"/>
    <w:rsid w:val="001A0B52"/>
    <w:rsid w:val="001A10E6"/>
    <w:rsid w:val="001A27B6"/>
    <w:rsid w:val="001A5DAA"/>
    <w:rsid w:val="001A5FCC"/>
    <w:rsid w:val="001A63C9"/>
    <w:rsid w:val="001A67A5"/>
    <w:rsid w:val="001A6862"/>
    <w:rsid w:val="001A6C72"/>
    <w:rsid w:val="001B023C"/>
    <w:rsid w:val="001B2EF9"/>
    <w:rsid w:val="001B6619"/>
    <w:rsid w:val="001C02FC"/>
    <w:rsid w:val="001C1F05"/>
    <w:rsid w:val="001C4DD5"/>
    <w:rsid w:val="001C4F42"/>
    <w:rsid w:val="001C5362"/>
    <w:rsid w:val="001C5C8E"/>
    <w:rsid w:val="001C6BAA"/>
    <w:rsid w:val="001C70C7"/>
    <w:rsid w:val="001C78E4"/>
    <w:rsid w:val="001D116A"/>
    <w:rsid w:val="001D2806"/>
    <w:rsid w:val="001D2B68"/>
    <w:rsid w:val="001D2F7B"/>
    <w:rsid w:val="001D483E"/>
    <w:rsid w:val="001D5207"/>
    <w:rsid w:val="001D55AE"/>
    <w:rsid w:val="001D652E"/>
    <w:rsid w:val="001D740B"/>
    <w:rsid w:val="001D7A08"/>
    <w:rsid w:val="001D7F35"/>
    <w:rsid w:val="001E150D"/>
    <w:rsid w:val="001E1F8D"/>
    <w:rsid w:val="001E3BEE"/>
    <w:rsid w:val="001F09E8"/>
    <w:rsid w:val="001F1D0B"/>
    <w:rsid w:val="001F1ED3"/>
    <w:rsid w:val="001F357A"/>
    <w:rsid w:val="001F3A1E"/>
    <w:rsid w:val="001F5B4D"/>
    <w:rsid w:val="001F6473"/>
    <w:rsid w:val="001F7D15"/>
    <w:rsid w:val="001F7FAC"/>
    <w:rsid w:val="0020005C"/>
    <w:rsid w:val="002000D0"/>
    <w:rsid w:val="00202346"/>
    <w:rsid w:val="002025E3"/>
    <w:rsid w:val="0020277F"/>
    <w:rsid w:val="0020352D"/>
    <w:rsid w:val="00203949"/>
    <w:rsid w:val="00204C45"/>
    <w:rsid w:val="00205691"/>
    <w:rsid w:val="002068CC"/>
    <w:rsid w:val="00207590"/>
    <w:rsid w:val="002076CD"/>
    <w:rsid w:val="002101BB"/>
    <w:rsid w:val="00210FE8"/>
    <w:rsid w:val="00211925"/>
    <w:rsid w:val="00212705"/>
    <w:rsid w:val="00213239"/>
    <w:rsid w:val="0021397A"/>
    <w:rsid w:val="00214C5B"/>
    <w:rsid w:val="002156F0"/>
    <w:rsid w:val="00216606"/>
    <w:rsid w:val="0021723B"/>
    <w:rsid w:val="00217D3D"/>
    <w:rsid w:val="00221F4D"/>
    <w:rsid w:val="00222A3B"/>
    <w:rsid w:val="00222B70"/>
    <w:rsid w:val="00223F48"/>
    <w:rsid w:val="00225F16"/>
    <w:rsid w:val="0022611F"/>
    <w:rsid w:val="00231092"/>
    <w:rsid w:val="00231234"/>
    <w:rsid w:val="0023180C"/>
    <w:rsid w:val="0023413B"/>
    <w:rsid w:val="00237284"/>
    <w:rsid w:val="00237CD1"/>
    <w:rsid w:val="00240A0A"/>
    <w:rsid w:val="00241BBA"/>
    <w:rsid w:val="00242040"/>
    <w:rsid w:val="0024448D"/>
    <w:rsid w:val="00244BE7"/>
    <w:rsid w:val="00246338"/>
    <w:rsid w:val="0024644B"/>
    <w:rsid w:val="00247D7A"/>
    <w:rsid w:val="00250158"/>
    <w:rsid w:val="00250289"/>
    <w:rsid w:val="002504D9"/>
    <w:rsid w:val="0025058F"/>
    <w:rsid w:val="002512C4"/>
    <w:rsid w:val="00253482"/>
    <w:rsid w:val="002534A6"/>
    <w:rsid w:val="00253637"/>
    <w:rsid w:val="00254CE3"/>
    <w:rsid w:val="002559F2"/>
    <w:rsid w:val="00255BBB"/>
    <w:rsid w:val="002607DE"/>
    <w:rsid w:val="00261AB4"/>
    <w:rsid w:val="00262450"/>
    <w:rsid w:val="00264789"/>
    <w:rsid w:val="002652C3"/>
    <w:rsid w:val="0026558C"/>
    <w:rsid w:val="00267850"/>
    <w:rsid w:val="00267A96"/>
    <w:rsid w:val="0027234A"/>
    <w:rsid w:val="002726A6"/>
    <w:rsid w:val="00273FCA"/>
    <w:rsid w:val="00274375"/>
    <w:rsid w:val="00275913"/>
    <w:rsid w:val="00275C12"/>
    <w:rsid w:val="00276412"/>
    <w:rsid w:val="00277340"/>
    <w:rsid w:val="00277997"/>
    <w:rsid w:val="00277BB6"/>
    <w:rsid w:val="0028017E"/>
    <w:rsid w:val="0028042F"/>
    <w:rsid w:val="002830DE"/>
    <w:rsid w:val="00284FD1"/>
    <w:rsid w:val="0028555E"/>
    <w:rsid w:val="00286677"/>
    <w:rsid w:val="00291F94"/>
    <w:rsid w:val="00293683"/>
    <w:rsid w:val="0029498E"/>
    <w:rsid w:val="002A187B"/>
    <w:rsid w:val="002A3050"/>
    <w:rsid w:val="002A30E3"/>
    <w:rsid w:val="002A3370"/>
    <w:rsid w:val="002A34F2"/>
    <w:rsid w:val="002A49B5"/>
    <w:rsid w:val="002A50FD"/>
    <w:rsid w:val="002A5DE9"/>
    <w:rsid w:val="002A7E9E"/>
    <w:rsid w:val="002B03BA"/>
    <w:rsid w:val="002B4CDE"/>
    <w:rsid w:val="002B54A0"/>
    <w:rsid w:val="002B5855"/>
    <w:rsid w:val="002B5937"/>
    <w:rsid w:val="002B6AE9"/>
    <w:rsid w:val="002B6CD8"/>
    <w:rsid w:val="002C1BEC"/>
    <w:rsid w:val="002C241D"/>
    <w:rsid w:val="002C450E"/>
    <w:rsid w:val="002C50EF"/>
    <w:rsid w:val="002C765C"/>
    <w:rsid w:val="002D0413"/>
    <w:rsid w:val="002D10BC"/>
    <w:rsid w:val="002D1DA5"/>
    <w:rsid w:val="002D21DF"/>
    <w:rsid w:val="002D2DEB"/>
    <w:rsid w:val="002D4413"/>
    <w:rsid w:val="002D53AB"/>
    <w:rsid w:val="002D5AC0"/>
    <w:rsid w:val="002D5BCB"/>
    <w:rsid w:val="002E095A"/>
    <w:rsid w:val="002E09A5"/>
    <w:rsid w:val="002E15B9"/>
    <w:rsid w:val="002E28B6"/>
    <w:rsid w:val="002E35AF"/>
    <w:rsid w:val="002E4327"/>
    <w:rsid w:val="002E609C"/>
    <w:rsid w:val="002E67A0"/>
    <w:rsid w:val="002E77C3"/>
    <w:rsid w:val="002E7D4D"/>
    <w:rsid w:val="002F0268"/>
    <w:rsid w:val="002F1186"/>
    <w:rsid w:val="002F12B5"/>
    <w:rsid w:val="002F233F"/>
    <w:rsid w:val="002F2B58"/>
    <w:rsid w:val="002F3F43"/>
    <w:rsid w:val="002F4121"/>
    <w:rsid w:val="002F45DA"/>
    <w:rsid w:val="002F692F"/>
    <w:rsid w:val="002F7984"/>
    <w:rsid w:val="00300333"/>
    <w:rsid w:val="0030034D"/>
    <w:rsid w:val="0030333B"/>
    <w:rsid w:val="00304545"/>
    <w:rsid w:val="003047C9"/>
    <w:rsid w:val="00304E27"/>
    <w:rsid w:val="00311452"/>
    <w:rsid w:val="00311C94"/>
    <w:rsid w:val="003121ED"/>
    <w:rsid w:val="00312D49"/>
    <w:rsid w:val="00313CFC"/>
    <w:rsid w:val="003148C1"/>
    <w:rsid w:val="003153C7"/>
    <w:rsid w:val="003165D4"/>
    <w:rsid w:val="003169F0"/>
    <w:rsid w:val="00320407"/>
    <w:rsid w:val="00321560"/>
    <w:rsid w:val="00321B8D"/>
    <w:rsid w:val="00321E2A"/>
    <w:rsid w:val="00324A7C"/>
    <w:rsid w:val="00324FDA"/>
    <w:rsid w:val="0032544D"/>
    <w:rsid w:val="00325D05"/>
    <w:rsid w:val="00325F82"/>
    <w:rsid w:val="00326DDC"/>
    <w:rsid w:val="003276A7"/>
    <w:rsid w:val="00327A69"/>
    <w:rsid w:val="003331FB"/>
    <w:rsid w:val="00333884"/>
    <w:rsid w:val="00333F58"/>
    <w:rsid w:val="00335D40"/>
    <w:rsid w:val="0033678F"/>
    <w:rsid w:val="00337BB4"/>
    <w:rsid w:val="003401A0"/>
    <w:rsid w:val="003402A3"/>
    <w:rsid w:val="003408E9"/>
    <w:rsid w:val="00342E63"/>
    <w:rsid w:val="00344514"/>
    <w:rsid w:val="00346067"/>
    <w:rsid w:val="0034638D"/>
    <w:rsid w:val="00346FF2"/>
    <w:rsid w:val="003471ED"/>
    <w:rsid w:val="003513FB"/>
    <w:rsid w:val="00351BE2"/>
    <w:rsid w:val="0035210B"/>
    <w:rsid w:val="00352AA9"/>
    <w:rsid w:val="00353C61"/>
    <w:rsid w:val="00356B0D"/>
    <w:rsid w:val="00357473"/>
    <w:rsid w:val="0035784F"/>
    <w:rsid w:val="003628E9"/>
    <w:rsid w:val="00364388"/>
    <w:rsid w:val="00364D3A"/>
    <w:rsid w:val="0036502E"/>
    <w:rsid w:val="00365430"/>
    <w:rsid w:val="00365F76"/>
    <w:rsid w:val="00367226"/>
    <w:rsid w:val="003679D5"/>
    <w:rsid w:val="00370858"/>
    <w:rsid w:val="003717A7"/>
    <w:rsid w:val="003719CD"/>
    <w:rsid w:val="00371E83"/>
    <w:rsid w:val="003748A2"/>
    <w:rsid w:val="00376AC1"/>
    <w:rsid w:val="003774BB"/>
    <w:rsid w:val="00383059"/>
    <w:rsid w:val="003849B1"/>
    <w:rsid w:val="00384A32"/>
    <w:rsid w:val="00385896"/>
    <w:rsid w:val="003859FB"/>
    <w:rsid w:val="00386F06"/>
    <w:rsid w:val="00387520"/>
    <w:rsid w:val="00391308"/>
    <w:rsid w:val="00391776"/>
    <w:rsid w:val="0039238B"/>
    <w:rsid w:val="003952A1"/>
    <w:rsid w:val="00397958"/>
    <w:rsid w:val="003A1756"/>
    <w:rsid w:val="003A1CF1"/>
    <w:rsid w:val="003A39EB"/>
    <w:rsid w:val="003A48E9"/>
    <w:rsid w:val="003A5F8D"/>
    <w:rsid w:val="003A6DF0"/>
    <w:rsid w:val="003A7334"/>
    <w:rsid w:val="003B2160"/>
    <w:rsid w:val="003B299F"/>
    <w:rsid w:val="003B2B61"/>
    <w:rsid w:val="003B2CAE"/>
    <w:rsid w:val="003B2E9D"/>
    <w:rsid w:val="003B3CD8"/>
    <w:rsid w:val="003B76D0"/>
    <w:rsid w:val="003B781E"/>
    <w:rsid w:val="003C2C30"/>
    <w:rsid w:val="003C3916"/>
    <w:rsid w:val="003C555D"/>
    <w:rsid w:val="003D1E0E"/>
    <w:rsid w:val="003D226F"/>
    <w:rsid w:val="003D2622"/>
    <w:rsid w:val="003D3CA8"/>
    <w:rsid w:val="003D41E7"/>
    <w:rsid w:val="003D544E"/>
    <w:rsid w:val="003D5CA9"/>
    <w:rsid w:val="003D785A"/>
    <w:rsid w:val="003E0DDB"/>
    <w:rsid w:val="003E12D0"/>
    <w:rsid w:val="003E140B"/>
    <w:rsid w:val="003E2280"/>
    <w:rsid w:val="003E2EA5"/>
    <w:rsid w:val="003E42FE"/>
    <w:rsid w:val="003E4579"/>
    <w:rsid w:val="003E4663"/>
    <w:rsid w:val="003E4F19"/>
    <w:rsid w:val="003E4F64"/>
    <w:rsid w:val="003E54F8"/>
    <w:rsid w:val="003E6A3A"/>
    <w:rsid w:val="003F30E8"/>
    <w:rsid w:val="003F38B5"/>
    <w:rsid w:val="003F3F8F"/>
    <w:rsid w:val="003F55E7"/>
    <w:rsid w:val="003F5FE3"/>
    <w:rsid w:val="003F5FF2"/>
    <w:rsid w:val="003F6367"/>
    <w:rsid w:val="00400219"/>
    <w:rsid w:val="0040205D"/>
    <w:rsid w:val="00402CFA"/>
    <w:rsid w:val="00403B0D"/>
    <w:rsid w:val="0040529A"/>
    <w:rsid w:val="00406E91"/>
    <w:rsid w:val="0041272F"/>
    <w:rsid w:val="00413752"/>
    <w:rsid w:val="00413BB1"/>
    <w:rsid w:val="00413C81"/>
    <w:rsid w:val="00417A67"/>
    <w:rsid w:val="0042058E"/>
    <w:rsid w:val="00421CAE"/>
    <w:rsid w:val="00422C4D"/>
    <w:rsid w:val="00423FDD"/>
    <w:rsid w:val="00426DC1"/>
    <w:rsid w:val="004300E4"/>
    <w:rsid w:val="00430E62"/>
    <w:rsid w:val="0043195A"/>
    <w:rsid w:val="00431F03"/>
    <w:rsid w:val="00432000"/>
    <w:rsid w:val="004339EC"/>
    <w:rsid w:val="00434FF7"/>
    <w:rsid w:val="00436D77"/>
    <w:rsid w:val="00436D82"/>
    <w:rsid w:val="0043727E"/>
    <w:rsid w:val="004373DA"/>
    <w:rsid w:val="00440144"/>
    <w:rsid w:val="00440D8B"/>
    <w:rsid w:val="00440F71"/>
    <w:rsid w:val="004411F0"/>
    <w:rsid w:val="004443C9"/>
    <w:rsid w:val="00444805"/>
    <w:rsid w:val="00445570"/>
    <w:rsid w:val="00445AF3"/>
    <w:rsid w:val="00446A5A"/>
    <w:rsid w:val="00446CD0"/>
    <w:rsid w:val="0044708B"/>
    <w:rsid w:val="004475D4"/>
    <w:rsid w:val="004514E7"/>
    <w:rsid w:val="00451595"/>
    <w:rsid w:val="004532C8"/>
    <w:rsid w:val="004562EF"/>
    <w:rsid w:val="00456455"/>
    <w:rsid w:val="00456605"/>
    <w:rsid w:val="0046128F"/>
    <w:rsid w:val="00462CB1"/>
    <w:rsid w:val="00463B4A"/>
    <w:rsid w:val="00464AB3"/>
    <w:rsid w:val="00465D75"/>
    <w:rsid w:val="00466F1F"/>
    <w:rsid w:val="00467239"/>
    <w:rsid w:val="00471D5B"/>
    <w:rsid w:val="004740D3"/>
    <w:rsid w:val="00474185"/>
    <w:rsid w:val="0047498A"/>
    <w:rsid w:val="00475FDC"/>
    <w:rsid w:val="004764C3"/>
    <w:rsid w:val="004768F6"/>
    <w:rsid w:val="00476C42"/>
    <w:rsid w:val="00476EE1"/>
    <w:rsid w:val="00480969"/>
    <w:rsid w:val="0048464A"/>
    <w:rsid w:val="00485238"/>
    <w:rsid w:val="004852CE"/>
    <w:rsid w:val="00485CAA"/>
    <w:rsid w:val="00486766"/>
    <w:rsid w:val="004871CA"/>
    <w:rsid w:val="0048745F"/>
    <w:rsid w:val="00487E59"/>
    <w:rsid w:val="00490407"/>
    <w:rsid w:val="00491B3F"/>
    <w:rsid w:val="0049443F"/>
    <w:rsid w:val="00495565"/>
    <w:rsid w:val="004958BD"/>
    <w:rsid w:val="0049637B"/>
    <w:rsid w:val="0049680B"/>
    <w:rsid w:val="00497A24"/>
    <w:rsid w:val="004A2FB2"/>
    <w:rsid w:val="004A32F6"/>
    <w:rsid w:val="004A4618"/>
    <w:rsid w:val="004A7195"/>
    <w:rsid w:val="004B1D8F"/>
    <w:rsid w:val="004B26E7"/>
    <w:rsid w:val="004B3D54"/>
    <w:rsid w:val="004B472F"/>
    <w:rsid w:val="004B5235"/>
    <w:rsid w:val="004B621B"/>
    <w:rsid w:val="004B753A"/>
    <w:rsid w:val="004C0E2A"/>
    <w:rsid w:val="004C1058"/>
    <w:rsid w:val="004C2440"/>
    <w:rsid w:val="004C416F"/>
    <w:rsid w:val="004C41C8"/>
    <w:rsid w:val="004C5199"/>
    <w:rsid w:val="004C6B44"/>
    <w:rsid w:val="004C6E15"/>
    <w:rsid w:val="004C77A8"/>
    <w:rsid w:val="004D2F0A"/>
    <w:rsid w:val="004D4552"/>
    <w:rsid w:val="004D46B6"/>
    <w:rsid w:val="004D46F9"/>
    <w:rsid w:val="004D6DA0"/>
    <w:rsid w:val="004E39A2"/>
    <w:rsid w:val="004E3DAE"/>
    <w:rsid w:val="004E407D"/>
    <w:rsid w:val="004E48AB"/>
    <w:rsid w:val="004E5113"/>
    <w:rsid w:val="004E6880"/>
    <w:rsid w:val="004E6E9C"/>
    <w:rsid w:val="004E7312"/>
    <w:rsid w:val="004E7E36"/>
    <w:rsid w:val="004F05F3"/>
    <w:rsid w:val="004F1F87"/>
    <w:rsid w:val="004F2D46"/>
    <w:rsid w:val="004F408F"/>
    <w:rsid w:val="004F4AAF"/>
    <w:rsid w:val="004F4FD9"/>
    <w:rsid w:val="00500854"/>
    <w:rsid w:val="00500C04"/>
    <w:rsid w:val="00501C3C"/>
    <w:rsid w:val="00502213"/>
    <w:rsid w:val="00503B51"/>
    <w:rsid w:val="00503D00"/>
    <w:rsid w:val="00503F7E"/>
    <w:rsid w:val="005054C4"/>
    <w:rsid w:val="00505EE8"/>
    <w:rsid w:val="00507C33"/>
    <w:rsid w:val="00513A07"/>
    <w:rsid w:val="005151B3"/>
    <w:rsid w:val="00520834"/>
    <w:rsid w:val="005208A1"/>
    <w:rsid w:val="005226CD"/>
    <w:rsid w:val="005239C0"/>
    <w:rsid w:val="00523B6E"/>
    <w:rsid w:val="005247AD"/>
    <w:rsid w:val="00525205"/>
    <w:rsid w:val="00527430"/>
    <w:rsid w:val="005279CF"/>
    <w:rsid w:val="00533F41"/>
    <w:rsid w:val="00535008"/>
    <w:rsid w:val="0053605C"/>
    <w:rsid w:val="005369CE"/>
    <w:rsid w:val="0054017A"/>
    <w:rsid w:val="005420FF"/>
    <w:rsid w:val="00542B6E"/>
    <w:rsid w:val="0054366D"/>
    <w:rsid w:val="00544167"/>
    <w:rsid w:val="00544705"/>
    <w:rsid w:val="00545527"/>
    <w:rsid w:val="00545834"/>
    <w:rsid w:val="0054688D"/>
    <w:rsid w:val="00550549"/>
    <w:rsid w:val="0055072F"/>
    <w:rsid w:val="00551C13"/>
    <w:rsid w:val="0055291D"/>
    <w:rsid w:val="00553508"/>
    <w:rsid w:val="00554C85"/>
    <w:rsid w:val="0055563E"/>
    <w:rsid w:val="00557609"/>
    <w:rsid w:val="00557A80"/>
    <w:rsid w:val="00560933"/>
    <w:rsid w:val="00560A55"/>
    <w:rsid w:val="00562B4C"/>
    <w:rsid w:val="005631C6"/>
    <w:rsid w:val="00563C67"/>
    <w:rsid w:val="00563CEC"/>
    <w:rsid w:val="0056488A"/>
    <w:rsid w:val="00564A6B"/>
    <w:rsid w:val="00565122"/>
    <w:rsid w:val="00566115"/>
    <w:rsid w:val="005667D1"/>
    <w:rsid w:val="005673AF"/>
    <w:rsid w:val="00571DBC"/>
    <w:rsid w:val="00574576"/>
    <w:rsid w:val="005745F2"/>
    <w:rsid w:val="005751AE"/>
    <w:rsid w:val="005754E7"/>
    <w:rsid w:val="00575C77"/>
    <w:rsid w:val="0057771F"/>
    <w:rsid w:val="005817BE"/>
    <w:rsid w:val="00584AE5"/>
    <w:rsid w:val="00585011"/>
    <w:rsid w:val="005857B2"/>
    <w:rsid w:val="0058656A"/>
    <w:rsid w:val="005871C5"/>
    <w:rsid w:val="00587852"/>
    <w:rsid w:val="00590A2B"/>
    <w:rsid w:val="00594397"/>
    <w:rsid w:val="005954B4"/>
    <w:rsid w:val="005957A3"/>
    <w:rsid w:val="00595E87"/>
    <w:rsid w:val="00596C73"/>
    <w:rsid w:val="005A2900"/>
    <w:rsid w:val="005A36D1"/>
    <w:rsid w:val="005A400B"/>
    <w:rsid w:val="005A6D0C"/>
    <w:rsid w:val="005B0019"/>
    <w:rsid w:val="005B026A"/>
    <w:rsid w:val="005B1411"/>
    <w:rsid w:val="005B2E2C"/>
    <w:rsid w:val="005B4D98"/>
    <w:rsid w:val="005B6F0F"/>
    <w:rsid w:val="005B7AC8"/>
    <w:rsid w:val="005B7C96"/>
    <w:rsid w:val="005C20D4"/>
    <w:rsid w:val="005C2D07"/>
    <w:rsid w:val="005C4DBA"/>
    <w:rsid w:val="005C6039"/>
    <w:rsid w:val="005C608D"/>
    <w:rsid w:val="005D2403"/>
    <w:rsid w:val="005D47B7"/>
    <w:rsid w:val="005D4911"/>
    <w:rsid w:val="005D4E84"/>
    <w:rsid w:val="005D5F3D"/>
    <w:rsid w:val="005D6F82"/>
    <w:rsid w:val="005D7368"/>
    <w:rsid w:val="005D74A1"/>
    <w:rsid w:val="005D7922"/>
    <w:rsid w:val="005E037E"/>
    <w:rsid w:val="005E0AE1"/>
    <w:rsid w:val="005E3BC1"/>
    <w:rsid w:val="005E440D"/>
    <w:rsid w:val="005E4482"/>
    <w:rsid w:val="005E555C"/>
    <w:rsid w:val="005E5E69"/>
    <w:rsid w:val="005E7133"/>
    <w:rsid w:val="005F2B45"/>
    <w:rsid w:val="005F4A89"/>
    <w:rsid w:val="005F5BB4"/>
    <w:rsid w:val="005F6C73"/>
    <w:rsid w:val="006013AC"/>
    <w:rsid w:val="006033C0"/>
    <w:rsid w:val="00603A69"/>
    <w:rsid w:val="00604EF5"/>
    <w:rsid w:val="006065A3"/>
    <w:rsid w:val="00607786"/>
    <w:rsid w:val="00611C36"/>
    <w:rsid w:val="006125B6"/>
    <w:rsid w:val="00613E78"/>
    <w:rsid w:val="00615785"/>
    <w:rsid w:val="006173E4"/>
    <w:rsid w:val="00617978"/>
    <w:rsid w:val="00617B99"/>
    <w:rsid w:val="00621195"/>
    <w:rsid w:val="00625E43"/>
    <w:rsid w:val="006272E5"/>
    <w:rsid w:val="006313A9"/>
    <w:rsid w:val="00633002"/>
    <w:rsid w:val="00633B9A"/>
    <w:rsid w:val="00633FBC"/>
    <w:rsid w:val="00637251"/>
    <w:rsid w:val="00637F3A"/>
    <w:rsid w:val="0064019F"/>
    <w:rsid w:val="0064129B"/>
    <w:rsid w:val="00642C4D"/>
    <w:rsid w:val="0064466B"/>
    <w:rsid w:val="006464B3"/>
    <w:rsid w:val="006468BA"/>
    <w:rsid w:val="0064700B"/>
    <w:rsid w:val="00647627"/>
    <w:rsid w:val="00647BD2"/>
    <w:rsid w:val="006503AD"/>
    <w:rsid w:val="00654271"/>
    <w:rsid w:val="0065489B"/>
    <w:rsid w:val="00655CCB"/>
    <w:rsid w:val="0065638F"/>
    <w:rsid w:val="00656430"/>
    <w:rsid w:val="006567FE"/>
    <w:rsid w:val="00657858"/>
    <w:rsid w:val="00660A11"/>
    <w:rsid w:val="00663F3E"/>
    <w:rsid w:val="00670821"/>
    <w:rsid w:val="00673E64"/>
    <w:rsid w:val="00673F7E"/>
    <w:rsid w:val="00674F27"/>
    <w:rsid w:val="00675BD0"/>
    <w:rsid w:val="006763A3"/>
    <w:rsid w:val="00677323"/>
    <w:rsid w:val="00681136"/>
    <w:rsid w:val="00681E5C"/>
    <w:rsid w:val="00682AFF"/>
    <w:rsid w:val="0068436E"/>
    <w:rsid w:val="00684C1C"/>
    <w:rsid w:val="00684EC2"/>
    <w:rsid w:val="006877CA"/>
    <w:rsid w:val="00687AC5"/>
    <w:rsid w:val="00692C61"/>
    <w:rsid w:val="00692FB0"/>
    <w:rsid w:val="00693F60"/>
    <w:rsid w:val="0069435E"/>
    <w:rsid w:val="00694DAD"/>
    <w:rsid w:val="00696BF8"/>
    <w:rsid w:val="00696EAB"/>
    <w:rsid w:val="006979E3"/>
    <w:rsid w:val="006A128C"/>
    <w:rsid w:val="006A31DA"/>
    <w:rsid w:val="006A38EF"/>
    <w:rsid w:val="006A4B94"/>
    <w:rsid w:val="006A6426"/>
    <w:rsid w:val="006A6505"/>
    <w:rsid w:val="006B0F1E"/>
    <w:rsid w:val="006B1017"/>
    <w:rsid w:val="006B16B6"/>
    <w:rsid w:val="006B19B8"/>
    <w:rsid w:val="006B22AA"/>
    <w:rsid w:val="006B2809"/>
    <w:rsid w:val="006B3B9E"/>
    <w:rsid w:val="006B513C"/>
    <w:rsid w:val="006B537D"/>
    <w:rsid w:val="006B67DC"/>
    <w:rsid w:val="006B756C"/>
    <w:rsid w:val="006B76A0"/>
    <w:rsid w:val="006C00B5"/>
    <w:rsid w:val="006C0DC5"/>
    <w:rsid w:val="006C13FB"/>
    <w:rsid w:val="006C2A82"/>
    <w:rsid w:val="006C2E49"/>
    <w:rsid w:val="006C5F18"/>
    <w:rsid w:val="006C65EE"/>
    <w:rsid w:val="006C6A4D"/>
    <w:rsid w:val="006C6B0C"/>
    <w:rsid w:val="006C7EA4"/>
    <w:rsid w:val="006D0798"/>
    <w:rsid w:val="006D11E2"/>
    <w:rsid w:val="006D127C"/>
    <w:rsid w:val="006D1897"/>
    <w:rsid w:val="006D1C08"/>
    <w:rsid w:val="006D1F31"/>
    <w:rsid w:val="006D4839"/>
    <w:rsid w:val="006D4863"/>
    <w:rsid w:val="006D570E"/>
    <w:rsid w:val="006D7EBA"/>
    <w:rsid w:val="006E0C59"/>
    <w:rsid w:val="006E1880"/>
    <w:rsid w:val="006E25AC"/>
    <w:rsid w:val="006E3665"/>
    <w:rsid w:val="006E54AA"/>
    <w:rsid w:val="006E5C8C"/>
    <w:rsid w:val="006E6D43"/>
    <w:rsid w:val="006E789B"/>
    <w:rsid w:val="006F0A5A"/>
    <w:rsid w:val="006F1B10"/>
    <w:rsid w:val="006F32B9"/>
    <w:rsid w:val="006F3FFE"/>
    <w:rsid w:val="006F422B"/>
    <w:rsid w:val="006F62CA"/>
    <w:rsid w:val="006F7E16"/>
    <w:rsid w:val="00700CB8"/>
    <w:rsid w:val="007044D6"/>
    <w:rsid w:val="00706439"/>
    <w:rsid w:val="0070772C"/>
    <w:rsid w:val="0071101B"/>
    <w:rsid w:val="00712161"/>
    <w:rsid w:val="0071222A"/>
    <w:rsid w:val="00713FC5"/>
    <w:rsid w:val="00715E4F"/>
    <w:rsid w:val="0071603F"/>
    <w:rsid w:val="00717617"/>
    <w:rsid w:val="0072587A"/>
    <w:rsid w:val="00726BD4"/>
    <w:rsid w:val="00727056"/>
    <w:rsid w:val="00727737"/>
    <w:rsid w:val="00727E64"/>
    <w:rsid w:val="00730618"/>
    <w:rsid w:val="00731B66"/>
    <w:rsid w:val="00732DF7"/>
    <w:rsid w:val="00733259"/>
    <w:rsid w:val="0073367F"/>
    <w:rsid w:val="00733DE9"/>
    <w:rsid w:val="00733FFA"/>
    <w:rsid w:val="00734AF4"/>
    <w:rsid w:val="007359AC"/>
    <w:rsid w:val="00735CF6"/>
    <w:rsid w:val="00737376"/>
    <w:rsid w:val="007374D2"/>
    <w:rsid w:val="0073769D"/>
    <w:rsid w:val="00737D4C"/>
    <w:rsid w:val="007423BE"/>
    <w:rsid w:val="00744319"/>
    <w:rsid w:val="007462C2"/>
    <w:rsid w:val="007505D1"/>
    <w:rsid w:val="00750780"/>
    <w:rsid w:val="00751350"/>
    <w:rsid w:val="00752FA8"/>
    <w:rsid w:val="00753117"/>
    <w:rsid w:val="00753D70"/>
    <w:rsid w:val="007547D6"/>
    <w:rsid w:val="00754CCF"/>
    <w:rsid w:val="00754DBA"/>
    <w:rsid w:val="00755B0B"/>
    <w:rsid w:val="00756578"/>
    <w:rsid w:val="00756732"/>
    <w:rsid w:val="007607B7"/>
    <w:rsid w:val="00761768"/>
    <w:rsid w:val="00761BF8"/>
    <w:rsid w:val="007625EE"/>
    <w:rsid w:val="00764FD5"/>
    <w:rsid w:val="00765409"/>
    <w:rsid w:val="007654E1"/>
    <w:rsid w:val="00765CEF"/>
    <w:rsid w:val="00767B4A"/>
    <w:rsid w:val="00767B69"/>
    <w:rsid w:val="00767C91"/>
    <w:rsid w:val="007700BB"/>
    <w:rsid w:val="00770BA9"/>
    <w:rsid w:val="00770E96"/>
    <w:rsid w:val="00773D4A"/>
    <w:rsid w:val="00773D52"/>
    <w:rsid w:val="0077514D"/>
    <w:rsid w:val="00780340"/>
    <w:rsid w:val="007804D2"/>
    <w:rsid w:val="00780807"/>
    <w:rsid w:val="00781148"/>
    <w:rsid w:val="007830D1"/>
    <w:rsid w:val="007833AB"/>
    <w:rsid w:val="00783715"/>
    <w:rsid w:val="00783A57"/>
    <w:rsid w:val="007840B9"/>
    <w:rsid w:val="00784127"/>
    <w:rsid w:val="00784A14"/>
    <w:rsid w:val="007875B8"/>
    <w:rsid w:val="00787797"/>
    <w:rsid w:val="00787ABF"/>
    <w:rsid w:val="007902DE"/>
    <w:rsid w:val="00791985"/>
    <w:rsid w:val="007934F4"/>
    <w:rsid w:val="0079385F"/>
    <w:rsid w:val="00793A70"/>
    <w:rsid w:val="0079418F"/>
    <w:rsid w:val="00794FD6"/>
    <w:rsid w:val="0079539E"/>
    <w:rsid w:val="007957A7"/>
    <w:rsid w:val="00796B72"/>
    <w:rsid w:val="00796E6E"/>
    <w:rsid w:val="007A06A6"/>
    <w:rsid w:val="007A094D"/>
    <w:rsid w:val="007A0D43"/>
    <w:rsid w:val="007A14AE"/>
    <w:rsid w:val="007A3D9B"/>
    <w:rsid w:val="007A46F4"/>
    <w:rsid w:val="007A4BDB"/>
    <w:rsid w:val="007A752D"/>
    <w:rsid w:val="007B1977"/>
    <w:rsid w:val="007B2331"/>
    <w:rsid w:val="007B3936"/>
    <w:rsid w:val="007B3C36"/>
    <w:rsid w:val="007B4E1E"/>
    <w:rsid w:val="007B786A"/>
    <w:rsid w:val="007B7A25"/>
    <w:rsid w:val="007C05C3"/>
    <w:rsid w:val="007C1638"/>
    <w:rsid w:val="007C2BBA"/>
    <w:rsid w:val="007C2E96"/>
    <w:rsid w:val="007C3126"/>
    <w:rsid w:val="007C3C1F"/>
    <w:rsid w:val="007C3ECD"/>
    <w:rsid w:val="007C40EA"/>
    <w:rsid w:val="007C4643"/>
    <w:rsid w:val="007C4C28"/>
    <w:rsid w:val="007C7AF5"/>
    <w:rsid w:val="007C7BCB"/>
    <w:rsid w:val="007D1978"/>
    <w:rsid w:val="007D1C37"/>
    <w:rsid w:val="007D263F"/>
    <w:rsid w:val="007D3DDC"/>
    <w:rsid w:val="007D510F"/>
    <w:rsid w:val="007D5240"/>
    <w:rsid w:val="007D5358"/>
    <w:rsid w:val="007D5703"/>
    <w:rsid w:val="007D59F1"/>
    <w:rsid w:val="007D6135"/>
    <w:rsid w:val="007D7174"/>
    <w:rsid w:val="007D7A72"/>
    <w:rsid w:val="007E0F5D"/>
    <w:rsid w:val="007E115C"/>
    <w:rsid w:val="007E155C"/>
    <w:rsid w:val="007E1E6C"/>
    <w:rsid w:val="007E326E"/>
    <w:rsid w:val="007E335E"/>
    <w:rsid w:val="007E3F2B"/>
    <w:rsid w:val="007E7078"/>
    <w:rsid w:val="007F27A8"/>
    <w:rsid w:val="007F4D68"/>
    <w:rsid w:val="007F5D69"/>
    <w:rsid w:val="007F7209"/>
    <w:rsid w:val="00800789"/>
    <w:rsid w:val="00800A0B"/>
    <w:rsid w:val="008011E4"/>
    <w:rsid w:val="008031E1"/>
    <w:rsid w:val="008049A9"/>
    <w:rsid w:val="0080534D"/>
    <w:rsid w:val="00805D35"/>
    <w:rsid w:val="00806E65"/>
    <w:rsid w:val="00807269"/>
    <w:rsid w:val="008126DA"/>
    <w:rsid w:val="00813A3B"/>
    <w:rsid w:val="0081463A"/>
    <w:rsid w:val="0081522F"/>
    <w:rsid w:val="008171BD"/>
    <w:rsid w:val="00817354"/>
    <w:rsid w:val="00820269"/>
    <w:rsid w:val="008210D0"/>
    <w:rsid w:val="00821549"/>
    <w:rsid w:val="00821BE1"/>
    <w:rsid w:val="00822A50"/>
    <w:rsid w:val="00823AC1"/>
    <w:rsid w:val="00824D8C"/>
    <w:rsid w:val="00826660"/>
    <w:rsid w:val="00831824"/>
    <w:rsid w:val="008335F1"/>
    <w:rsid w:val="008346C8"/>
    <w:rsid w:val="00834DAF"/>
    <w:rsid w:val="0083517E"/>
    <w:rsid w:val="00835C52"/>
    <w:rsid w:val="008368D6"/>
    <w:rsid w:val="0084023E"/>
    <w:rsid w:val="00842120"/>
    <w:rsid w:val="00842964"/>
    <w:rsid w:val="00843851"/>
    <w:rsid w:val="00846949"/>
    <w:rsid w:val="00846E56"/>
    <w:rsid w:val="008512B0"/>
    <w:rsid w:val="00851721"/>
    <w:rsid w:val="00851C40"/>
    <w:rsid w:val="00852462"/>
    <w:rsid w:val="00852A38"/>
    <w:rsid w:val="00853539"/>
    <w:rsid w:val="00853BF7"/>
    <w:rsid w:val="00854C4A"/>
    <w:rsid w:val="00854ED5"/>
    <w:rsid w:val="008557DF"/>
    <w:rsid w:val="0085730D"/>
    <w:rsid w:val="008603A7"/>
    <w:rsid w:val="008606B7"/>
    <w:rsid w:val="00861F38"/>
    <w:rsid w:val="00862666"/>
    <w:rsid w:val="00863A39"/>
    <w:rsid w:val="0086416C"/>
    <w:rsid w:val="0086433D"/>
    <w:rsid w:val="008645B6"/>
    <w:rsid w:val="008647BC"/>
    <w:rsid w:val="00867240"/>
    <w:rsid w:val="00867319"/>
    <w:rsid w:val="008718C6"/>
    <w:rsid w:val="00873D37"/>
    <w:rsid w:val="00874FFC"/>
    <w:rsid w:val="00876E22"/>
    <w:rsid w:val="0088091D"/>
    <w:rsid w:val="00881B2F"/>
    <w:rsid w:val="00882629"/>
    <w:rsid w:val="00884172"/>
    <w:rsid w:val="00885B3D"/>
    <w:rsid w:val="00886950"/>
    <w:rsid w:val="00887DD2"/>
    <w:rsid w:val="008903BD"/>
    <w:rsid w:val="008906F6"/>
    <w:rsid w:val="0089269E"/>
    <w:rsid w:val="00892DAA"/>
    <w:rsid w:val="008934C3"/>
    <w:rsid w:val="00893A29"/>
    <w:rsid w:val="008951CF"/>
    <w:rsid w:val="00895E88"/>
    <w:rsid w:val="0089602D"/>
    <w:rsid w:val="0089705A"/>
    <w:rsid w:val="008A1302"/>
    <w:rsid w:val="008A2944"/>
    <w:rsid w:val="008A2D9F"/>
    <w:rsid w:val="008A3035"/>
    <w:rsid w:val="008A5691"/>
    <w:rsid w:val="008A5F05"/>
    <w:rsid w:val="008A5FD3"/>
    <w:rsid w:val="008A6FED"/>
    <w:rsid w:val="008B0F2F"/>
    <w:rsid w:val="008B110A"/>
    <w:rsid w:val="008B30D7"/>
    <w:rsid w:val="008B5A78"/>
    <w:rsid w:val="008B5D0B"/>
    <w:rsid w:val="008B6191"/>
    <w:rsid w:val="008B6194"/>
    <w:rsid w:val="008B70C4"/>
    <w:rsid w:val="008B7549"/>
    <w:rsid w:val="008B7A87"/>
    <w:rsid w:val="008B7E75"/>
    <w:rsid w:val="008C0E67"/>
    <w:rsid w:val="008C1A63"/>
    <w:rsid w:val="008C1FDA"/>
    <w:rsid w:val="008C294B"/>
    <w:rsid w:val="008C390F"/>
    <w:rsid w:val="008C3D7E"/>
    <w:rsid w:val="008C53E2"/>
    <w:rsid w:val="008C5F98"/>
    <w:rsid w:val="008C6A2E"/>
    <w:rsid w:val="008C7728"/>
    <w:rsid w:val="008D0E36"/>
    <w:rsid w:val="008D21D2"/>
    <w:rsid w:val="008D235B"/>
    <w:rsid w:val="008D33C4"/>
    <w:rsid w:val="008D4401"/>
    <w:rsid w:val="008D553F"/>
    <w:rsid w:val="008D7689"/>
    <w:rsid w:val="008E1537"/>
    <w:rsid w:val="008E207E"/>
    <w:rsid w:val="008E23E7"/>
    <w:rsid w:val="008E2E6C"/>
    <w:rsid w:val="008E2E99"/>
    <w:rsid w:val="008E38D9"/>
    <w:rsid w:val="008E4C20"/>
    <w:rsid w:val="008E5131"/>
    <w:rsid w:val="008E58E3"/>
    <w:rsid w:val="008E6205"/>
    <w:rsid w:val="008E6A2C"/>
    <w:rsid w:val="008E7F70"/>
    <w:rsid w:val="008F16B3"/>
    <w:rsid w:val="008F1EDA"/>
    <w:rsid w:val="008F22F2"/>
    <w:rsid w:val="008F4058"/>
    <w:rsid w:val="008F71B2"/>
    <w:rsid w:val="008F7B61"/>
    <w:rsid w:val="00901896"/>
    <w:rsid w:val="00902B30"/>
    <w:rsid w:val="00903621"/>
    <w:rsid w:val="0090362C"/>
    <w:rsid w:val="00906B19"/>
    <w:rsid w:val="00907B0E"/>
    <w:rsid w:val="0091419D"/>
    <w:rsid w:val="00914297"/>
    <w:rsid w:val="00915586"/>
    <w:rsid w:val="00915F7B"/>
    <w:rsid w:val="009169F3"/>
    <w:rsid w:val="009246D5"/>
    <w:rsid w:val="00925FD0"/>
    <w:rsid w:val="009263AC"/>
    <w:rsid w:val="00934420"/>
    <w:rsid w:val="00934F65"/>
    <w:rsid w:val="0093655D"/>
    <w:rsid w:val="0093684D"/>
    <w:rsid w:val="009406D8"/>
    <w:rsid w:val="00941A73"/>
    <w:rsid w:val="0094557F"/>
    <w:rsid w:val="0095089E"/>
    <w:rsid w:val="00950B32"/>
    <w:rsid w:val="00950E98"/>
    <w:rsid w:val="009528E0"/>
    <w:rsid w:val="009539A3"/>
    <w:rsid w:val="00961485"/>
    <w:rsid w:val="009627AB"/>
    <w:rsid w:val="00962B2D"/>
    <w:rsid w:val="009640FF"/>
    <w:rsid w:val="009663C7"/>
    <w:rsid w:val="00966E41"/>
    <w:rsid w:val="009675C1"/>
    <w:rsid w:val="009675CD"/>
    <w:rsid w:val="00967958"/>
    <w:rsid w:val="00970D9C"/>
    <w:rsid w:val="009715BE"/>
    <w:rsid w:val="009724B4"/>
    <w:rsid w:val="009737D8"/>
    <w:rsid w:val="00974AA3"/>
    <w:rsid w:val="009761CF"/>
    <w:rsid w:val="009765F2"/>
    <w:rsid w:val="009779F6"/>
    <w:rsid w:val="009804DF"/>
    <w:rsid w:val="0098131E"/>
    <w:rsid w:val="0098142A"/>
    <w:rsid w:val="00981C12"/>
    <w:rsid w:val="0098260C"/>
    <w:rsid w:val="009832E2"/>
    <w:rsid w:val="009838A8"/>
    <w:rsid w:val="00983916"/>
    <w:rsid w:val="00984F20"/>
    <w:rsid w:val="0098532B"/>
    <w:rsid w:val="00985B5A"/>
    <w:rsid w:val="00985DC3"/>
    <w:rsid w:val="00985E4B"/>
    <w:rsid w:val="00987A68"/>
    <w:rsid w:val="0099042F"/>
    <w:rsid w:val="009906B5"/>
    <w:rsid w:val="0099106A"/>
    <w:rsid w:val="0099238C"/>
    <w:rsid w:val="009929DB"/>
    <w:rsid w:val="00992ACA"/>
    <w:rsid w:val="00994370"/>
    <w:rsid w:val="009944D1"/>
    <w:rsid w:val="00995117"/>
    <w:rsid w:val="009A06D0"/>
    <w:rsid w:val="009A4035"/>
    <w:rsid w:val="009A51DE"/>
    <w:rsid w:val="009B2102"/>
    <w:rsid w:val="009B2C5A"/>
    <w:rsid w:val="009B58E8"/>
    <w:rsid w:val="009B6294"/>
    <w:rsid w:val="009B67E8"/>
    <w:rsid w:val="009B7FD0"/>
    <w:rsid w:val="009C13BB"/>
    <w:rsid w:val="009C19A8"/>
    <w:rsid w:val="009C2535"/>
    <w:rsid w:val="009C41CD"/>
    <w:rsid w:val="009C6688"/>
    <w:rsid w:val="009C7830"/>
    <w:rsid w:val="009D093F"/>
    <w:rsid w:val="009D4C76"/>
    <w:rsid w:val="009D6CA6"/>
    <w:rsid w:val="009D7C67"/>
    <w:rsid w:val="009E0122"/>
    <w:rsid w:val="009E0B3C"/>
    <w:rsid w:val="009E0BF2"/>
    <w:rsid w:val="009E16C1"/>
    <w:rsid w:val="009E1D29"/>
    <w:rsid w:val="009E30DE"/>
    <w:rsid w:val="009E3987"/>
    <w:rsid w:val="009E3EEC"/>
    <w:rsid w:val="009E7ED5"/>
    <w:rsid w:val="009F05BE"/>
    <w:rsid w:val="009F0F59"/>
    <w:rsid w:val="009F11D3"/>
    <w:rsid w:val="009F20A1"/>
    <w:rsid w:val="009F23B2"/>
    <w:rsid w:val="009F25F3"/>
    <w:rsid w:val="009F26CF"/>
    <w:rsid w:val="009F2B4A"/>
    <w:rsid w:val="009F48DB"/>
    <w:rsid w:val="009F568D"/>
    <w:rsid w:val="009F60DF"/>
    <w:rsid w:val="00A0272F"/>
    <w:rsid w:val="00A02FAE"/>
    <w:rsid w:val="00A03BE5"/>
    <w:rsid w:val="00A0574D"/>
    <w:rsid w:val="00A067E3"/>
    <w:rsid w:val="00A0705B"/>
    <w:rsid w:val="00A076F5"/>
    <w:rsid w:val="00A10558"/>
    <w:rsid w:val="00A11361"/>
    <w:rsid w:val="00A125C4"/>
    <w:rsid w:val="00A13353"/>
    <w:rsid w:val="00A14388"/>
    <w:rsid w:val="00A1452F"/>
    <w:rsid w:val="00A1515E"/>
    <w:rsid w:val="00A157C0"/>
    <w:rsid w:val="00A15EA2"/>
    <w:rsid w:val="00A1779B"/>
    <w:rsid w:val="00A17C17"/>
    <w:rsid w:val="00A209C9"/>
    <w:rsid w:val="00A20B2A"/>
    <w:rsid w:val="00A20D6F"/>
    <w:rsid w:val="00A2224D"/>
    <w:rsid w:val="00A2317B"/>
    <w:rsid w:val="00A253C7"/>
    <w:rsid w:val="00A254D8"/>
    <w:rsid w:val="00A2694C"/>
    <w:rsid w:val="00A27DC2"/>
    <w:rsid w:val="00A3168E"/>
    <w:rsid w:val="00A3238F"/>
    <w:rsid w:val="00A323F2"/>
    <w:rsid w:val="00A33721"/>
    <w:rsid w:val="00A33F3F"/>
    <w:rsid w:val="00A36055"/>
    <w:rsid w:val="00A368BE"/>
    <w:rsid w:val="00A37DD8"/>
    <w:rsid w:val="00A4224A"/>
    <w:rsid w:val="00A42A6A"/>
    <w:rsid w:val="00A42E36"/>
    <w:rsid w:val="00A43093"/>
    <w:rsid w:val="00A46474"/>
    <w:rsid w:val="00A4731B"/>
    <w:rsid w:val="00A473FE"/>
    <w:rsid w:val="00A51276"/>
    <w:rsid w:val="00A52622"/>
    <w:rsid w:val="00A535C4"/>
    <w:rsid w:val="00A54722"/>
    <w:rsid w:val="00A54CE1"/>
    <w:rsid w:val="00A55F23"/>
    <w:rsid w:val="00A5673B"/>
    <w:rsid w:val="00A56B11"/>
    <w:rsid w:val="00A56CB9"/>
    <w:rsid w:val="00A57123"/>
    <w:rsid w:val="00A60B91"/>
    <w:rsid w:val="00A62663"/>
    <w:rsid w:val="00A62DCE"/>
    <w:rsid w:val="00A63B23"/>
    <w:rsid w:val="00A658EB"/>
    <w:rsid w:val="00A67009"/>
    <w:rsid w:val="00A67563"/>
    <w:rsid w:val="00A67F17"/>
    <w:rsid w:val="00A707AF"/>
    <w:rsid w:val="00A70F56"/>
    <w:rsid w:val="00A70FEC"/>
    <w:rsid w:val="00A724B5"/>
    <w:rsid w:val="00A74044"/>
    <w:rsid w:val="00A75F32"/>
    <w:rsid w:val="00A765C7"/>
    <w:rsid w:val="00A77B8B"/>
    <w:rsid w:val="00A81C9D"/>
    <w:rsid w:val="00A82AD2"/>
    <w:rsid w:val="00A82D31"/>
    <w:rsid w:val="00A82D6F"/>
    <w:rsid w:val="00A842A4"/>
    <w:rsid w:val="00A86808"/>
    <w:rsid w:val="00A872CD"/>
    <w:rsid w:val="00A9038A"/>
    <w:rsid w:val="00A905C1"/>
    <w:rsid w:val="00A90859"/>
    <w:rsid w:val="00A90C48"/>
    <w:rsid w:val="00A938C4"/>
    <w:rsid w:val="00A93DF1"/>
    <w:rsid w:val="00A94542"/>
    <w:rsid w:val="00A95915"/>
    <w:rsid w:val="00A9640E"/>
    <w:rsid w:val="00AA0768"/>
    <w:rsid w:val="00AA145E"/>
    <w:rsid w:val="00AA3927"/>
    <w:rsid w:val="00AA3E12"/>
    <w:rsid w:val="00AA62BC"/>
    <w:rsid w:val="00AA6855"/>
    <w:rsid w:val="00AB03CC"/>
    <w:rsid w:val="00AB334A"/>
    <w:rsid w:val="00AB54FB"/>
    <w:rsid w:val="00AB5D41"/>
    <w:rsid w:val="00AB7728"/>
    <w:rsid w:val="00AC1AF9"/>
    <w:rsid w:val="00AC475A"/>
    <w:rsid w:val="00AC7496"/>
    <w:rsid w:val="00AC7BA0"/>
    <w:rsid w:val="00AD0158"/>
    <w:rsid w:val="00AD0BEE"/>
    <w:rsid w:val="00AD1D77"/>
    <w:rsid w:val="00AD2FFC"/>
    <w:rsid w:val="00AD3DBE"/>
    <w:rsid w:val="00AD55CC"/>
    <w:rsid w:val="00AD6663"/>
    <w:rsid w:val="00AD6DDE"/>
    <w:rsid w:val="00AD77A2"/>
    <w:rsid w:val="00AD7C2F"/>
    <w:rsid w:val="00AE0838"/>
    <w:rsid w:val="00AE0EC1"/>
    <w:rsid w:val="00AE0FC9"/>
    <w:rsid w:val="00AE1535"/>
    <w:rsid w:val="00AE36A9"/>
    <w:rsid w:val="00AE4D35"/>
    <w:rsid w:val="00AE533A"/>
    <w:rsid w:val="00AE67F6"/>
    <w:rsid w:val="00AE7998"/>
    <w:rsid w:val="00AF2A52"/>
    <w:rsid w:val="00AF2EF4"/>
    <w:rsid w:val="00AF3DE4"/>
    <w:rsid w:val="00AF3F63"/>
    <w:rsid w:val="00AF4DC3"/>
    <w:rsid w:val="00AF514D"/>
    <w:rsid w:val="00AF51B2"/>
    <w:rsid w:val="00AF52C3"/>
    <w:rsid w:val="00AF5BFF"/>
    <w:rsid w:val="00AF77F9"/>
    <w:rsid w:val="00B00942"/>
    <w:rsid w:val="00B010A5"/>
    <w:rsid w:val="00B010D2"/>
    <w:rsid w:val="00B011BE"/>
    <w:rsid w:val="00B014D2"/>
    <w:rsid w:val="00B0205B"/>
    <w:rsid w:val="00B035B6"/>
    <w:rsid w:val="00B0447A"/>
    <w:rsid w:val="00B0449A"/>
    <w:rsid w:val="00B0453D"/>
    <w:rsid w:val="00B0467A"/>
    <w:rsid w:val="00B1258D"/>
    <w:rsid w:val="00B15EFD"/>
    <w:rsid w:val="00B165F1"/>
    <w:rsid w:val="00B16AA3"/>
    <w:rsid w:val="00B1755B"/>
    <w:rsid w:val="00B20A6C"/>
    <w:rsid w:val="00B225C0"/>
    <w:rsid w:val="00B2261F"/>
    <w:rsid w:val="00B229C7"/>
    <w:rsid w:val="00B259FD"/>
    <w:rsid w:val="00B25C7A"/>
    <w:rsid w:val="00B26259"/>
    <w:rsid w:val="00B26798"/>
    <w:rsid w:val="00B2735F"/>
    <w:rsid w:val="00B2766B"/>
    <w:rsid w:val="00B30261"/>
    <w:rsid w:val="00B30461"/>
    <w:rsid w:val="00B315DC"/>
    <w:rsid w:val="00B4099F"/>
    <w:rsid w:val="00B433A2"/>
    <w:rsid w:val="00B44C68"/>
    <w:rsid w:val="00B45AAA"/>
    <w:rsid w:val="00B46475"/>
    <w:rsid w:val="00B47B19"/>
    <w:rsid w:val="00B50E33"/>
    <w:rsid w:val="00B522AB"/>
    <w:rsid w:val="00B5248E"/>
    <w:rsid w:val="00B53BF5"/>
    <w:rsid w:val="00B54CF3"/>
    <w:rsid w:val="00B55038"/>
    <w:rsid w:val="00B5645B"/>
    <w:rsid w:val="00B601DE"/>
    <w:rsid w:val="00B613F5"/>
    <w:rsid w:val="00B63B76"/>
    <w:rsid w:val="00B65ADC"/>
    <w:rsid w:val="00B65D9C"/>
    <w:rsid w:val="00B65F89"/>
    <w:rsid w:val="00B70236"/>
    <w:rsid w:val="00B70868"/>
    <w:rsid w:val="00B71251"/>
    <w:rsid w:val="00B72305"/>
    <w:rsid w:val="00B72408"/>
    <w:rsid w:val="00B72457"/>
    <w:rsid w:val="00B76958"/>
    <w:rsid w:val="00B77FE3"/>
    <w:rsid w:val="00B808E4"/>
    <w:rsid w:val="00B80F72"/>
    <w:rsid w:val="00B818F5"/>
    <w:rsid w:val="00B8235E"/>
    <w:rsid w:val="00B85A94"/>
    <w:rsid w:val="00B85BDB"/>
    <w:rsid w:val="00B86009"/>
    <w:rsid w:val="00B90EF7"/>
    <w:rsid w:val="00B90F92"/>
    <w:rsid w:val="00B91271"/>
    <w:rsid w:val="00B913C1"/>
    <w:rsid w:val="00B91933"/>
    <w:rsid w:val="00B93A5A"/>
    <w:rsid w:val="00B9776B"/>
    <w:rsid w:val="00BA20F4"/>
    <w:rsid w:val="00BA2E51"/>
    <w:rsid w:val="00BA4B86"/>
    <w:rsid w:val="00BA5653"/>
    <w:rsid w:val="00BA682A"/>
    <w:rsid w:val="00BA7403"/>
    <w:rsid w:val="00BA7453"/>
    <w:rsid w:val="00BA7A2F"/>
    <w:rsid w:val="00BB1C72"/>
    <w:rsid w:val="00BB1DE2"/>
    <w:rsid w:val="00BB2B17"/>
    <w:rsid w:val="00BB4AE4"/>
    <w:rsid w:val="00BB4FDC"/>
    <w:rsid w:val="00BB5DA3"/>
    <w:rsid w:val="00BB73BC"/>
    <w:rsid w:val="00BC0089"/>
    <w:rsid w:val="00BC14EB"/>
    <w:rsid w:val="00BC1941"/>
    <w:rsid w:val="00BC1E18"/>
    <w:rsid w:val="00BC2500"/>
    <w:rsid w:val="00BC3079"/>
    <w:rsid w:val="00BC3DA8"/>
    <w:rsid w:val="00BC42A3"/>
    <w:rsid w:val="00BC62BA"/>
    <w:rsid w:val="00BC63A0"/>
    <w:rsid w:val="00BC6FB2"/>
    <w:rsid w:val="00BC7173"/>
    <w:rsid w:val="00BC7FBE"/>
    <w:rsid w:val="00BD4155"/>
    <w:rsid w:val="00BD41D2"/>
    <w:rsid w:val="00BD4237"/>
    <w:rsid w:val="00BD680A"/>
    <w:rsid w:val="00BD703A"/>
    <w:rsid w:val="00BE0067"/>
    <w:rsid w:val="00BE0B80"/>
    <w:rsid w:val="00BE225F"/>
    <w:rsid w:val="00BE31FC"/>
    <w:rsid w:val="00BE4431"/>
    <w:rsid w:val="00BE484E"/>
    <w:rsid w:val="00BE4AE4"/>
    <w:rsid w:val="00BE4AF6"/>
    <w:rsid w:val="00BE5D8B"/>
    <w:rsid w:val="00BE788D"/>
    <w:rsid w:val="00BE7E42"/>
    <w:rsid w:val="00BF1177"/>
    <w:rsid w:val="00BF1A7E"/>
    <w:rsid w:val="00BF2E51"/>
    <w:rsid w:val="00BF358A"/>
    <w:rsid w:val="00BF3C78"/>
    <w:rsid w:val="00BF46EA"/>
    <w:rsid w:val="00BF56A9"/>
    <w:rsid w:val="00BF5BA2"/>
    <w:rsid w:val="00BF5CB3"/>
    <w:rsid w:val="00BF6DB7"/>
    <w:rsid w:val="00C00EB1"/>
    <w:rsid w:val="00C02099"/>
    <w:rsid w:val="00C0320F"/>
    <w:rsid w:val="00C035F9"/>
    <w:rsid w:val="00C04ADB"/>
    <w:rsid w:val="00C06108"/>
    <w:rsid w:val="00C06145"/>
    <w:rsid w:val="00C06345"/>
    <w:rsid w:val="00C066A6"/>
    <w:rsid w:val="00C06ADD"/>
    <w:rsid w:val="00C10616"/>
    <w:rsid w:val="00C10879"/>
    <w:rsid w:val="00C11629"/>
    <w:rsid w:val="00C11740"/>
    <w:rsid w:val="00C12494"/>
    <w:rsid w:val="00C136F0"/>
    <w:rsid w:val="00C153FE"/>
    <w:rsid w:val="00C1785D"/>
    <w:rsid w:val="00C2189C"/>
    <w:rsid w:val="00C219EE"/>
    <w:rsid w:val="00C230DF"/>
    <w:rsid w:val="00C261F1"/>
    <w:rsid w:val="00C30795"/>
    <w:rsid w:val="00C31412"/>
    <w:rsid w:val="00C31ECA"/>
    <w:rsid w:val="00C33333"/>
    <w:rsid w:val="00C33661"/>
    <w:rsid w:val="00C341A4"/>
    <w:rsid w:val="00C3659F"/>
    <w:rsid w:val="00C40D1C"/>
    <w:rsid w:val="00C44B9C"/>
    <w:rsid w:val="00C45175"/>
    <w:rsid w:val="00C45CEF"/>
    <w:rsid w:val="00C45E18"/>
    <w:rsid w:val="00C46A65"/>
    <w:rsid w:val="00C46AE4"/>
    <w:rsid w:val="00C50A76"/>
    <w:rsid w:val="00C51A45"/>
    <w:rsid w:val="00C51DE6"/>
    <w:rsid w:val="00C54DAE"/>
    <w:rsid w:val="00C612F3"/>
    <w:rsid w:val="00C61E74"/>
    <w:rsid w:val="00C633F3"/>
    <w:rsid w:val="00C63D2D"/>
    <w:rsid w:val="00C64536"/>
    <w:rsid w:val="00C649FF"/>
    <w:rsid w:val="00C64CC1"/>
    <w:rsid w:val="00C66550"/>
    <w:rsid w:val="00C671D9"/>
    <w:rsid w:val="00C714BC"/>
    <w:rsid w:val="00C71C0B"/>
    <w:rsid w:val="00C71CDC"/>
    <w:rsid w:val="00C72DD7"/>
    <w:rsid w:val="00C7485A"/>
    <w:rsid w:val="00C77D2E"/>
    <w:rsid w:val="00C802B0"/>
    <w:rsid w:val="00C82734"/>
    <w:rsid w:val="00C83213"/>
    <w:rsid w:val="00C838BF"/>
    <w:rsid w:val="00C8399F"/>
    <w:rsid w:val="00C83DD8"/>
    <w:rsid w:val="00C84BE5"/>
    <w:rsid w:val="00C8544C"/>
    <w:rsid w:val="00C865EE"/>
    <w:rsid w:val="00C86721"/>
    <w:rsid w:val="00C86C60"/>
    <w:rsid w:val="00C87FAE"/>
    <w:rsid w:val="00C90972"/>
    <w:rsid w:val="00C91D56"/>
    <w:rsid w:val="00C91E3B"/>
    <w:rsid w:val="00C93FF9"/>
    <w:rsid w:val="00C9476E"/>
    <w:rsid w:val="00C978AE"/>
    <w:rsid w:val="00C97F05"/>
    <w:rsid w:val="00CA2DB9"/>
    <w:rsid w:val="00CA4A9D"/>
    <w:rsid w:val="00CA58E6"/>
    <w:rsid w:val="00CA5B79"/>
    <w:rsid w:val="00CA6C36"/>
    <w:rsid w:val="00CA6E3D"/>
    <w:rsid w:val="00CA7227"/>
    <w:rsid w:val="00CB1A53"/>
    <w:rsid w:val="00CB1ABE"/>
    <w:rsid w:val="00CB1FCA"/>
    <w:rsid w:val="00CB2F3F"/>
    <w:rsid w:val="00CB3CF3"/>
    <w:rsid w:val="00CB5274"/>
    <w:rsid w:val="00CB75A8"/>
    <w:rsid w:val="00CC0BD1"/>
    <w:rsid w:val="00CC14C9"/>
    <w:rsid w:val="00CC2ECF"/>
    <w:rsid w:val="00CC32E6"/>
    <w:rsid w:val="00CC3CC6"/>
    <w:rsid w:val="00CC4FAC"/>
    <w:rsid w:val="00CC52A4"/>
    <w:rsid w:val="00CC55DB"/>
    <w:rsid w:val="00CC5653"/>
    <w:rsid w:val="00CC72A2"/>
    <w:rsid w:val="00CC7320"/>
    <w:rsid w:val="00CC799D"/>
    <w:rsid w:val="00CD1B2C"/>
    <w:rsid w:val="00CD3B99"/>
    <w:rsid w:val="00CD44BA"/>
    <w:rsid w:val="00CD6D1A"/>
    <w:rsid w:val="00CD7FEE"/>
    <w:rsid w:val="00CE0B55"/>
    <w:rsid w:val="00CE0B67"/>
    <w:rsid w:val="00CE13DE"/>
    <w:rsid w:val="00CE1C4D"/>
    <w:rsid w:val="00CE2363"/>
    <w:rsid w:val="00CE4E6B"/>
    <w:rsid w:val="00CE52CA"/>
    <w:rsid w:val="00CE5CD2"/>
    <w:rsid w:val="00CE7187"/>
    <w:rsid w:val="00CF00A4"/>
    <w:rsid w:val="00CF222E"/>
    <w:rsid w:val="00CF3B5A"/>
    <w:rsid w:val="00CF5366"/>
    <w:rsid w:val="00CF6B0D"/>
    <w:rsid w:val="00CF73C7"/>
    <w:rsid w:val="00CF77FA"/>
    <w:rsid w:val="00CF7B12"/>
    <w:rsid w:val="00D001A0"/>
    <w:rsid w:val="00D02151"/>
    <w:rsid w:val="00D0231D"/>
    <w:rsid w:val="00D0368F"/>
    <w:rsid w:val="00D03828"/>
    <w:rsid w:val="00D04A16"/>
    <w:rsid w:val="00D0690F"/>
    <w:rsid w:val="00D07FDB"/>
    <w:rsid w:val="00D120C7"/>
    <w:rsid w:val="00D1345F"/>
    <w:rsid w:val="00D13BAD"/>
    <w:rsid w:val="00D13F1C"/>
    <w:rsid w:val="00D143B5"/>
    <w:rsid w:val="00D1512B"/>
    <w:rsid w:val="00D158FE"/>
    <w:rsid w:val="00D15F51"/>
    <w:rsid w:val="00D15F54"/>
    <w:rsid w:val="00D16E10"/>
    <w:rsid w:val="00D20443"/>
    <w:rsid w:val="00D20B6C"/>
    <w:rsid w:val="00D20F3F"/>
    <w:rsid w:val="00D21C1F"/>
    <w:rsid w:val="00D21CE3"/>
    <w:rsid w:val="00D21D85"/>
    <w:rsid w:val="00D2435B"/>
    <w:rsid w:val="00D24F7A"/>
    <w:rsid w:val="00D25A10"/>
    <w:rsid w:val="00D27EC1"/>
    <w:rsid w:val="00D30904"/>
    <w:rsid w:val="00D30E97"/>
    <w:rsid w:val="00D313A6"/>
    <w:rsid w:val="00D31C76"/>
    <w:rsid w:val="00D32967"/>
    <w:rsid w:val="00D33581"/>
    <w:rsid w:val="00D3470C"/>
    <w:rsid w:val="00D34CD6"/>
    <w:rsid w:val="00D34F7B"/>
    <w:rsid w:val="00D351E8"/>
    <w:rsid w:val="00D356D9"/>
    <w:rsid w:val="00D35A37"/>
    <w:rsid w:val="00D4046F"/>
    <w:rsid w:val="00D40E92"/>
    <w:rsid w:val="00D41720"/>
    <w:rsid w:val="00D44016"/>
    <w:rsid w:val="00D442EC"/>
    <w:rsid w:val="00D445B0"/>
    <w:rsid w:val="00D464D6"/>
    <w:rsid w:val="00D4766B"/>
    <w:rsid w:val="00D5099D"/>
    <w:rsid w:val="00D50AA2"/>
    <w:rsid w:val="00D52161"/>
    <w:rsid w:val="00D5277A"/>
    <w:rsid w:val="00D54034"/>
    <w:rsid w:val="00D544BF"/>
    <w:rsid w:val="00D55834"/>
    <w:rsid w:val="00D56CDA"/>
    <w:rsid w:val="00D574AB"/>
    <w:rsid w:val="00D57649"/>
    <w:rsid w:val="00D57B4F"/>
    <w:rsid w:val="00D6162A"/>
    <w:rsid w:val="00D617B9"/>
    <w:rsid w:val="00D62FE5"/>
    <w:rsid w:val="00D63BB5"/>
    <w:rsid w:val="00D65C50"/>
    <w:rsid w:val="00D65EA1"/>
    <w:rsid w:val="00D66B0F"/>
    <w:rsid w:val="00D66D5F"/>
    <w:rsid w:val="00D66DBF"/>
    <w:rsid w:val="00D66E19"/>
    <w:rsid w:val="00D6713E"/>
    <w:rsid w:val="00D70FD2"/>
    <w:rsid w:val="00D71054"/>
    <w:rsid w:val="00D72F08"/>
    <w:rsid w:val="00D73DE0"/>
    <w:rsid w:val="00D74C26"/>
    <w:rsid w:val="00D7520D"/>
    <w:rsid w:val="00D756B4"/>
    <w:rsid w:val="00D77013"/>
    <w:rsid w:val="00D82287"/>
    <w:rsid w:val="00D84457"/>
    <w:rsid w:val="00D844CD"/>
    <w:rsid w:val="00D84AB3"/>
    <w:rsid w:val="00D84E8D"/>
    <w:rsid w:val="00D8570A"/>
    <w:rsid w:val="00D864C9"/>
    <w:rsid w:val="00D867C9"/>
    <w:rsid w:val="00D87351"/>
    <w:rsid w:val="00D906DB"/>
    <w:rsid w:val="00D9239E"/>
    <w:rsid w:val="00D92A86"/>
    <w:rsid w:val="00D92DAA"/>
    <w:rsid w:val="00D935D2"/>
    <w:rsid w:val="00D95E84"/>
    <w:rsid w:val="00D97316"/>
    <w:rsid w:val="00DA0EFE"/>
    <w:rsid w:val="00DA1147"/>
    <w:rsid w:val="00DA2FC9"/>
    <w:rsid w:val="00DA45FF"/>
    <w:rsid w:val="00DA4AC1"/>
    <w:rsid w:val="00DA4AD7"/>
    <w:rsid w:val="00DA632C"/>
    <w:rsid w:val="00DB1E04"/>
    <w:rsid w:val="00DB2A71"/>
    <w:rsid w:val="00DB6AE9"/>
    <w:rsid w:val="00DB6CE4"/>
    <w:rsid w:val="00DB75E6"/>
    <w:rsid w:val="00DB7644"/>
    <w:rsid w:val="00DC0562"/>
    <w:rsid w:val="00DC1939"/>
    <w:rsid w:val="00DC1B44"/>
    <w:rsid w:val="00DC3C6D"/>
    <w:rsid w:val="00DC47DB"/>
    <w:rsid w:val="00DC4E7D"/>
    <w:rsid w:val="00DC536E"/>
    <w:rsid w:val="00DC59C4"/>
    <w:rsid w:val="00DC6044"/>
    <w:rsid w:val="00DC764E"/>
    <w:rsid w:val="00DD17E7"/>
    <w:rsid w:val="00DD180D"/>
    <w:rsid w:val="00DD1AB1"/>
    <w:rsid w:val="00DD1C8E"/>
    <w:rsid w:val="00DD3C3C"/>
    <w:rsid w:val="00DD5EEC"/>
    <w:rsid w:val="00DD6EB0"/>
    <w:rsid w:val="00DD7A94"/>
    <w:rsid w:val="00DE0EB4"/>
    <w:rsid w:val="00DE177B"/>
    <w:rsid w:val="00DE3272"/>
    <w:rsid w:val="00DE4625"/>
    <w:rsid w:val="00DE4964"/>
    <w:rsid w:val="00DE5E8A"/>
    <w:rsid w:val="00DE62C2"/>
    <w:rsid w:val="00DE6569"/>
    <w:rsid w:val="00DE691A"/>
    <w:rsid w:val="00DE69D5"/>
    <w:rsid w:val="00DF0173"/>
    <w:rsid w:val="00DF029B"/>
    <w:rsid w:val="00DF0700"/>
    <w:rsid w:val="00DF0CB8"/>
    <w:rsid w:val="00DF1249"/>
    <w:rsid w:val="00DF1C13"/>
    <w:rsid w:val="00DF3298"/>
    <w:rsid w:val="00DF36AE"/>
    <w:rsid w:val="00DF470F"/>
    <w:rsid w:val="00DF57D0"/>
    <w:rsid w:val="00E005B1"/>
    <w:rsid w:val="00E01756"/>
    <w:rsid w:val="00E0198C"/>
    <w:rsid w:val="00E02914"/>
    <w:rsid w:val="00E0396A"/>
    <w:rsid w:val="00E04788"/>
    <w:rsid w:val="00E05141"/>
    <w:rsid w:val="00E06A7E"/>
    <w:rsid w:val="00E07DE5"/>
    <w:rsid w:val="00E109CB"/>
    <w:rsid w:val="00E125C4"/>
    <w:rsid w:val="00E1300F"/>
    <w:rsid w:val="00E13097"/>
    <w:rsid w:val="00E13AB8"/>
    <w:rsid w:val="00E14066"/>
    <w:rsid w:val="00E14487"/>
    <w:rsid w:val="00E14944"/>
    <w:rsid w:val="00E15FF4"/>
    <w:rsid w:val="00E179FE"/>
    <w:rsid w:val="00E206C2"/>
    <w:rsid w:val="00E21B56"/>
    <w:rsid w:val="00E22A40"/>
    <w:rsid w:val="00E23DBD"/>
    <w:rsid w:val="00E250F6"/>
    <w:rsid w:val="00E261DA"/>
    <w:rsid w:val="00E26A50"/>
    <w:rsid w:val="00E27686"/>
    <w:rsid w:val="00E308EA"/>
    <w:rsid w:val="00E30AED"/>
    <w:rsid w:val="00E31363"/>
    <w:rsid w:val="00E31AFD"/>
    <w:rsid w:val="00E31F1C"/>
    <w:rsid w:val="00E3311B"/>
    <w:rsid w:val="00E3382C"/>
    <w:rsid w:val="00E3461C"/>
    <w:rsid w:val="00E350C4"/>
    <w:rsid w:val="00E3527E"/>
    <w:rsid w:val="00E36379"/>
    <w:rsid w:val="00E40949"/>
    <w:rsid w:val="00E40D56"/>
    <w:rsid w:val="00E41870"/>
    <w:rsid w:val="00E418E9"/>
    <w:rsid w:val="00E427FC"/>
    <w:rsid w:val="00E42DD5"/>
    <w:rsid w:val="00E45E1C"/>
    <w:rsid w:val="00E4662B"/>
    <w:rsid w:val="00E46777"/>
    <w:rsid w:val="00E50616"/>
    <w:rsid w:val="00E53D95"/>
    <w:rsid w:val="00E53FF4"/>
    <w:rsid w:val="00E5429A"/>
    <w:rsid w:val="00E56638"/>
    <w:rsid w:val="00E5666B"/>
    <w:rsid w:val="00E56EAA"/>
    <w:rsid w:val="00E608C4"/>
    <w:rsid w:val="00E627FF"/>
    <w:rsid w:val="00E62B3C"/>
    <w:rsid w:val="00E63693"/>
    <w:rsid w:val="00E63F7A"/>
    <w:rsid w:val="00E651DB"/>
    <w:rsid w:val="00E65BB4"/>
    <w:rsid w:val="00E66455"/>
    <w:rsid w:val="00E670D5"/>
    <w:rsid w:val="00E7423C"/>
    <w:rsid w:val="00E74A05"/>
    <w:rsid w:val="00E75174"/>
    <w:rsid w:val="00E75D80"/>
    <w:rsid w:val="00E76558"/>
    <w:rsid w:val="00E80674"/>
    <w:rsid w:val="00E81020"/>
    <w:rsid w:val="00E81957"/>
    <w:rsid w:val="00E82770"/>
    <w:rsid w:val="00E85566"/>
    <w:rsid w:val="00E85BC8"/>
    <w:rsid w:val="00E85BCE"/>
    <w:rsid w:val="00E8680F"/>
    <w:rsid w:val="00E90BD3"/>
    <w:rsid w:val="00E91779"/>
    <w:rsid w:val="00E9487B"/>
    <w:rsid w:val="00EA1F04"/>
    <w:rsid w:val="00EA30F6"/>
    <w:rsid w:val="00EA4073"/>
    <w:rsid w:val="00EA46CF"/>
    <w:rsid w:val="00EA5054"/>
    <w:rsid w:val="00EA5F22"/>
    <w:rsid w:val="00EA5F58"/>
    <w:rsid w:val="00EA754F"/>
    <w:rsid w:val="00EA77B4"/>
    <w:rsid w:val="00EB300C"/>
    <w:rsid w:val="00EB35BF"/>
    <w:rsid w:val="00EB3BC3"/>
    <w:rsid w:val="00EB48EC"/>
    <w:rsid w:val="00EB667B"/>
    <w:rsid w:val="00EB7DF4"/>
    <w:rsid w:val="00EC10D6"/>
    <w:rsid w:val="00EC1A94"/>
    <w:rsid w:val="00EC2987"/>
    <w:rsid w:val="00EC30D1"/>
    <w:rsid w:val="00EC4190"/>
    <w:rsid w:val="00EC5173"/>
    <w:rsid w:val="00EC61BA"/>
    <w:rsid w:val="00EC7456"/>
    <w:rsid w:val="00EC7DEC"/>
    <w:rsid w:val="00ED063D"/>
    <w:rsid w:val="00ED1F2D"/>
    <w:rsid w:val="00ED257E"/>
    <w:rsid w:val="00ED407C"/>
    <w:rsid w:val="00ED4787"/>
    <w:rsid w:val="00ED5356"/>
    <w:rsid w:val="00ED7B92"/>
    <w:rsid w:val="00EE0706"/>
    <w:rsid w:val="00EE07C6"/>
    <w:rsid w:val="00EE0847"/>
    <w:rsid w:val="00EE0C1D"/>
    <w:rsid w:val="00EE26C7"/>
    <w:rsid w:val="00EE26CE"/>
    <w:rsid w:val="00EE46BD"/>
    <w:rsid w:val="00EE6B78"/>
    <w:rsid w:val="00EE7295"/>
    <w:rsid w:val="00EF004B"/>
    <w:rsid w:val="00EF03BA"/>
    <w:rsid w:val="00EF0956"/>
    <w:rsid w:val="00EF1F14"/>
    <w:rsid w:val="00EF62BA"/>
    <w:rsid w:val="00EF6674"/>
    <w:rsid w:val="00F018CC"/>
    <w:rsid w:val="00F0380B"/>
    <w:rsid w:val="00F04E13"/>
    <w:rsid w:val="00F06D08"/>
    <w:rsid w:val="00F1086D"/>
    <w:rsid w:val="00F10AA6"/>
    <w:rsid w:val="00F14734"/>
    <w:rsid w:val="00F22162"/>
    <w:rsid w:val="00F24109"/>
    <w:rsid w:val="00F24B43"/>
    <w:rsid w:val="00F26D08"/>
    <w:rsid w:val="00F32017"/>
    <w:rsid w:val="00F32648"/>
    <w:rsid w:val="00F32B61"/>
    <w:rsid w:val="00F337C3"/>
    <w:rsid w:val="00F34BB6"/>
    <w:rsid w:val="00F35740"/>
    <w:rsid w:val="00F3595A"/>
    <w:rsid w:val="00F36325"/>
    <w:rsid w:val="00F36675"/>
    <w:rsid w:val="00F3695F"/>
    <w:rsid w:val="00F37DD8"/>
    <w:rsid w:val="00F40A1C"/>
    <w:rsid w:val="00F419FE"/>
    <w:rsid w:val="00F427F2"/>
    <w:rsid w:val="00F43A86"/>
    <w:rsid w:val="00F43AFB"/>
    <w:rsid w:val="00F43E88"/>
    <w:rsid w:val="00F47628"/>
    <w:rsid w:val="00F50A57"/>
    <w:rsid w:val="00F52D5E"/>
    <w:rsid w:val="00F55097"/>
    <w:rsid w:val="00F57EC3"/>
    <w:rsid w:val="00F60695"/>
    <w:rsid w:val="00F60AC6"/>
    <w:rsid w:val="00F60B8F"/>
    <w:rsid w:val="00F60D7B"/>
    <w:rsid w:val="00F64707"/>
    <w:rsid w:val="00F65D78"/>
    <w:rsid w:val="00F673B7"/>
    <w:rsid w:val="00F67F9E"/>
    <w:rsid w:val="00F701DC"/>
    <w:rsid w:val="00F70479"/>
    <w:rsid w:val="00F74431"/>
    <w:rsid w:val="00F76978"/>
    <w:rsid w:val="00F77270"/>
    <w:rsid w:val="00F776F9"/>
    <w:rsid w:val="00F81591"/>
    <w:rsid w:val="00F83958"/>
    <w:rsid w:val="00F83976"/>
    <w:rsid w:val="00F84547"/>
    <w:rsid w:val="00F847F0"/>
    <w:rsid w:val="00F84F99"/>
    <w:rsid w:val="00F867A5"/>
    <w:rsid w:val="00F87B97"/>
    <w:rsid w:val="00F902B2"/>
    <w:rsid w:val="00F906A4"/>
    <w:rsid w:val="00F91308"/>
    <w:rsid w:val="00F91C96"/>
    <w:rsid w:val="00F94664"/>
    <w:rsid w:val="00F97C4D"/>
    <w:rsid w:val="00F97EC5"/>
    <w:rsid w:val="00FA21A3"/>
    <w:rsid w:val="00FA3862"/>
    <w:rsid w:val="00FA3D13"/>
    <w:rsid w:val="00FA46D2"/>
    <w:rsid w:val="00FA5B0C"/>
    <w:rsid w:val="00FA6C2A"/>
    <w:rsid w:val="00FA75FB"/>
    <w:rsid w:val="00FA7662"/>
    <w:rsid w:val="00FB0AE3"/>
    <w:rsid w:val="00FB10E4"/>
    <w:rsid w:val="00FB220C"/>
    <w:rsid w:val="00FB22BB"/>
    <w:rsid w:val="00FB4E32"/>
    <w:rsid w:val="00FC0508"/>
    <w:rsid w:val="00FC062D"/>
    <w:rsid w:val="00FC0B28"/>
    <w:rsid w:val="00FC2A42"/>
    <w:rsid w:val="00FC6B33"/>
    <w:rsid w:val="00FC6BF8"/>
    <w:rsid w:val="00FD0838"/>
    <w:rsid w:val="00FD0EE0"/>
    <w:rsid w:val="00FD17C4"/>
    <w:rsid w:val="00FD1C5E"/>
    <w:rsid w:val="00FD5889"/>
    <w:rsid w:val="00FD691F"/>
    <w:rsid w:val="00FD6A70"/>
    <w:rsid w:val="00FD6D74"/>
    <w:rsid w:val="00FD6E9E"/>
    <w:rsid w:val="00FD7754"/>
    <w:rsid w:val="00FD7954"/>
    <w:rsid w:val="00FE12D2"/>
    <w:rsid w:val="00FE269A"/>
    <w:rsid w:val="00FE2AF9"/>
    <w:rsid w:val="00FE2C16"/>
    <w:rsid w:val="00FE3521"/>
    <w:rsid w:val="00FE36F0"/>
    <w:rsid w:val="00FE4151"/>
    <w:rsid w:val="00FE578D"/>
    <w:rsid w:val="00FE5951"/>
    <w:rsid w:val="00FE606C"/>
    <w:rsid w:val="00FE6E97"/>
    <w:rsid w:val="00FE726A"/>
    <w:rsid w:val="00FE792E"/>
    <w:rsid w:val="00FF139E"/>
    <w:rsid w:val="00FF1E50"/>
    <w:rsid w:val="00FF2803"/>
    <w:rsid w:val="00FF5A80"/>
    <w:rsid w:val="00FF6191"/>
    <w:rsid w:val="09DB04D3"/>
    <w:rsid w:val="0FE663C2"/>
    <w:rsid w:val="12C14EC5"/>
    <w:rsid w:val="159526C2"/>
    <w:rsid w:val="16846E3B"/>
    <w:rsid w:val="1EF108E0"/>
    <w:rsid w:val="34F33406"/>
    <w:rsid w:val="385E74CA"/>
    <w:rsid w:val="3FCD36F4"/>
    <w:rsid w:val="54D73AF9"/>
    <w:rsid w:val="62FC0316"/>
    <w:rsid w:val="6FD64C81"/>
    <w:rsid w:val="71467BE4"/>
    <w:rsid w:val="7A0C5ABB"/>
    <w:rsid w:val="7B911550"/>
    <w:rsid w:val="7F0954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4"/>
    <w:next w:val="5"/>
    <w:qFormat/>
    <w:uiPriority w:val="0"/>
    <w:pPr>
      <w:keepNext/>
      <w:keepLines/>
      <w:numPr>
        <w:ilvl w:val="0"/>
        <w:numId w:val="1"/>
      </w:numPr>
      <w:spacing w:before="340" w:after="330"/>
      <w:jc w:val="left"/>
    </w:pPr>
    <w:rPr>
      <w:bCs w:val="0"/>
      <w:kern w:val="44"/>
      <w:sz w:val="36"/>
      <w:szCs w:val="44"/>
    </w:rPr>
  </w:style>
  <w:style w:type="paragraph" w:styleId="6">
    <w:name w:val="heading 2"/>
    <w:basedOn w:val="3"/>
    <w:next w:val="5"/>
    <w:qFormat/>
    <w:uiPriority w:val="0"/>
    <w:pPr>
      <w:numPr>
        <w:ilvl w:val="1"/>
      </w:numPr>
      <w:tabs>
        <w:tab w:val="left" w:pos="359"/>
        <w:tab w:val="left" w:pos="567"/>
      </w:tabs>
      <w:spacing w:before="240" w:after="230"/>
      <w:outlineLvl w:val="1"/>
    </w:pPr>
    <w:rPr>
      <w:bCs/>
      <w:sz w:val="32"/>
      <w:szCs w:val="32"/>
    </w:rPr>
  </w:style>
  <w:style w:type="paragraph" w:styleId="7">
    <w:name w:val="heading 3"/>
    <w:basedOn w:val="1"/>
    <w:next w:val="5"/>
    <w:qFormat/>
    <w:uiPriority w:val="0"/>
    <w:pPr>
      <w:keepNext/>
      <w:keepLines/>
      <w:numPr>
        <w:ilvl w:val="2"/>
        <w:numId w:val="1"/>
      </w:numPr>
      <w:spacing w:before="200" w:after="190"/>
      <w:jc w:val="left"/>
      <w:outlineLvl w:val="2"/>
    </w:pPr>
    <w:rPr>
      <w:rFonts w:ascii="Arial" w:hAnsi="Arial"/>
      <w:b/>
      <w:bCs/>
      <w:sz w:val="30"/>
      <w:szCs w:val="30"/>
    </w:rPr>
  </w:style>
  <w:style w:type="paragraph" w:styleId="8">
    <w:name w:val="heading 4"/>
    <w:basedOn w:val="1"/>
    <w:next w:val="5"/>
    <w:qFormat/>
    <w:uiPriority w:val="0"/>
    <w:pPr>
      <w:keepNext/>
      <w:keepLines/>
      <w:numPr>
        <w:ilvl w:val="3"/>
        <w:numId w:val="1"/>
      </w:numPr>
      <w:spacing w:before="120" w:after="110"/>
      <w:jc w:val="left"/>
      <w:outlineLvl w:val="3"/>
    </w:pPr>
    <w:rPr>
      <w:rFonts w:ascii="Arial" w:hAnsi="Arial"/>
      <w:b/>
      <w:bCs/>
      <w:sz w:val="28"/>
      <w:szCs w:val="28"/>
    </w:rPr>
  </w:style>
  <w:style w:type="paragraph" w:styleId="9">
    <w:name w:val="heading 5"/>
    <w:basedOn w:val="1"/>
    <w:next w:val="1"/>
    <w:qFormat/>
    <w:uiPriority w:val="0"/>
    <w:pPr>
      <w:keepNext/>
      <w:keepLines/>
      <w:numPr>
        <w:ilvl w:val="4"/>
        <w:numId w:val="1"/>
      </w:numPr>
      <w:spacing w:before="120" w:after="110"/>
      <w:jc w:val="left"/>
      <w:outlineLvl w:val="4"/>
    </w:pPr>
    <w:rPr>
      <w:b/>
      <w:bCs/>
      <w:sz w:val="24"/>
      <w:szCs w:val="28"/>
    </w:rPr>
  </w:style>
  <w:style w:type="character" w:default="1" w:styleId="21">
    <w:name w:val="Default Paragraph Font"/>
    <w:unhideWhenUsed/>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2">
    <w:name w:val="Body Text"/>
    <w:basedOn w:val="1"/>
    <w:uiPriority w:val="0"/>
    <w:rPr>
      <w:rFonts w:eastAsia="仿宋_GB2312"/>
      <w:sz w:val="32"/>
    </w:rPr>
  </w:style>
  <w:style w:type="paragraph" w:styleId="4">
    <w:name w:val="Title"/>
    <w:basedOn w:val="1"/>
    <w:qFormat/>
    <w:uiPriority w:val="0"/>
    <w:pPr>
      <w:spacing w:before="240" w:after="60"/>
      <w:jc w:val="center"/>
      <w:outlineLvl w:val="0"/>
    </w:pPr>
    <w:rPr>
      <w:rFonts w:ascii="Arial" w:hAnsi="Arial" w:cs="Arial"/>
      <w:b/>
      <w:bCs/>
      <w:sz w:val="32"/>
      <w:szCs w:val="32"/>
    </w:rPr>
  </w:style>
  <w:style w:type="paragraph" w:styleId="5">
    <w:name w:val="Body Text First Indent"/>
    <w:basedOn w:val="2"/>
    <w:qFormat/>
    <w:uiPriority w:val="0"/>
    <w:pPr>
      <w:spacing w:after="120"/>
      <w:ind w:firstLine="420" w:firstLineChars="100"/>
    </w:pPr>
    <w:rPr>
      <w:rFonts w:eastAsia="宋体"/>
      <w:sz w:val="21"/>
    </w:rPr>
  </w:style>
  <w:style w:type="paragraph" w:styleId="10">
    <w:name w:val="Normal Indent"/>
    <w:basedOn w:val="1"/>
    <w:uiPriority w:val="0"/>
    <w:pPr>
      <w:ind w:firstLine="420" w:firstLineChars="200"/>
    </w:pPr>
    <w:rPr>
      <w:szCs w:val="21"/>
    </w:rPr>
  </w:style>
  <w:style w:type="paragraph" w:styleId="11">
    <w:name w:val="Document Map"/>
    <w:basedOn w:val="1"/>
    <w:semiHidden/>
    <w:qFormat/>
    <w:uiPriority w:val="0"/>
    <w:pPr>
      <w:shd w:val="clear" w:color="auto" w:fill="000080"/>
    </w:pPr>
  </w:style>
  <w:style w:type="paragraph" w:styleId="12">
    <w:name w:val="annotation text"/>
    <w:basedOn w:val="1"/>
    <w:semiHidden/>
    <w:qFormat/>
    <w:uiPriority w:val="0"/>
    <w:pPr>
      <w:jc w:val="left"/>
    </w:pPr>
  </w:style>
  <w:style w:type="paragraph" w:styleId="13">
    <w:name w:val="Plain Text"/>
    <w:basedOn w:val="1"/>
    <w:uiPriority w:val="0"/>
    <w:rPr>
      <w:rFonts w:ascii="宋体" w:hAnsi="Courier New"/>
      <w:szCs w:val="20"/>
    </w:rPr>
  </w:style>
  <w:style w:type="paragraph" w:styleId="14">
    <w:name w:val="Date"/>
    <w:basedOn w:val="1"/>
    <w:next w:val="1"/>
    <w:uiPriority w:val="0"/>
    <w:pPr>
      <w:ind w:left="100" w:leftChars="2500"/>
    </w:pPr>
  </w:style>
  <w:style w:type="paragraph" w:styleId="15">
    <w:name w:val="Balloon Text"/>
    <w:basedOn w:val="1"/>
    <w:semiHidden/>
    <w:qFormat/>
    <w:uiPriority w:val="0"/>
    <w:rPr>
      <w:sz w:val="18"/>
      <w:szCs w:val="18"/>
    </w:rPr>
  </w:style>
  <w:style w:type="paragraph" w:styleId="16">
    <w:name w:val="footer"/>
    <w:basedOn w:val="1"/>
    <w:uiPriority w:val="0"/>
    <w:pPr>
      <w:tabs>
        <w:tab w:val="center" w:pos="4153"/>
        <w:tab w:val="right" w:pos="8306"/>
      </w:tabs>
      <w:snapToGrid w:val="0"/>
      <w:jc w:val="left"/>
    </w:pPr>
    <w:rPr>
      <w:sz w:val="18"/>
      <w:szCs w:val="18"/>
    </w:rPr>
  </w:style>
  <w:style w:type="paragraph" w:styleId="17">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8">
    <w:name w:val="annotation subject"/>
    <w:basedOn w:val="12"/>
    <w:next w:val="12"/>
    <w:semiHidden/>
    <w:qFormat/>
    <w:uiPriority w:val="0"/>
    <w:rPr>
      <w:b/>
      <w:bCs/>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page number"/>
    <w:basedOn w:val="21"/>
    <w:qFormat/>
    <w:uiPriority w:val="0"/>
  </w:style>
  <w:style w:type="character" w:styleId="23">
    <w:name w:val="Hyperlink"/>
    <w:basedOn w:val="21"/>
    <w:uiPriority w:val="0"/>
    <w:rPr>
      <w:color w:val="0000FF"/>
      <w:u w:val="single"/>
    </w:rPr>
  </w:style>
  <w:style w:type="character" w:styleId="24">
    <w:name w:val="annotation reference"/>
    <w:basedOn w:val="21"/>
    <w:semiHidden/>
    <w:uiPriority w:val="0"/>
    <w:rPr>
      <w:sz w:val="21"/>
      <w:szCs w:val="21"/>
    </w:rPr>
  </w:style>
  <w:style w:type="paragraph" w:customStyle="1" w:styleId="25">
    <w:name w:val="Char"/>
    <w:basedOn w:val="1"/>
    <w:qFormat/>
    <w:uiPriority w:val="0"/>
    <w:pPr>
      <w:tabs>
        <w:tab w:val="left" w:pos="360"/>
      </w:tabs>
    </w:pPr>
    <w:rPr>
      <w:sz w:val="24"/>
    </w:rPr>
  </w:style>
  <w:style w:type="paragraph" w:customStyle="1" w:styleId="26">
    <w:name w:val="Char Char Char Char Char Char Char"/>
    <w:basedOn w:val="1"/>
    <w:uiPriority w:val="0"/>
    <w:pPr>
      <w:tabs>
        <w:tab w:val="left" w:pos="360"/>
      </w:tabs>
    </w:pPr>
    <w:rPr>
      <w:sz w:val="24"/>
    </w:rPr>
  </w:style>
  <w:style w:type="paragraph" w:customStyle="1" w:styleId="27">
    <w:name w:val="Char1 Char Char Char"/>
    <w:basedOn w:val="1"/>
    <w:qFormat/>
    <w:uiPriority w:val="0"/>
    <w:pPr>
      <w:tabs>
        <w:tab w:val="left" w:pos="360"/>
      </w:tabs>
    </w:pPr>
    <w:rPr>
      <w:sz w:val="24"/>
    </w:rPr>
  </w:style>
  <w:style w:type="paragraph" w:customStyle="1" w:styleId="28">
    <w:name w:val="Char Char Char Char Char Char Char Char Char Char"/>
    <w:basedOn w:val="1"/>
    <w:uiPriority w:val="0"/>
    <w:pPr>
      <w:tabs>
        <w:tab w:val="left" w:pos="360"/>
      </w:tabs>
    </w:pPr>
    <w:rPr>
      <w:sz w:val="24"/>
    </w:rPr>
  </w:style>
  <w:style w:type="paragraph" w:customStyle="1" w:styleId="29">
    <w:name w:val="Char1"/>
    <w:basedOn w:val="1"/>
    <w:uiPriority w:val="0"/>
    <w:pPr>
      <w:tabs>
        <w:tab w:val="left" w:pos="360"/>
      </w:tabs>
    </w:pPr>
    <w:rPr>
      <w:sz w:val="24"/>
    </w:rPr>
  </w:style>
  <w:style w:type="paragraph" w:customStyle="1" w:styleId="30">
    <w:name w:val="Char Char Char Char Char Char Char Char Char Char Char Char Char Char Char Char"/>
    <w:basedOn w:val="1"/>
    <w:qFormat/>
    <w:uiPriority w:val="0"/>
    <w:pPr>
      <w:tabs>
        <w:tab w:val="left" w:pos="360"/>
      </w:tabs>
    </w:pPr>
    <w:rPr>
      <w:sz w:val="24"/>
    </w:rPr>
  </w:style>
  <w:style w:type="paragraph" w:customStyle="1" w:styleId="31">
    <w:name w:val="Char2"/>
    <w:basedOn w:val="1"/>
    <w:qFormat/>
    <w:uiPriority w:val="0"/>
    <w:pPr>
      <w:tabs>
        <w:tab w:val="left" w:pos="360"/>
      </w:tabs>
    </w:pPr>
    <w:rPr>
      <w:sz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Company>cspec</Company>
  <Pages>5</Pages>
  <Words>1855</Words>
  <Characters>1868</Characters>
  <Lines>14</Lines>
  <Paragraphs>3</Paragraphs>
  <TotalTime>2</TotalTime>
  <ScaleCrop>false</ScaleCrop>
  <LinksUpToDate>false</LinksUpToDate>
  <CharactersWithSpaces>1892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2026-03-24T06:54:00Z</dcterms:created>
  <dc:creator>502</dc:creator>
  <cp:lastModifiedBy>清风徐来</cp:lastModifiedBy>
  <cp:lastPrinted>2007-07-19T07:48:00Z</cp:lastPrinted>
  <dcterms:modified xsi:type="dcterms:W3CDTF">2026-05-19T14:00:09Z</dcterms:modified>
  <dc:title>重要信息系统定级工作实施方案及说明</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A43C62F38D404A07BE9496876DCDD0FE_12</vt:lpwstr>
  </property>
  <property fmtid="{D5CDD505-2E9C-101B-9397-08002B2CF9AE}" pid="4" name="KSOTemplateDocerSaveRecord">
    <vt:lpwstr>eyJoZGlkIjoiMzkxNjkyMDdhYzY5MGFkMWViOGNhMWE4MTBkOWJiZWMiLCJ1c2VySWQiOiIzMTc2MDM5MTQifQ==</vt:lpwstr>
  </property>
</Properties>
</file>