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line="240" w:lineRule="auto" w:before="0" w:after="0"/>
        <w:jc w:val="center"/>
      </w:pPr>
      <w:r>
        <w:drawing>
          <wp:inline>
            <wp:extent cx="863999" cy="584181"/>
            <wp:effectExtent b="0" l="0" r="0" t="0"/>
            <wp:docPr descr="" title="" id="69" name="Picture"/>
            <a:graphic>
              <a:graphicData uri="http://schemas.openxmlformats.org/drawingml/2006/picture">
                <pic:pic>
                  <pic:nvPicPr>
                    <pic:cNvPr descr="/private/tmp/wcl-thesis-refs.5Cpxri/thesis_unzip/word/media/image1.jpg" id="70" name="Picture"/>
                    <pic:cNvPicPr>
                      <a:picLocks noChangeArrowheads="1" noChangeAspect="1"/>
                    </pic:cNvPicPr>
                  </pic:nvPicPr>
                  <pic:blipFill>
                    <a:blip r:embed="rId68"/>
                    <a:stretch>
                      <a:fillRect/>
                    </a:stretch>
                  </pic:blipFill>
                  <pic:spPr bwMode="auto">
                    <a:xfrm>
                      <a:off x="0" y="0"/>
                      <a:ext cx="863999" cy="584181"/>
                    </a:xfrm>
                    <a:prstGeom prst="rect">
                      <a:avLst/>
                    </a:prstGeom>
                    <a:noFill/>
                    <a:ln w="9525">
                      <a:noFill/>
                      <a:headEnd/>
                      <a:tailEnd/>
                    </a:ln>
                  </pic:spPr>
                </pic:pic>
              </a:graphicData>
            </a:graphic>
          </wp:inline>
        </w:drawing>
      </w:r>
    </w:p>
    <w:p>
      <w:pPr>
        <w:pStyle w:val="BodyText"/>
        <w:spacing w:before="120" w:after="0" w:line="240" w:lineRule="auto"/>
        <w:jc w:val="center"/>
      </w:pPr>
      <w:r>
        <w:rPr>
          <w:rFonts w:ascii="Times New Roman" w:hAnsi="Times New Roman" w:eastAsia="Times New Roman"/>
          <w:b/>
          <w:sz w:val="28"/>
        </w:rPr>
        <w:t>UNION UNIVERSITY</w:t>
      </w:r>
    </w:p>
    <w:p>
      <w:pPr>
        <w:pStyle w:val="BodyText"/>
        <w:spacing w:before="0" w:after="200" w:line="240" w:lineRule="auto"/>
        <w:jc w:val="center"/>
      </w:pPr>
      <w:r>
        <w:rPr>
          <w:rFonts w:ascii="Times New Roman" w:hAnsi="Times New Roman" w:eastAsia="Times New Roman"/>
          <w:b/>
          <w:sz w:val="28"/>
        </w:rPr>
        <w:t>SCHOOL OF COMPUTING BELGRADE, SERBIA</w:t>
      </w:r>
    </w:p>
    <w:p>
      <w:pPr>
        <w:pStyle w:val="BodyText"/>
        <w:spacing w:before="80" w:after="480" w:line="240" w:lineRule="auto"/>
        <w:jc w:val="center"/>
      </w:pPr>
      <w:r>
        <w:rPr>
          <w:rFonts w:ascii="Times New Roman" w:hAnsi="Times New Roman" w:eastAsia="Times New Roman"/>
          <w:b/>
          <w:sz w:val="26"/>
        </w:rPr>
        <w:t>MASTER IN COMPUTATIONAL FINANCE</w:t>
      </w:r>
    </w:p>
    <w:p>
      <w:pPr>
        <w:pStyle w:val="BodyText"/>
        <w:spacing w:before="320" w:after="320" w:line="240" w:lineRule="auto"/>
        <w:jc w:val="center"/>
      </w:pPr>
      <w:r>
        <w:rPr>
          <w:rFonts w:ascii="Times New Roman" w:hAnsi="Times New Roman" w:eastAsia="Times New Roman"/>
          <w:b/>
          <w:sz w:val="32"/>
        </w:rPr>
        <w:t>MASTER’S THESIS</w:t>
      </w:r>
    </w:p>
    <w:p>
      <w:pPr>
        <w:pStyle w:val="BodyText"/>
        <w:spacing w:before="120" w:after="560" w:line="240" w:lineRule="auto"/>
        <w:jc w:val="center"/>
      </w:pPr>
      <w:r>
        <w:rPr>
          <w:rFonts w:ascii="Times New Roman" w:hAnsi="Times New Roman" w:eastAsia="Times New Roman"/>
          <w:b/>
          <w:sz w:val="32"/>
        </w:rPr>
        <w:t>Dynamic Determination of Short-Term Corporate Credit Limits Using Machine Learning</w:t>
      </w:r>
    </w:p>
    <w:p>
      <w:pPr>
        <w:pStyle w:val="BodyText"/>
        <w:spacing w:before="120" w:after="0" w:line="240" w:lineRule="auto"/>
        <w:jc w:val="center"/>
      </w:pPr>
      <w:r>
        <w:rPr>
          <w:rFonts w:ascii="Times New Roman" w:hAnsi="Times New Roman" w:eastAsia="Times New Roman"/>
          <w:b w:val="0"/>
          <w:sz w:val="24"/>
        </w:rPr>
        <w:t>Student: Đorđe Veličković</w:t>
      </w:r>
    </w:p>
    <w:p>
      <w:pPr>
        <w:pStyle w:val="BodyText"/>
        <w:spacing w:before="0" w:after="0" w:line="240" w:lineRule="auto"/>
        <w:jc w:val="center"/>
      </w:pPr>
      <w:r>
        <w:rPr>
          <w:rFonts w:ascii="Times New Roman" w:hAnsi="Times New Roman" w:eastAsia="Times New Roman"/>
          <w:b w:val="0"/>
          <w:sz w:val="24"/>
        </w:rPr>
        <w:t>Student ID number: [TO BE ENTERED]</w:t>
      </w:r>
    </w:p>
    <w:p>
      <w:pPr>
        <w:pStyle w:val="BodyText"/>
        <w:spacing w:before="0" w:after="600" w:line="240" w:lineRule="auto"/>
        <w:jc w:val="center"/>
      </w:pPr>
      <w:r>
        <w:rPr>
          <w:rFonts w:ascii="Times New Roman" w:hAnsi="Times New Roman" w:eastAsia="Times New Roman"/>
          <w:b w:val="0"/>
          <w:sz w:val="24"/>
        </w:rPr>
        <w:t>Supervisor: Prof. Dr. Branko Urošević</w:t>
      </w:r>
    </w:p>
    <w:p>
      <w:pPr>
        <w:pStyle w:val="BodyText"/>
        <w:spacing w:before="0" w:after="0" w:line="240" w:lineRule="auto"/>
        <w:jc w:val="center"/>
      </w:pPr>
      <w:r>
        <w:rPr>
          <w:rFonts w:ascii="Times New Roman" w:hAnsi="Times New Roman" w:eastAsia="Times New Roman"/>
          <w:b w:val="0"/>
          <w:sz w:val="24"/>
        </w:rPr>
        <w:t>Belgrade, October 2026</w:t>
      </w:r>
    </w:p>
    <w:p>
      <w:pPr>
        <w:pStyle w:val="Heading1"/>
        <w:pageBreakBefore/>
        <w:jc w:val="center"/>
      </w:pPr>
      <w:bookmarkStart w:id="71" w:name="_abstract"/>
      <w:r>
        <w:rPr>
          <w:rFonts w:ascii="Times New Roman" w:hAnsi="Times New Roman" w:eastAsia="Times New Roman"/>
          <w:b w:val="0"/>
          <w:sz w:val="28"/>
        </w:rPr>
        <w:t xml:space="preserve">Abstract</w:t>
      </w:r>
      <w:bookmarkEnd w:id="71"/>
    </w:p>
    <w:p>
      <w:pPr>
        <w:pStyle w:val="FirstParagraph"/>
        <w:spacing w:before="0" w:after="200" w:line="276" w:lineRule="auto"/>
        <w:jc w:val="both"/>
      </w:pPr>
      <w:r>
        <w:rPr>
          <w:rFonts w:ascii="Times New Roman" w:hAnsi="Times New Roman" w:eastAsia="Times New Roman"/>
          <w:b w:val="0"/>
          <w:sz w:val="24"/>
        </w:rPr>
        <w:t xml:space="preserve">This thesis studies how financial information and machine learning can support dynamic short-term corporate credit limits. The proposed facility has a 30-day statement period and up to 30 additional days for payment. The framework separates event-risk prediction from a monetary policy based on financial capacity, a risk adjustment and an exposure cap.</w:t>
      </w:r>
    </w:p>
    <w:p>
      <w:pPr>
        <w:pStyle w:val="BodyText"/>
        <w:spacing w:before="0" w:after="200" w:line="276" w:lineRule="auto"/>
        <w:jc w:val="both"/>
      </w:pPr>
      <w:r>
        <w:rPr>
          <w:rFonts w:ascii="Times New Roman" w:hAnsi="Times New Roman" w:eastAsia="Times New Roman"/>
          <w:b w:val="0"/>
          <w:sz w:val="24"/>
        </w:rPr>
        <w:t xml:space="preserve">The empirical analysis combines SEC Company Facts, Financial Statement and Notes facts, and submissions in one panel. It constructs 565,222 labeled company-month observations from 8,780 companies over 2011–2025. Twelve point-in-time accounting predictors cover liquidity, leverage, profitability, cash flow, growth and firm size. The target is a new bankruptcy or reviewed payment-failure disclosure episode within the next 60 days. It is a disclosure outcome, not verified payment default.</w:t>
      </w:r>
    </w:p>
    <w:p>
      <w:pPr>
        <w:pStyle w:val="BodyText"/>
        <w:spacing w:before="0" w:after="200" w:line="276" w:lineRule="auto"/>
        <w:jc w:val="both"/>
      </w:pPr>
      <w:r>
        <w:rPr>
          <w:rFonts w:ascii="Times New Roman" w:hAnsi="Times New Roman" w:eastAsia="Times New Roman"/>
          <w:b w:val="0"/>
          <w:sz w:val="24"/>
        </w:rPr>
        <w:t xml:space="preserve">Logistic regression, L2 logistic regression, random forest and XGBoost are compared through chronological training, temporal tuning, calibration, selection and later evaluation. The selected random forest retains its raw probability because sigmoid calibration worsens selection-period Brier error. On 131,842 observations from 2023–2025, it achieves ROC-AUC 0.8866 and average precision of 2.60%, which is 10.77 times the 0.241% event share. Its Brier score of 0.0023840 is 0.95% lower than the constant benchmark. At the frozen threshold, precision is 5.63% and recall is 9.12%. These results show a ranking signal, but limited detection and only a small improvement in probability error.</w:t>
      </w:r>
    </w:p>
    <w:p>
      <w:pPr>
        <w:pStyle w:val="BodyText"/>
        <w:spacing w:before="0" w:after="200" w:line="276" w:lineRule="auto"/>
        <w:jc w:val="both"/>
      </w:pPr>
      <w:r>
        <w:rPr>
          <w:rFonts w:ascii="Times New Roman" w:hAnsi="Times New Roman" w:eastAsia="Times New Roman"/>
          <w:b w:val="0"/>
          <w:sz w:val="24"/>
        </w:rPr>
        <w:t xml:space="preserve">The hypothetical credit-limit replay uses the selected model and covers 99,619 observations from 3,869 companies. Its median limit is USD 4.23 million and its mean limit is 0.668% of assets. Capacity assumptions and caps have a larger aggregate effect than the risk adjustment. Realized exposure, loss, pricing and profitability data are unavailable, so lending benefits cannot be established. The 2023–2025 evaluation is retrospective: these years were examined during earlier development and are not an untouched external validation sample.</w:t>
      </w:r>
    </w:p>
    <w:p>
      <w:pPr>
        <w:pStyle w:val="BodyText"/>
        <w:spacing w:before="0" w:after="200" w:line="276" w:lineRule="auto"/>
        <w:jc w:val="both"/>
      </w:pPr>
      <w:r>
        <w:rPr>
          <w:rFonts w:ascii="Times New Roman" w:hAnsi="Times New Roman" w:eastAsia="Times New Roman"/>
          <w:b w:val="0"/>
          <w:bCs/>
          <w:sz w:val="24"/>
        </w:rPr>
        <w:t xml:space="preserve">Keywords:</w:t>
      </w:r>
      <w:r>
        <w:rPr>
          <w:rFonts w:ascii="Times New Roman" w:hAnsi="Times New Roman" w:eastAsia="Times New Roman"/>
          <w:b w:val="0"/>
          <w:sz w:val="24"/>
        </w:rPr>
        <w:t xml:space="preserve"> </w:t>
      </w:r>
      <w:r>
        <w:rPr>
          <w:rFonts w:ascii="Times New Roman" w:hAnsi="Times New Roman" w:eastAsia="Times New Roman"/>
          <w:b w:val="0"/>
          <w:sz w:val="24"/>
        </w:rPr>
        <w:t xml:space="preserve">corporate credit risk; credit limits; SEC disclosures; machine learning; probability calibration; historical simulation.</w:t>
      </w:r>
    </w:p>
    <w:p>
      <w:pPr>
        <w:pStyle w:val="Heading1"/>
        <w:pageBreakBefore/>
        <w:jc w:val="center"/>
      </w:pPr>
      <w:bookmarkStart w:id="72" w:name="_07062b668b7708f9a8b17187d32941e697cc337"/>
      <w:r>
        <w:rPr>
          <w:rFonts w:ascii="Times New Roman" w:hAnsi="Times New Roman" w:eastAsia="Times New Roman"/>
          <w:b/>
          <w:sz w:val="32"/>
        </w:rPr>
        <w:t xml:space="preserve">Table of Contents</w:t>
      </w:r>
      <w:bookmarkEnd w:id="72"/>
    </w:p>
    <w:p>
      <w:pPr>
        <w:pStyle w:val="FirstParagraph"/>
        <w:tabs>
          <w:tab w:pos="8787" w:val="right" w:leader="dot"/>
        </w:tabs>
        <w:spacing w:line="240" w:lineRule="auto" w:after="40"/>
        <w:ind w:left="0"/>
        <w:jc w:val="left"/>
      </w:pPr>
      <w:r>
        <w:rPr>
          <w:rFonts w:ascii="Times New Roman" w:hAnsi="Times New Roman" w:eastAsia="Times New Roman"/>
          <w:sz w:val="24"/>
        </w:rPr>
        <w:t>Abstract</w:t>
      </w:r>
      <w:r>
        <w:tab/>
      </w:r>
      <w:r>
        <w:rPr>
          <w:rFonts w:ascii="Times New Roman" w:hAnsi="Times New Roman" w:eastAsia="Times New Roman"/>
          <w:sz w:val="24"/>
        </w:rPr>
        <w:t>2</w:t>
      </w:r>
    </w:p>
    <w:p>
      <w:pPr>
        <w:pStyle w:val="BodyText"/>
        <w:tabs>
          <w:tab w:pos="8787" w:val="right" w:leader="dot"/>
        </w:tabs>
        <w:spacing w:line="240" w:lineRule="auto" w:after="40"/>
        <w:ind w:left="0"/>
        <w:jc w:val="left"/>
      </w:pPr>
      <w:r>
        <w:rPr>
          <w:rFonts w:ascii="Times New Roman" w:hAnsi="Times New Roman" w:eastAsia="Times New Roman"/>
          <w:sz w:val="24"/>
        </w:rPr>
        <w:t>1 Introduction</w:t>
      </w:r>
      <w:r>
        <w:tab/>
      </w:r>
      <w:r>
        <w:rPr>
          <w:rFonts w:ascii="Times New Roman" w:hAnsi="Times New Roman" w:eastAsia="Times New Roman"/>
          <w:sz w:val="24"/>
        </w:rPr>
        <w:t>7</w:t>
      </w:r>
    </w:p>
    <w:p>
      <w:pPr>
        <w:pStyle w:val="BodyText"/>
        <w:tabs>
          <w:tab w:pos="8787" w:val="right" w:leader="dot"/>
        </w:tabs>
        <w:spacing w:line="240" w:lineRule="auto" w:after="40"/>
        <w:ind w:left="312"/>
        <w:jc w:val="left"/>
      </w:pPr>
      <w:r>
        <w:rPr>
          <w:rFonts w:ascii="Times New Roman" w:hAnsi="Times New Roman" w:eastAsia="Times New Roman"/>
          <w:sz w:val="24"/>
        </w:rPr>
        <w:t>1.1 Background</w:t>
      </w:r>
      <w:r>
        <w:tab/>
      </w:r>
      <w:r>
        <w:rPr>
          <w:rFonts w:ascii="Times New Roman" w:hAnsi="Times New Roman" w:eastAsia="Times New Roman"/>
          <w:sz w:val="24"/>
        </w:rPr>
        <w:t>7</w:t>
      </w:r>
    </w:p>
    <w:p>
      <w:pPr>
        <w:pStyle w:val="BodyText"/>
        <w:tabs>
          <w:tab w:pos="8787" w:val="right" w:leader="dot"/>
        </w:tabs>
        <w:spacing w:line="240" w:lineRule="auto" w:after="40"/>
        <w:ind w:left="312"/>
        <w:jc w:val="left"/>
      </w:pPr>
      <w:r>
        <w:rPr>
          <w:rFonts w:ascii="Times New Roman" w:hAnsi="Times New Roman" w:eastAsia="Times New Roman"/>
          <w:sz w:val="24"/>
        </w:rPr>
        <w:t>1.2 Research Problem</w:t>
      </w:r>
      <w:r>
        <w:tab/>
      </w:r>
      <w:r>
        <w:rPr>
          <w:rFonts w:ascii="Times New Roman" w:hAnsi="Times New Roman" w:eastAsia="Times New Roman"/>
          <w:sz w:val="24"/>
        </w:rPr>
        <w:t>7</w:t>
      </w:r>
    </w:p>
    <w:p>
      <w:pPr>
        <w:pStyle w:val="BodyText"/>
        <w:tabs>
          <w:tab w:pos="8787" w:val="right" w:leader="dot"/>
        </w:tabs>
        <w:spacing w:line="240" w:lineRule="auto" w:after="40"/>
        <w:ind w:left="312"/>
        <w:jc w:val="left"/>
      </w:pPr>
      <w:r>
        <w:rPr>
          <w:rFonts w:ascii="Times New Roman" w:hAnsi="Times New Roman" w:eastAsia="Times New Roman"/>
          <w:sz w:val="24"/>
        </w:rPr>
        <w:t>1.3 Research Questions</w:t>
      </w:r>
      <w:r>
        <w:tab/>
      </w:r>
      <w:r>
        <w:rPr>
          <w:rFonts w:ascii="Times New Roman" w:hAnsi="Times New Roman" w:eastAsia="Times New Roman"/>
          <w:sz w:val="24"/>
        </w:rPr>
        <w:t>7</w:t>
      </w:r>
    </w:p>
    <w:p>
      <w:pPr>
        <w:pStyle w:val="BodyText"/>
        <w:tabs>
          <w:tab w:pos="8787" w:val="right" w:leader="dot"/>
        </w:tabs>
        <w:spacing w:line="240" w:lineRule="auto" w:after="40"/>
        <w:ind w:left="312"/>
        <w:jc w:val="left"/>
      </w:pPr>
      <w:r>
        <w:rPr>
          <w:rFonts w:ascii="Times New Roman" w:hAnsi="Times New Roman" w:eastAsia="Times New Roman"/>
          <w:sz w:val="24"/>
        </w:rPr>
        <w:t>1.4 Objectives and Contribution</w:t>
      </w:r>
      <w:r>
        <w:tab/>
      </w:r>
      <w:r>
        <w:rPr>
          <w:rFonts w:ascii="Times New Roman" w:hAnsi="Times New Roman" w:eastAsia="Times New Roman"/>
          <w:sz w:val="24"/>
        </w:rPr>
        <w:t>8</w:t>
      </w:r>
    </w:p>
    <w:p>
      <w:pPr>
        <w:pStyle w:val="BodyText"/>
        <w:tabs>
          <w:tab w:pos="8787" w:val="right" w:leader="dot"/>
        </w:tabs>
        <w:spacing w:line="240" w:lineRule="auto" w:after="40"/>
        <w:ind w:left="312"/>
        <w:jc w:val="left"/>
      </w:pPr>
      <w:r>
        <w:rPr>
          <w:rFonts w:ascii="Times New Roman" w:hAnsi="Times New Roman" w:eastAsia="Times New Roman"/>
          <w:sz w:val="24"/>
        </w:rPr>
        <w:t>1.5 Scope and Limitations</w:t>
      </w:r>
      <w:r>
        <w:tab/>
      </w:r>
      <w:r>
        <w:rPr>
          <w:rFonts w:ascii="Times New Roman" w:hAnsi="Times New Roman" w:eastAsia="Times New Roman"/>
          <w:sz w:val="24"/>
        </w:rPr>
        <w:t>8</w:t>
      </w:r>
    </w:p>
    <w:p>
      <w:pPr>
        <w:pStyle w:val="BodyText"/>
        <w:tabs>
          <w:tab w:pos="8787" w:val="right" w:leader="dot"/>
        </w:tabs>
        <w:spacing w:line="240" w:lineRule="auto" w:after="40"/>
        <w:ind w:left="312"/>
        <w:jc w:val="left"/>
      </w:pPr>
      <w:r>
        <w:rPr>
          <w:rFonts w:ascii="Times New Roman" w:hAnsi="Times New Roman" w:eastAsia="Times New Roman"/>
          <w:sz w:val="24"/>
        </w:rPr>
        <w:t>1.6 Structure of the Thesis</w:t>
      </w:r>
      <w:r>
        <w:tab/>
      </w:r>
      <w:r>
        <w:rPr>
          <w:rFonts w:ascii="Times New Roman" w:hAnsi="Times New Roman" w:eastAsia="Times New Roman"/>
          <w:sz w:val="24"/>
        </w:rPr>
        <w:t>9</w:t>
      </w:r>
    </w:p>
    <w:p>
      <w:pPr>
        <w:pStyle w:val="BodyText"/>
        <w:tabs>
          <w:tab w:pos="8787" w:val="right" w:leader="dot"/>
        </w:tabs>
        <w:spacing w:line="240" w:lineRule="auto" w:after="40"/>
        <w:ind w:left="0"/>
        <w:jc w:val="left"/>
      </w:pPr>
      <w:r>
        <w:rPr>
          <w:rFonts w:ascii="Times New Roman" w:hAnsi="Times New Roman" w:eastAsia="Times New Roman"/>
          <w:sz w:val="24"/>
        </w:rPr>
        <w:t>2 Theoretical Background and Literature Review</w:t>
      </w:r>
      <w:r>
        <w:tab/>
      </w:r>
      <w:r>
        <w:rPr>
          <w:rFonts w:ascii="Times New Roman" w:hAnsi="Times New Roman" w:eastAsia="Times New Roman"/>
          <w:sz w:val="24"/>
        </w:rPr>
        <w:t>10</w:t>
      </w:r>
    </w:p>
    <w:p>
      <w:pPr>
        <w:pStyle w:val="BodyText"/>
        <w:tabs>
          <w:tab w:pos="8787" w:val="right" w:leader="dot"/>
        </w:tabs>
        <w:spacing w:line="240" w:lineRule="auto" w:after="40"/>
        <w:ind w:left="312"/>
        <w:jc w:val="left"/>
      </w:pPr>
      <w:r>
        <w:rPr>
          <w:rFonts w:ascii="Times New Roman" w:hAnsi="Times New Roman" w:eastAsia="Times New Roman"/>
          <w:sz w:val="24"/>
        </w:rPr>
        <w:t>2.1 Corporate Credit Risk</w:t>
      </w:r>
      <w:r>
        <w:tab/>
      </w:r>
      <w:r>
        <w:rPr>
          <w:rFonts w:ascii="Times New Roman" w:hAnsi="Times New Roman" w:eastAsia="Times New Roman"/>
          <w:sz w:val="24"/>
        </w:rPr>
        <w:t>10</w:t>
      </w:r>
    </w:p>
    <w:p>
      <w:pPr>
        <w:pStyle w:val="BodyText"/>
        <w:tabs>
          <w:tab w:pos="8787" w:val="right" w:leader="dot"/>
        </w:tabs>
        <w:spacing w:line="240" w:lineRule="auto" w:after="40"/>
        <w:ind w:left="312"/>
        <w:jc w:val="left"/>
      </w:pPr>
      <w:r>
        <w:rPr>
          <w:rFonts w:ascii="Times New Roman" w:hAnsi="Times New Roman" w:eastAsia="Times New Roman"/>
          <w:sz w:val="24"/>
        </w:rPr>
        <w:t>2.2 Short-Term Corporate Credit Facilities</w:t>
      </w:r>
      <w:r>
        <w:tab/>
      </w:r>
      <w:r>
        <w:rPr>
          <w:rFonts w:ascii="Times New Roman" w:hAnsi="Times New Roman" w:eastAsia="Times New Roman"/>
          <w:sz w:val="24"/>
        </w:rPr>
        <w:t>10</w:t>
      </w:r>
    </w:p>
    <w:p>
      <w:pPr>
        <w:pStyle w:val="BodyText"/>
        <w:tabs>
          <w:tab w:pos="8787" w:val="right" w:leader="dot"/>
        </w:tabs>
        <w:spacing w:line="240" w:lineRule="auto" w:after="40"/>
        <w:ind w:left="312"/>
        <w:jc w:val="left"/>
      </w:pPr>
      <w:r>
        <w:rPr>
          <w:rFonts w:ascii="Times New Roman" w:hAnsi="Times New Roman" w:eastAsia="Times New Roman"/>
          <w:sz w:val="24"/>
        </w:rPr>
        <w:t>2.3 Corporate Credit Scoring</w:t>
      </w:r>
      <w:r>
        <w:tab/>
      </w:r>
      <w:r>
        <w:rPr>
          <w:rFonts w:ascii="Times New Roman" w:hAnsi="Times New Roman" w:eastAsia="Times New Roman"/>
          <w:sz w:val="24"/>
        </w:rPr>
        <w:t>11</w:t>
      </w:r>
    </w:p>
    <w:p>
      <w:pPr>
        <w:pStyle w:val="BodyText"/>
        <w:tabs>
          <w:tab w:pos="8787" w:val="right" w:leader="dot"/>
        </w:tabs>
        <w:spacing w:line="240" w:lineRule="auto" w:after="40"/>
        <w:ind w:left="312"/>
        <w:jc w:val="left"/>
      </w:pPr>
      <w:r>
        <w:rPr>
          <w:rFonts w:ascii="Times New Roman" w:hAnsi="Times New Roman" w:eastAsia="Times New Roman"/>
          <w:sz w:val="24"/>
        </w:rPr>
        <w:t>2.4 Financial Ratio Analysis</w:t>
      </w:r>
      <w:r>
        <w:tab/>
      </w:r>
      <w:r>
        <w:rPr>
          <w:rFonts w:ascii="Times New Roman" w:hAnsi="Times New Roman" w:eastAsia="Times New Roman"/>
          <w:sz w:val="24"/>
        </w:rPr>
        <w:t>11</w:t>
      </w:r>
    </w:p>
    <w:p>
      <w:pPr>
        <w:pStyle w:val="BodyText"/>
        <w:tabs>
          <w:tab w:pos="8787" w:val="right" w:leader="dot"/>
        </w:tabs>
        <w:spacing w:line="240" w:lineRule="auto" w:after="40"/>
        <w:ind w:left="312"/>
        <w:jc w:val="left"/>
      </w:pPr>
      <w:r>
        <w:rPr>
          <w:rFonts w:ascii="Times New Roman" w:hAnsi="Times New Roman" w:eastAsia="Times New Roman"/>
          <w:sz w:val="24"/>
        </w:rPr>
        <w:t>2.5 Statistical and Machine Learning Models</w:t>
      </w:r>
      <w:r>
        <w:tab/>
      </w:r>
      <w:r>
        <w:rPr>
          <w:rFonts w:ascii="Times New Roman" w:hAnsi="Times New Roman" w:eastAsia="Times New Roman"/>
          <w:sz w:val="24"/>
        </w:rPr>
        <w:t>12</w:t>
      </w:r>
    </w:p>
    <w:p>
      <w:pPr>
        <w:pStyle w:val="BodyText"/>
        <w:tabs>
          <w:tab w:pos="8787" w:val="right" w:leader="dot"/>
        </w:tabs>
        <w:spacing w:line="240" w:lineRule="auto" w:after="40"/>
        <w:ind w:left="624"/>
        <w:jc w:val="left"/>
      </w:pPr>
      <w:r>
        <w:rPr>
          <w:rFonts w:ascii="Times New Roman" w:hAnsi="Times New Roman" w:eastAsia="Times New Roman"/>
          <w:sz w:val="24"/>
        </w:rPr>
        <w:t>2.5.1 Logistic regression</w:t>
      </w:r>
      <w:r>
        <w:tab/>
      </w:r>
      <w:r>
        <w:rPr>
          <w:rFonts w:ascii="Times New Roman" w:hAnsi="Times New Roman" w:eastAsia="Times New Roman"/>
          <w:sz w:val="24"/>
        </w:rPr>
        <w:t>12</w:t>
      </w:r>
    </w:p>
    <w:p>
      <w:pPr>
        <w:pStyle w:val="BodyText"/>
        <w:tabs>
          <w:tab w:pos="8787" w:val="right" w:leader="dot"/>
        </w:tabs>
        <w:spacing w:line="240" w:lineRule="auto" w:after="40"/>
        <w:ind w:left="624"/>
        <w:jc w:val="left"/>
      </w:pPr>
      <w:r>
        <w:rPr>
          <w:rFonts w:ascii="Times New Roman" w:hAnsi="Times New Roman" w:eastAsia="Times New Roman"/>
          <w:sz w:val="24"/>
        </w:rPr>
        <w:t>2.5.2 Regularized logistic regression</w:t>
      </w:r>
      <w:r>
        <w:tab/>
      </w:r>
      <w:r>
        <w:rPr>
          <w:rFonts w:ascii="Times New Roman" w:hAnsi="Times New Roman" w:eastAsia="Times New Roman"/>
          <w:sz w:val="24"/>
        </w:rPr>
        <w:t>12</w:t>
      </w:r>
    </w:p>
    <w:p>
      <w:pPr>
        <w:pStyle w:val="BodyText"/>
        <w:tabs>
          <w:tab w:pos="8787" w:val="right" w:leader="dot"/>
        </w:tabs>
        <w:spacing w:line="240" w:lineRule="auto" w:after="40"/>
        <w:ind w:left="624"/>
        <w:jc w:val="left"/>
      </w:pPr>
      <w:r>
        <w:rPr>
          <w:rFonts w:ascii="Times New Roman" w:hAnsi="Times New Roman" w:eastAsia="Times New Roman"/>
          <w:sz w:val="24"/>
        </w:rPr>
        <w:t>2.5.3 Random forest</w:t>
      </w:r>
      <w:r>
        <w:tab/>
      </w:r>
      <w:r>
        <w:rPr>
          <w:rFonts w:ascii="Times New Roman" w:hAnsi="Times New Roman" w:eastAsia="Times New Roman"/>
          <w:sz w:val="24"/>
        </w:rPr>
        <w:t>12</w:t>
      </w:r>
    </w:p>
    <w:p>
      <w:pPr>
        <w:pStyle w:val="BodyText"/>
        <w:tabs>
          <w:tab w:pos="8787" w:val="right" w:leader="dot"/>
        </w:tabs>
        <w:spacing w:line="240" w:lineRule="auto" w:after="40"/>
        <w:ind w:left="624"/>
        <w:jc w:val="left"/>
      </w:pPr>
      <w:r>
        <w:rPr>
          <w:rFonts w:ascii="Times New Roman" w:hAnsi="Times New Roman" w:eastAsia="Times New Roman"/>
          <w:sz w:val="24"/>
        </w:rPr>
        <w:t>2.5.4 Gradient boosting</w:t>
      </w:r>
      <w:r>
        <w:tab/>
      </w:r>
      <w:r>
        <w:rPr>
          <w:rFonts w:ascii="Times New Roman" w:hAnsi="Times New Roman" w:eastAsia="Times New Roman"/>
          <w:sz w:val="24"/>
        </w:rPr>
        <w:t>12</w:t>
      </w:r>
    </w:p>
    <w:p>
      <w:pPr>
        <w:pStyle w:val="BodyText"/>
        <w:tabs>
          <w:tab w:pos="8787" w:val="right" w:leader="dot"/>
        </w:tabs>
        <w:spacing w:line="240" w:lineRule="auto" w:after="40"/>
        <w:ind w:left="624"/>
        <w:jc w:val="left"/>
      </w:pPr>
      <w:r>
        <w:rPr>
          <w:rFonts w:ascii="Times New Roman" w:hAnsi="Times New Roman" w:eastAsia="Times New Roman"/>
          <w:sz w:val="24"/>
        </w:rPr>
        <w:t>2.5.5 Evaluation and interpretation</w:t>
      </w:r>
      <w:r>
        <w:tab/>
      </w:r>
      <w:r>
        <w:rPr>
          <w:rFonts w:ascii="Times New Roman" w:hAnsi="Times New Roman" w:eastAsia="Times New Roman"/>
          <w:sz w:val="24"/>
        </w:rPr>
        <w:t>12</w:t>
      </w:r>
    </w:p>
    <w:p>
      <w:pPr>
        <w:pStyle w:val="BodyText"/>
        <w:tabs>
          <w:tab w:pos="8787" w:val="right" w:leader="dot"/>
        </w:tabs>
        <w:spacing w:line="240" w:lineRule="auto" w:after="40"/>
        <w:ind w:left="312"/>
        <w:jc w:val="left"/>
      </w:pPr>
      <w:r>
        <w:rPr>
          <w:rFonts w:ascii="Times New Roman" w:hAnsi="Times New Roman" w:eastAsia="Times New Roman"/>
          <w:sz w:val="24"/>
        </w:rPr>
        <w:t>2.6 Credit Limit Determination</w:t>
      </w:r>
      <w:r>
        <w:tab/>
      </w:r>
      <w:r>
        <w:rPr>
          <w:rFonts w:ascii="Times New Roman" w:hAnsi="Times New Roman" w:eastAsia="Times New Roman"/>
          <w:sz w:val="24"/>
        </w:rPr>
        <w:t>12</w:t>
      </w:r>
    </w:p>
    <w:p>
      <w:pPr>
        <w:pStyle w:val="BodyText"/>
        <w:tabs>
          <w:tab w:pos="8787" w:val="right" w:leader="dot"/>
        </w:tabs>
        <w:spacing w:line="240" w:lineRule="auto" w:after="40"/>
        <w:ind w:left="312"/>
        <w:jc w:val="left"/>
      </w:pPr>
      <w:r>
        <w:rPr>
          <w:rFonts w:ascii="Times New Roman" w:hAnsi="Times New Roman" w:eastAsia="Times New Roman"/>
          <w:sz w:val="24"/>
        </w:rPr>
        <w:t>2.7 Dynamic Limit Management</w:t>
      </w:r>
      <w:r>
        <w:tab/>
      </w:r>
      <w:r>
        <w:rPr>
          <w:rFonts w:ascii="Times New Roman" w:hAnsi="Times New Roman" w:eastAsia="Times New Roman"/>
          <w:sz w:val="24"/>
        </w:rPr>
        <w:t>13</w:t>
      </w:r>
    </w:p>
    <w:p>
      <w:pPr>
        <w:pStyle w:val="BodyText"/>
        <w:tabs>
          <w:tab w:pos="8787" w:val="right" w:leader="dot"/>
        </w:tabs>
        <w:spacing w:line="240" w:lineRule="auto" w:after="40"/>
        <w:ind w:left="312"/>
        <w:jc w:val="left"/>
      </w:pPr>
      <w:r>
        <w:rPr>
          <w:rFonts w:ascii="Times New Roman" w:hAnsi="Times New Roman" w:eastAsia="Times New Roman"/>
          <w:sz w:val="24"/>
        </w:rPr>
        <w:t>2.8 Research Gap and Position of the Study</w:t>
      </w:r>
      <w:r>
        <w:tab/>
      </w:r>
      <w:r>
        <w:rPr>
          <w:rFonts w:ascii="Times New Roman" w:hAnsi="Times New Roman" w:eastAsia="Times New Roman"/>
          <w:sz w:val="24"/>
        </w:rPr>
        <w:t>13</w:t>
      </w:r>
    </w:p>
    <w:p>
      <w:pPr>
        <w:pStyle w:val="BodyText"/>
        <w:tabs>
          <w:tab w:pos="8787" w:val="right" w:leader="dot"/>
        </w:tabs>
        <w:spacing w:line="240" w:lineRule="auto" w:after="40"/>
        <w:ind w:left="0"/>
        <w:jc w:val="left"/>
      </w:pPr>
      <w:r>
        <w:rPr>
          <w:rFonts w:ascii="Times New Roman" w:hAnsi="Times New Roman" w:eastAsia="Times New Roman"/>
          <w:sz w:val="24"/>
        </w:rPr>
        <w:t>3 Data and Target Definition</w:t>
      </w:r>
      <w:r>
        <w:tab/>
      </w:r>
      <w:r>
        <w:rPr>
          <w:rFonts w:ascii="Times New Roman" w:hAnsi="Times New Roman" w:eastAsia="Times New Roman"/>
          <w:sz w:val="24"/>
        </w:rPr>
        <w:t>14</w:t>
      </w:r>
    </w:p>
    <w:p>
      <w:pPr>
        <w:pStyle w:val="BodyText"/>
        <w:tabs>
          <w:tab w:pos="8787" w:val="right" w:leader="dot"/>
        </w:tabs>
        <w:spacing w:line="240" w:lineRule="auto" w:after="40"/>
        <w:ind w:left="312"/>
        <w:jc w:val="left"/>
      </w:pPr>
      <w:r>
        <w:rPr>
          <w:rFonts w:ascii="Times New Roman" w:hAnsi="Times New Roman" w:eastAsia="Times New Roman"/>
          <w:sz w:val="24"/>
        </w:rPr>
        <w:t>3.1 Study Population and Observation Unit</w:t>
      </w:r>
      <w:r>
        <w:tab/>
      </w:r>
      <w:r>
        <w:rPr>
          <w:rFonts w:ascii="Times New Roman" w:hAnsi="Times New Roman" w:eastAsia="Times New Roman"/>
          <w:sz w:val="24"/>
        </w:rPr>
        <w:t>14</w:t>
      </w:r>
    </w:p>
    <w:p>
      <w:pPr>
        <w:pStyle w:val="BodyText"/>
        <w:tabs>
          <w:tab w:pos="8787" w:val="right" w:leader="dot"/>
        </w:tabs>
        <w:spacing w:line="240" w:lineRule="auto" w:after="40"/>
        <w:ind w:left="312"/>
        <w:jc w:val="left"/>
      </w:pPr>
      <w:r>
        <w:rPr>
          <w:rFonts w:ascii="Times New Roman" w:hAnsi="Times New Roman" w:eastAsia="Times New Roman"/>
          <w:sz w:val="24"/>
        </w:rPr>
        <w:t>3.2 Sources and Information Availability</w:t>
      </w:r>
      <w:r>
        <w:tab/>
      </w:r>
      <w:r>
        <w:rPr>
          <w:rFonts w:ascii="Times New Roman" w:hAnsi="Times New Roman" w:eastAsia="Times New Roman"/>
          <w:sz w:val="24"/>
        </w:rPr>
        <w:t>15</w:t>
      </w:r>
    </w:p>
    <w:p>
      <w:pPr>
        <w:pStyle w:val="BodyText"/>
        <w:tabs>
          <w:tab w:pos="8787" w:val="right" w:leader="dot"/>
        </w:tabs>
        <w:spacing w:line="240" w:lineRule="auto" w:after="40"/>
        <w:ind w:left="624"/>
        <w:jc w:val="left"/>
      </w:pPr>
      <w:r>
        <w:rPr>
          <w:rFonts w:ascii="Times New Roman" w:hAnsi="Times New Roman" w:eastAsia="Times New Roman"/>
          <w:sz w:val="24"/>
        </w:rPr>
        <w:t>3.2.1 Understanding Company Facts and Overlapping Filings</w:t>
      </w:r>
      <w:r>
        <w:tab/>
      </w:r>
      <w:r>
        <w:rPr>
          <w:rFonts w:ascii="Times New Roman" w:hAnsi="Times New Roman" w:eastAsia="Times New Roman"/>
          <w:sz w:val="24"/>
        </w:rPr>
        <w:t>15</w:t>
      </w:r>
    </w:p>
    <w:p>
      <w:pPr>
        <w:pStyle w:val="BodyText"/>
        <w:tabs>
          <w:tab w:pos="8787" w:val="right" w:leader="dot"/>
        </w:tabs>
        <w:spacing w:line="240" w:lineRule="auto" w:after="40"/>
        <w:ind w:left="624"/>
        <w:jc w:val="left"/>
      </w:pPr>
      <w:r>
        <w:rPr>
          <w:rFonts w:ascii="Times New Roman" w:hAnsi="Times New Roman" w:eastAsia="Times New Roman"/>
          <w:sz w:val="24"/>
        </w:rPr>
        <w:t>3.2.2 Why Both Accounting Sources Are Needed</w:t>
      </w:r>
      <w:r>
        <w:tab/>
      </w:r>
      <w:r>
        <w:rPr>
          <w:rFonts w:ascii="Times New Roman" w:hAnsi="Times New Roman" w:eastAsia="Times New Roman"/>
          <w:sz w:val="24"/>
        </w:rPr>
        <w:t>16</w:t>
      </w:r>
    </w:p>
    <w:p>
      <w:pPr>
        <w:pStyle w:val="BodyText"/>
        <w:tabs>
          <w:tab w:pos="8787" w:val="right" w:leader="dot"/>
        </w:tabs>
        <w:spacing w:line="240" w:lineRule="auto" w:after="40"/>
        <w:ind w:left="624"/>
        <w:jc w:val="left"/>
      </w:pPr>
      <w:r>
        <w:rPr>
          <w:rFonts w:ascii="Times New Roman" w:hAnsi="Times New Roman" w:eastAsia="Times New Roman"/>
          <w:sz w:val="24"/>
        </w:rPr>
        <w:t>3.2.3 Combining the Sources in One Panel</w:t>
      </w:r>
      <w:r>
        <w:tab/>
      </w:r>
      <w:r>
        <w:rPr>
          <w:rFonts w:ascii="Times New Roman" w:hAnsi="Times New Roman" w:eastAsia="Times New Roman"/>
          <w:sz w:val="24"/>
        </w:rPr>
        <w:t>16</w:t>
      </w:r>
    </w:p>
    <w:p>
      <w:pPr>
        <w:pStyle w:val="BodyText"/>
        <w:tabs>
          <w:tab w:pos="8787" w:val="right" w:leader="dot"/>
        </w:tabs>
        <w:spacing w:line="240" w:lineRule="auto" w:after="40"/>
        <w:ind w:left="312"/>
        <w:jc w:val="left"/>
      </w:pPr>
      <w:r>
        <w:rPr>
          <w:rFonts w:ascii="Times New Roman" w:hAnsi="Times New Roman" w:eastAsia="Times New Roman"/>
          <w:sz w:val="24"/>
        </w:rPr>
        <w:t>3.3 Outcome and Prediction Horizon</w:t>
      </w:r>
      <w:r>
        <w:tab/>
      </w:r>
      <w:r>
        <w:rPr>
          <w:rFonts w:ascii="Times New Roman" w:hAnsi="Times New Roman" w:eastAsia="Times New Roman"/>
          <w:sz w:val="24"/>
        </w:rPr>
        <w:t>16</w:t>
      </w:r>
    </w:p>
    <w:p>
      <w:pPr>
        <w:pStyle w:val="BodyText"/>
        <w:tabs>
          <w:tab w:pos="8787" w:val="right" w:leader="dot"/>
        </w:tabs>
        <w:spacing w:line="240" w:lineRule="auto" w:after="40"/>
        <w:ind w:left="312"/>
        <w:jc w:val="left"/>
      </w:pPr>
      <w:r>
        <w:rPr>
          <w:rFonts w:ascii="Times New Roman" w:hAnsi="Times New Roman" w:eastAsia="Times New Roman"/>
          <w:sz w:val="24"/>
        </w:rPr>
        <w:t>3.4 Feature Construction</w:t>
      </w:r>
      <w:r>
        <w:tab/>
      </w:r>
      <w:r>
        <w:rPr>
          <w:rFonts w:ascii="Times New Roman" w:hAnsi="Times New Roman" w:eastAsia="Times New Roman"/>
          <w:sz w:val="24"/>
        </w:rPr>
        <w:t>18</w:t>
      </w:r>
    </w:p>
    <w:p>
      <w:pPr>
        <w:pStyle w:val="BodyText"/>
        <w:tabs>
          <w:tab w:pos="8787" w:val="right" w:leader="dot"/>
        </w:tabs>
        <w:spacing w:line="240" w:lineRule="auto" w:after="40"/>
        <w:ind w:left="312"/>
        <w:jc w:val="left"/>
      </w:pPr>
      <w:r>
        <w:rPr>
          <w:rFonts w:ascii="Times New Roman" w:hAnsi="Times New Roman" w:eastAsia="Times New Roman"/>
          <w:sz w:val="24"/>
        </w:rPr>
        <w:t>3.5 Data Quality and Preprocessing</w:t>
      </w:r>
      <w:r>
        <w:tab/>
      </w:r>
      <w:r>
        <w:rPr>
          <w:rFonts w:ascii="Times New Roman" w:hAnsi="Times New Roman" w:eastAsia="Times New Roman"/>
          <w:sz w:val="24"/>
        </w:rPr>
        <w:t>19</w:t>
      </w:r>
    </w:p>
    <w:p>
      <w:pPr>
        <w:pStyle w:val="BodyText"/>
        <w:tabs>
          <w:tab w:pos="8787" w:val="right" w:leader="dot"/>
        </w:tabs>
        <w:spacing w:line="240" w:lineRule="auto" w:after="40"/>
        <w:ind w:left="624"/>
        <w:jc w:val="left"/>
      </w:pPr>
      <w:r>
        <w:rPr>
          <w:rFonts w:ascii="Times New Roman" w:hAnsi="Times New Roman" w:eastAsia="Times New Roman"/>
          <w:sz w:val="24"/>
        </w:rPr>
        <w:t>3.5.1 Which Company-Months Are Included</w:t>
      </w:r>
      <w:r>
        <w:tab/>
      </w:r>
      <w:r>
        <w:rPr>
          <w:rFonts w:ascii="Times New Roman" w:hAnsi="Times New Roman" w:eastAsia="Times New Roman"/>
          <w:sz w:val="24"/>
        </w:rPr>
        <w:t>20</w:t>
      </w:r>
    </w:p>
    <w:p>
      <w:pPr>
        <w:pStyle w:val="BodyText"/>
        <w:tabs>
          <w:tab w:pos="8787" w:val="right" w:leader="dot"/>
        </w:tabs>
        <w:spacing w:line="240" w:lineRule="auto" w:after="40"/>
        <w:ind w:left="624"/>
        <w:jc w:val="left"/>
      </w:pPr>
      <w:r>
        <w:rPr>
          <w:rFonts w:ascii="Times New Roman" w:hAnsi="Times New Roman" w:eastAsia="Times New Roman"/>
          <w:sz w:val="24"/>
        </w:rPr>
        <w:t>3.5.2 Missing Feature Values</w:t>
      </w:r>
      <w:r>
        <w:tab/>
      </w:r>
      <w:r>
        <w:rPr>
          <w:rFonts w:ascii="Times New Roman" w:hAnsi="Times New Roman" w:eastAsia="Times New Roman"/>
          <w:sz w:val="24"/>
        </w:rPr>
        <w:t>20</w:t>
      </w:r>
    </w:p>
    <w:p>
      <w:pPr>
        <w:pStyle w:val="BodyText"/>
        <w:tabs>
          <w:tab w:pos="8787" w:val="right" w:leader="dot"/>
        </w:tabs>
        <w:spacing w:line="240" w:lineRule="auto" w:after="40"/>
        <w:ind w:left="624"/>
        <w:jc w:val="left"/>
      </w:pPr>
      <w:r>
        <w:rPr>
          <w:rFonts w:ascii="Times New Roman" w:hAnsi="Times New Roman" w:eastAsia="Times New Roman"/>
          <w:sz w:val="24"/>
        </w:rPr>
        <w:t>3.5.3 Data Required for the Credit-Limit Policy</w:t>
      </w:r>
      <w:r>
        <w:tab/>
      </w:r>
      <w:r>
        <w:rPr>
          <w:rFonts w:ascii="Times New Roman" w:hAnsi="Times New Roman" w:eastAsia="Times New Roman"/>
          <w:sz w:val="24"/>
        </w:rPr>
        <w:t>21</w:t>
      </w:r>
    </w:p>
    <w:p>
      <w:pPr>
        <w:pStyle w:val="BodyText"/>
        <w:tabs>
          <w:tab w:pos="8787" w:val="right" w:leader="dot"/>
        </w:tabs>
        <w:spacing w:line="240" w:lineRule="auto" w:after="40"/>
        <w:ind w:left="312"/>
        <w:jc w:val="left"/>
      </w:pPr>
      <w:r>
        <w:rPr>
          <w:rFonts w:ascii="Times New Roman" w:hAnsi="Times New Roman" w:eastAsia="Times New Roman"/>
          <w:sz w:val="24"/>
        </w:rPr>
        <w:t>3.6 Data Limitations</w:t>
      </w:r>
      <w:r>
        <w:tab/>
      </w:r>
      <w:r>
        <w:rPr>
          <w:rFonts w:ascii="Times New Roman" w:hAnsi="Times New Roman" w:eastAsia="Times New Roman"/>
          <w:sz w:val="24"/>
        </w:rPr>
        <w:t>22</w:t>
      </w:r>
    </w:p>
    <w:p>
      <w:pPr>
        <w:pStyle w:val="BodyText"/>
        <w:tabs>
          <w:tab w:pos="8787" w:val="right" w:leader="dot"/>
        </w:tabs>
        <w:spacing w:line="240" w:lineRule="auto" w:after="40"/>
        <w:ind w:left="0"/>
        <w:jc w:val="left"/>
      </w:pPr>
      <w:r>
        <w:rPr>
          <w:rFonts w:ascii="Times New Roman" w:hAnsi="Times New Roman" w:eastAsia="Times New Roman"/>
          <w:sz w:val="24"/>
        </w:rPr>
        <w:t>4 Risk Modeling and Validation Methodology</w:t>
      </w:r>
      <w:r>
        <w:tab/>
      </w:r>
      <w:r>
        <w:rPr>
          <w:rFonts w:ascii="Times New Roman" w:hAnsi="Times New Roman" w:eastAsia="Times New Roman"/>
          <w:sz w:val="24"/>
        </w:rPr>
        <w:t>23</w:t>
      </w:r>
    </w:p>
    <w:p>
      <w:pPr>
        <w:pStyle w:val="BodyText"/>
        <w:tabs>
          <w:tab w:pos="8787" w:val="right" w:leader="dot"/>
        </w:tabs>
        <w:spacing w:line="240" w:lineRule="auto" w:after="40"/>
        <w:ind w:left="312"/>
        <w:jc w:val="left"/>
      </w:pPr>
      <w:r>
        <w:rPr>
          <w:rFonts w:ascii="Times New Roman" w:hAnsi="Times New Roman" w:eastAsia="Times New Roman"/>
          <w:sz w:val="24"/>
        </w:rPr>
        <w:t>4.1 Modeling Framework</w:t>
      </w:r>
      <w:r>
        <w:tab/>
      </w:r>
      <w:r>
        <w:rPr>
          <w:rFonts w:ascii="Times New Roman" w:hAnsi="Times New Roman" w:eastAsia="Times New Roman"/>
          <w:sz w:val="24"/>
        </w:rPr>
        <w:t>23</w:t>
      </w:r>
    </w:p>
    <w:p>
      <w:pPr>
        <w:pStyle w:val="BodyText"/>
        <w:tabs>
          <w:tab w:pos="8787" w:val="right" w:leader="dot"/>
        </w:tabs>
        <w:spacing w:line="240" w:lineRule="auto" w:after="40"/>
        <w:ind w:left="312"/>
        <w:jc w:val="left"/>
      </w:pPr>
      <w:r>
        <w:rPr>
          <w:rFonts w:ascii="Times New Roman" w:hAnsi="Times New Roman" w:eastAsia="Times New Roman"/>
          <w:sz w:val="24"/>
        </w:rPr>
        <w:t>4.2 Models and Constant Benchmark</w:t>
      </w:r>
      <w:r>
        <w:tab/>
      </w:r>
      <w:r>
        <w:rPr>
          <w:rFonts w:ascii="Times New Roman" w:hAnsi="Times New Roman" w:eastAsia="Times New Roman"/>
          <w:sz w:val="24"/>
        </w:rPr>
        <w:t>23</w:t>
      </w:r>
    </w:p>
    <w:p>
      <w:pPr>
        <w:pStyle w:val="BodyText"/>
        <w:tabs>
          <w:tab w:pos="8787" w:val="right" w:leader="dot"/>
        </w:tabs>
        <w:spacing w:line="240" w:lineRule="auto" w:after="40"/>
        <w:ind w:left="312"/>
        <w:jc w:val="left"/>
      </w:pPr>
      <w:r>
        <w:rPr>
          <w:rFonts w:ascii="Times New Roman" w:hAnsi="Times New Roman" w:eastAsia="Times New Roman"/>
          <w:sz w:val="24"/>
        </w:rPr>
        <w:t>4.3 Model Tuning</w:t>
      </w:r>
      <w:r>
        <w:tab/>
      </w:r>
      <w:r>
        <w:rPr>
          <w:rFonts w:ascii="Times New Roman" w:hAnsi="Times New Roman" w:eastAsia="Times New Roman"/>
          <w:sz w:val="24"/>
        </w:rPr>
        <w:t>23</w:t>
      </w:r>
    </w:p>
    <w:p>
      <w:pPr>
        <w:pStyle w:val="BodyText"/>
        <w:tabs>
          <w:tab w:pos="8787" w:val="right" w:leader="dot"/>
        </w:tabs>
        <w:spacing w:line="240" w:lineRule="auto" w:after="40"/>
        <w:ind w:left="312"/>
        <w:jc w:val="left"/>
      </w:pPr>
      <w:r>
        <w:rPr>
          <w:rFonts w:ascii="Times New Roman" w:hAnsi="Times New Roman" w:eastAsia="Times New Roman"/>
          <w:sz w:val="24"/>
        </w:rPr>
        <w:t>4.4 Chronological Validation and Information Timing</w:t>
      </w:r>
      <w:r>
        <w:tab/>
      </w:r>
      <w:r>
        <w:rPr>
          <w:rFonts w:ascii="Times New Roman" w:hAnsi="Times New Roman" w:eastAsia="Times New Roman"/>
          <w:sz w:val="24"/>
        </w:rPr>
        <w:t>24</w:t>
      </w:r>
    </w:p>
    <w:p>
      <w:pPr>
        <w:pStyle w:val="BodyText"/>
        <w:tabs>
          <w:tab w:pos="8787" w:val="right" w:leader="dot"/>
        </w:tabs>
        <w:spacing w:line="240" w:lineRule="auto" w:after="40"/>
        <w:ind w:left="312"/>
        <w:jc w:val="left"/>
      </w:pPr>
      <w:r>
        <w:rPr>
          <w:rFonts w:ascii="Times New Roman" w:hAnsi="Times New Roman" w:eastAsia="Times New Roman"/>
          <w:sz w:val="24"/>
        </w:rPr>
        <w:t>4.5 Rare Outcomes and the Alert Threshold</w:t>
      </w:r>
      <w:r>
        <w:tab/>
      </w:r>
      <w:r>
        <w:rPr>
          <w:rFonts w:ascii="Times New Roman" w:hAnsi="Times New Roman" w:eastAsia="Times New Roman"/>
          <w:sz w:val="24"/>
        </w:rPr>
        <w:t>24</w:t>
      </w:r>
    </w:p>
    <w:p>
      <w:pPr>
        <w:pStyle w:val="BodyText"/>
        <w:tabs>
          <w:tab w:pos="8787" w:val="right" w:leader="dot"/>
        </w:tabs>
        <w:spacing w:line="240" w:lineRule="auto" w:after="40"/>
        <w:ind w:left="312"/>
        <w:jc w:val="left"/>
      </w:pPr>
      <w:r>
        <w:rPr>
          <w:rFonts w:ascii="Times New Roman" w:hAnsi="Times New Roman" w:eastAsia="Times New Roman"/>
          <w:sz w:val="24"/>
        </w:rPr>
        <w:t>4.6 Performance Measures and Uncertainty</w:t>
      </w:r>
      <w:r>
        <w:tab/>
      </w:r>
      <w:r>
        <w:rPr>
          <w:rFonts w:ascii="Times New Roman" w:hAnsi="Times New Roman" w:eastAsia="Times New Roman"/>
          <w:sz w:val="24"/>
        </w:rPr>
        <w:t>25</w:t>
      </w:r>
    </w:p>
    <w:p>
      <w:pPr>
        <w:pStyle w:val="BodyText"/>
        <w:tabs>
          <w:tab w:pos="8787" w:val="right" w:leader="dot"/>
        </w:tabs>
        <w:spacing w:line="240" w:lineRule="auto" w:after="40"/>
        <w:ind w:left="312"/>
        <w:jc w:val="left"/>
      </w:pPr>
      <w:r>
        <w:rPr>
          <w:rFonts w:ascii="Times New Roman" w:hAnsi="Times New Roman" w:eastAsia="Times New Roman"/>
          <w:sz w:val="24"/>
        </w:rPr>
        <w:t>4.7 Probability Calibration</w:t>
      </w:r>
      <w:r>
        <w:tab/>
      </w:r>
      <w:r>
        <w:rPr>
          <w:rFonts w:ascii="Times New Roman" w:hAnsi="Times New Roman" w:eastAsia="Times New Roman"/>
          <w:sz w:val="24"/>
        </w:rPr>
        <w:t>26</w:t>
      </w:r>
    </w:p>
    <w:p>
      <w:pPr>
        <w:pStyle w:val="BodyText"/>
        <w:tabs>
          <w:tab w:pos="8787" w:val="right" w:leader="dot"/>
        </w:tabs>
        <w:spacing w:line="240" w:lineRule="auto" w:after="40"/>
        <w:ind w:left="312"/>
        <w:jc w:val="left"/>
      </w:pPr>
      <w:r>
        <w:rPr>
          <w:rFonts w:ascii="Times New Roman" w:hAnsi="Times New Roman" w:eastAsia="Times New Roman"/>
          <w:sz w:val="24"/>
        </w:rPr>
        <w:t>4.8 Model Interpretation and Error Analysis</w:t>
      </w:r>
      <w:r>
        <w:tab/>
      </w:r>
      <w:r>
        <w:rPr>
          <w:rFonts w:ascii="Times New Roman" w:hAnsi="Times New Roman" w:eastAsia="Times New Roman"/>
          <w:sz w:val="24"/>
        </w:rPr>
        <w:t>26</w:t>
      </w:r>
    </w:p>
    <w:p>
      <w:pPr>
        <w:pStyle w:val="BodyText"/>
        <w:tabs>
          <w:tab w:pos="8787" w:val="right" w:leader="dot"/>
        </w:tabs>
        <w:spacing w:line="240" w:lineRule="auto" w:after="40"/>
        <w:ind w:left="312"/>
        <w:jc w:val="left"/>
      </w:pPr>
      <w:r>
        <w:rPr>
          <w:rFonts w:ascii="Times New Roman" w:hAnsi="Times New Roman" w:eastAsia="Times New Roman"/>
          <w:sz w:val="24"/>
        </w:rPr>
        <w:t>4.9 Final Model Selection and Connection to the Policy</w:t>
      </w:r>
      <w:r>
        <w:tab/>
      </w:r>
      <w:r>
        <w:rPr>
          <w:rFonts w:ascii="Times New Roman" w:hAnsi="Times New Roman" w:eastAsia="Times New Roman"/>
          <w:sz w:val="24"/>
        </w:rPr>
        <w:t>26</w:t>
      </w:r>
    </w:p>
    <w:p>
      <w:pPr>
        <w:pStyle w:val="BodyText"/>
        <w:tabs>
          <w:tab w:pos="8787" w:val="right" w:leader="dot"/>
        </w:tabs>
        <w:spacing w:line="240" w:lineRule="auto" w:after="40"/>
        <w:ind w:left="0"/>
        <w:jc w:val="left"/>
      </w:pPr>
      <w:r>
        <w:rPr>
          <w:rFonts w:ascii="Times New Roman" w:hAnsi="Times New Roman" w:eastAsia="Times New Roman"/>
          <w:sz w:val="24"/>
        </w:rPr>
        <w:t>5 Credit Limit Methodology</w:t>
      </w:r>
      <w:r>
        <w:tab/>
      </w:r>
      <w:r>
        <w:rPr>
          <w:rFonts w:ascii="Times New Roman" w:hAnsi="Times New Roman" w:eastAsia="Times New Roman"/>
          <w:sz w:val="24"/>
        </w:rPr>
        <w:t>27</w:t>
      </w:r>
    </w:p>
    <w:p>
      <w:pPr>
        <w:pStyle w:val="BodyText"/>
        <w:tabs>
          <w:tab w:pos="8787" w:val="right" w:leader="dot"/>
        </w:tabs>
        <w:spacing w:line="240" w:lineRule="auto" w:after="40"/>
        <w:ind w:left="312"/>
        <w:jc w:val="left"/>
      </w:pPr>
      <w:r>
        <w:rPr>
          <w:rFonts w:ascii="Times New Roman" w:hAnsi="Times New Roman" w:eastAsia="Times New Roman"/>
          <w:sz w:val="24"/>
        </w:rPr>
        <w:t>5.1 Design Principles</w:t>
      </w:r>
      <w:r>
        <w:tab/>
      </w:r>
      <w:r>
        <w:rPr>
          <w:rFonts w:ascii="Times New Roman" w:hAnsi="Times New Roman" w:eastAsia="Times New Roman"/>
          <w:sz w:val="24"/>
        </w:rPr>
        <w:t>27</w:t>
      </w:r>
    </w:p>
    <w:p>
      <w:pPr>
        <w:pStyle w:val="BodyText"/>
        <w:tabs>
          <w:tab w:pos="8787" w:val="right" w:leader="dot"/>
        </w:tabs>
        <w:spacing w:line="240" w:lineRule="auto" w:after="40"/>
        <w:ind w:left="312"/>
        <w:jc w:val="left"/>
      </w:pPr>
      <w:r>
        <w:rPr>
          <w:rFonts w:ascii="Times New Roman" w:hAnsi="Times New Roman" w:eastAsia="Times New Roman"/>
          <w:sz w:val="24"/>
        </w:rPr>
        <w:t>5.2 Capacity Proxy and Input Assumptions</w:t>
      </w:r>
      <w:r>
        <w:tab/>
      </w:r>
      <w:r>
        <w:rPr>
          <w:rFonts w:ascii="Times New Roman" w:hAnsi="Times New Roman" w:eastAsia="Times New Roman"/>
          <w:sz w:val="24"/>
        </w:rPr>
        <w:t>27</w:t>
      </w:r>
    </w:p>
    <w:p>
      <w:pPr>
        <w:pStyle w:val="BodyText"/>
        <w:tabs>
          <w:tab w:pos="8787" w:val="right" w:leader="dot"/>
        </w:tabs>
        <w:spacing w:line="240" w:lineRule="auto" w:after="40"/>
        <w:ind w:left="312"/>
        <w:jc w:val="left"/>
      </w:pPr>
      <w:r>
        <w:rPr>
          <w:rFonts w:ascii="Times New Roman" w:hAnsi="Times New Roman" w:eastAsia="Times New Roman"/>
          <w:sz w:val="24"/>
        </w:rPr>
        <w:t>5.3 Risk Adjustment</w:t>
      </w:r>
      <w:r>
        <w:tab/>
      </w:r>
      <w:r>
        <w:rPr>
          <w:rFonts w:ascii="Times New Roman" w:hAnsi="Times New Roman" w:eastAsia="Times New Roman"/>
          <w:sz w:val="24"/>
        </w:rPr>
        <w:t>28</w:t>
      </w:r>
    </w:p>
    <w:p>
      <w:pPr>
        <w:pStyle w:val="BodyText"/>
        <w:tabs>
          <w:tab w:pos="8787" w:val="right" w:leader="dot"/>
        </w:tabs>
        <w:spacing w:line="240" w:lineRule="auto" w:after="40"/>
        <w:ind w:left="312"/>
        <w:jc w:val="left"/>
      </w:pPr>
      <w:r>
        <w:rPr>
          <w:rFonts w:ascii="Times New Roman" w:hAnsi="Times New Roman" w:eastAsia="Times New Roman"/>
          <w:sz w:val="24"/>
        </w:rPr>
        <w:t>5.4 Exposure Cap and Existing Exposure</w:t>
      </w:r>
      <w:r>
        <w:tab/>
      </w:r>
      <w:r>
        <w:rPr>
          <w:rFonts w:ascii="Times New Roman" w:hAnsi="Times New Roman" w:eastAsia="Times New Roman"/>
          <w:sz w:val="24"/>
        </w:rPr>
        <w:t>29</w:t>
      </w:r>
    </w:p>
    <w:p>
      <w:pPr>
        <w:pStyle w:val="BodyText"/>
        <w:tabs>
          <w:tab w:pos="8787" w:val="right" w:leader="dot"/>
        </w:tabs>
        <w:spacing w:line="240" w:lineRule="auto" w:after="40"/>
        <w:ind w:left="312"/>
        <w:jc w:val="left"/>
      </w:pPr>
      <w:r>
        <w:rPr>
          <w:rFonts w:ascii="Times New Roman" w:hAnsi="Times New Roman" w:eastAsia="Times New Roman"/>
          <w:sz w:val="24"/>
        </w:rPr>
        <w:t>5.5 Monthly Update Rules and Safeguards</w:t>
      </w:r>
      <w:r>
        <w:tab/>
      </w:r>
      <w:r>
        <w:rPr>
          <w:rFonts w:ascii="Times New Roman" w:hAnsi="Times New Roman" w:eastAsia="Times New Roman"/>
          <w:sz w:val="24"/>
        </w:rPr>
        <w:t>29</w:t>
      </w:r>
    </w:p>
    <w:p>
      <w:pPr>
        <w:pStyle w:val="BodyText"/>
        <w:tabs>
          <w:tab w:pos="8787" w:val="right" w:leader="dot"/>
        </w:tabs>
        <w:spacing w:line="240" w:lineRule="auto" w:after="40"/>
        <w:ind w:left="312"/>
        <w:jc w:val="left"/>
      </w:pPr>
      <w:r>
        <w:rPr>
          <w:rFonts w:ascii="Times New Roman" w:hAnsi="Times New Roman" w:eastAsia="Times New Roman"/>
          <w:sz w:val="24"/>
        </w:rPr>
        <w:t>5.6 Worked Example</w:t>
      </w:r>
      <w:r>
        <w:tab/>
      </w:r>
      <w:r>
        <w:rPr>
          <w:rFonts w:ascii="Times New Roman" w:hAnsi="Times New Roman" w:eastAsia="Times New Roman"/>
          <w:sz w:val="24"/>
        </w:rPr>
        <w:t>30</w:t>
      </w:r>
    </w:p>
    <w:p>
      <w:pPr>
        <w:pStyle w:val="BodyText"/>
        <w:tabs>
          <w:tab w:pos="8787" w:val="right" w:leader="dot"/>
        </w:tabs>
        <w:spacing w:line="240" w:lineRule="auto" w:after="40"/>
        <w:ind w:left="312"/>
        <w:jc w:val="left"/>
      </w:pPr>
      <w:r>
        <w:rPr>
          <w:rFonts w:ascii="Times New Roman" w:hAnsi="Times New Roman" w:eastAsia="Times New Roman"/>
          <w:sz w:val="24"/>
        </w:rPr>
        <w:t>5.7 Scenario Assumptions and Limitations</w:t>
      </w:r>
      <w:r>
        <w:tab/>
      </w:r>
      <w:r>
        <w:rPr>
          <w:rFonts w:ascii="Times New Roman" w:hAnsi="Times New Roman" w:eastAsia="Times New Roman"/>
          <w:sz w:val="24"/>
        </w:rPr>
        <w:t>31</w:t>
      </w:r>
    </w:p>
    <w:p>
      <w:pPr>
        <w:pStyle w:val="BodyText"/>
        <w:tabs>
          <w:tab w:pos="8787" w:val="right" w:leader="dot"/>
        </w:tabs>
        <w:spacing w:line="240" w:lineRule="auto" w:after="40"/>
        <w:ind w:left="0"/>
        <w:jc w:val="left"/>
      </w:pPr>
      <w:r>
        <w:rPr>
          <w:rFonts w:ascii="Times New Roman" w:hAnsi="Times New Roman" w:eastAsia="Times New Roman"/>
          <w:sz w:val="24"/>
        </w:rPr>
        <w:t>6 Empirical Results</w:t>
      </w:r>
      <w:r>
        <w:tab/>
      </w:r>
      <w:r>
        <w:rPr>
          <w:rFonts w:ascii="Times New Roman" w:hAnsi="Times New Roman" w:eastAsia="Times New Roman"/>
          <w:sz w:val="24"/>
        </w:rPr>
        <w:t>32</w:t>
      </w:r>
    </w:p>
    <w:p>
      <w:pPr>
        <w:pStyle w:val="BodyText"/>
        <w:tabs>
          <w:tab w:pos="8787" w:val="right" w:leader="dot"/>
        </w:tabs>
        <w:spacing w:line="240" w:lineRule="auto" w:after="40"/>
        <w:ind w:left="312"/>
        <w:jc w:val="left"/>
      </w:pPr>
      <w:r>
        <w:rPr>
          <w:rFonts w:ascii="Times New Roman" w:hAnsi="Times New Roman" w:eastAsia="Times New Roman"/>
          <w:sz w:val="24"/>
        </w:rPr>
        <w:t>6.1 Sample and Chronological Design</w:t>
      </w:r>
      <w:r>
        <w:tab/>
      </w:r>
      <w:r>
        <w:rPr>
          <w:rFonts w:ascii="Times New Roman" w:hAnsi="Times New Roman" w:eastAsia="Times New Roman"/>
          <w:sz w:val="24"/>
        </w:rPr>
        <w:t>32</w:t>
      </w:r>
    </w:p>
    <w:p>
      <w:pPr>
        <w:pStyle w:val="BodyText"/>
        <w:tabs>
          <w:tab w:pos="8787" w:val="right" w:leader="dot"/>
        </w:tabs>
        <w:spacing w:line="240" w:lineRule="auto" w:after="40"/>
        <w:ind w:left="312"/>
        <w:jc w:val="left"/>
      </w:pPr>
      <w:r>
        <w:rPr>
          <w:rFonts w:ascii="Times New Roman" w:hAnsi="Times New Roman" w:eastAsia="Times New Roman"/>
          <w:sz w:val="24"/>
        </w:rPr>
        <w:t>6.2 Predictors and Tuning</w:t>
      </w:r>
      <w:r>
        <w:tab/>
      </w:r>
      <w:r>
        <w:rPr>
          <w:rFonts w:ascii="Times New Roman" w:hAnsi="Times New Roman" w:eastAsia="Times New Roman"/>
          <w:sz w:val="24"/>
        </w:rPr>
        <w:t>33</w:t>
      </w:r>
    </w:p>
    <w:p>
      <w:pPr>
        <w:pStyle w:val="BodyText"/>
        <w:tabs>
          <w:tab w:pos="8787" w:val="right" w:leader="dot"/>
        </w:tabs>
        <w:spacing w:line="240" w:lineRule="auto" w:after="40"/>
        <w:ind w:left="312"/>
        <w:jc w:val="left"/>
      </w:pPr>
      <w:r>
        <w:rPr>
          <w:rFonts w:ascii="Times New Roman" w:hAnsi="Times New Roman" w:eastAsia="Times New Roman"/>
          <w:sz w:val="24"/>
        </w:rPr>
        <w:t>6.3 Probability Mapping and Model Selection</w:t>
      </w:r>
      <w:r>
        <w:tab/>
      </w:r>
      <w:r>
        <w:rPr>
          <w:rFonts w:ascii="Times New Roman" w:hAnsi="Times New Roman" w:eastAsia="Times New Roman"/>
          <w:sz w:val="24"/>
        </w:rPr>
        <w:t>33</w:t>
      </w:r>
    </w:p>
    <w:p>
      <w:pPr>
        <w:pStyle w:val="BodyText"/>
        <w:tabs>
          <w:tab w:pos="8787" w:val="right" w:leader="dot"/>
        </w:tabs>
        <w:spacing w:line="240" w:lineRule="auto" w:after="40"/>
        <w:ind w:left="312"/>
        <w:jc w:val="left"/>
      </w:pPr>
      <w:r>
        <w:rPr>
          <w:rFonts w:ascii="Times New Roman" w:hAnsi="Times New Roman" w:eastAsia="Times New Roman"/>
          <w:sz w:val="24"/>
        </w:rPr>
        <w:t>6.4 Later Evaluation</w:t>
      </w:r>
      <w:r>
        <w:tab/>
      </w:r>
      <w:r>
        <w:rPr>
          <w:rFonts w:ascii="Times New Roman" w:hAnsi="Times New Roman" w:eastAsia="Times New Roman"/>
          <w:sz w:val="24"/>
        </w:rPr>
        <w:t>34</w:t>
      </w:r>
    </w:p>
    <w:p>
      <w:pPr>
        <w:pStyle w:val="BodyText"/>
        <w:tabs>
          <w:tab w:pos="8787" w:val="right" w:leader="dot"/>
        </w:tabs>
        <w:spacing w:line="240" w:lineRule="auto" w:after="40"/>
        <w:ind w:left="312"/>
        <w:jc w:val="left"/>
      </w:pPr>
      <w:r>
        <w:rPr>
          <w:rFonts w:ascii="Times New Roman" w:hAnsi="Times New Roman" w:eastAsia="Times New Roman"/>
          <w:sz w:val="24"/>
        </w:rPr>
        <w:t>6.5 Alternative-Period Sensitivity</w:t>
      </w:r>
      <w:r>
        <w:tab/>
      </w:r>
      <w:r>
        <w:rPr>
          <w:rFonts w:ascii="Times New Roman" w:hAnsi="Times New Roman" w:eastAsia="Times New Roman"/>
          <w:sz w:val="24"/>
        </w:rPr>
        <w:t>36</w:t>
      </w:r>
    </w:p>
    <w:p>
      <w:pPr>
        <w:pStyle w:val="BodyText"/>
        <w:tabs>
          <w:tab w:pos="8787" w:val="right" w:leader="dot"/>
        </w:tabs>
        <w:spacing w:line="240" w:lineRule="auto" w:after="40"/>
        <w:ind w:left="312"/>
        <w:jc w:val="left"/>
      </w:pPr>
      <w:r>
        <w:rPr>
          <w:rFonts w:ascii="Times New Roman" w:hAnsi="Times New Roman" w:eastAsia="Times New Roman"/>
          <w:sz w:val="24"/>
        </w:rPr>
        <w:t>6.6 Interpretation</w:t>
      </w:r>
      <w:r>
        <w:tab/>
      </w:r>
      <w:r>
        <w:rPr>
          <w:rFonts w:ascii="Times New Roman" w:hAnsi="Times New Roman" w:eastAsia="Times New Roman"/>
          <w:sz w:val="24"/>
        </w:rPr>
        <w:t>36</w:t>
      </w:r>
    </w:p>
    <w:p>
      <w:pPr>
        <w:pStyle w:val="BodyText"/>
        <w:tabs>
          <w:tab w:pos="8787" w:val="right" w:leader="dot"/>
        </w:tabs>
        <w:spacing w:line="240" w:lineRule="auto" w:after="40"/>
        <w:ind w:left="0"/>
        <w:jc w:val="left"/>
      </w:pPr>
      <w:r>
        <w:rPr>
          <w:rFonts w:ascii="Times New Roman" w:hAnsi="Times New Roman" w:eastAsia="Times New Roman"/>
          <w:sz w:val="24"/>
        </w:rPr>
        <w:t>7 Credit-Limit Policy Results</w:t>
      </w:r>
      <w:r>
        <w:tab/>
      </w:r>
      <w:r>
        <w:rPr>
          <w:rFonts w:ascii="Times New Roman" w:hAnsi="Times New Roman" w:eastAsia="Times New Roman"/>
          <w:sz w:val="24"/>
        </w:rPr>
        <w:t>37</w:t>
      </w:r>
    </w:p>
    <w:p>
      <w:pPr>
        <w:pStyle w:val="BodyText"/>
        <w:tabs>
          <w:tab w:pos="8787" w:val="right" w:leader="dot"/>
        </w:tabs>
        <w:spacing w:line="240" w:lineRule="auto" w:after="40"/>
        <w:ind w:left="312"/>
        <w:jc w:val="left"/>
      </w:pPr>
      <w:r>
        <w:rPr>
          <w:rFonts w:ascii="Times New Roman" w:hAnsi="Times New Roman" w:eastAsia="Times New Roman"/>
          <w:sz w:val="24"/>
        </w:rPr>
        <w:t>7.1 Replay Sample and Reference Assumptions</w:t>
      </w:r>
      <w:r>
        <w:tab/>
      </w:r>
      <w:r>
        <w:rPr>
          <w:rFonts w:ascii="Times New Roman" w:hAnsi="Times New Roman" w:eastAsia="Times New Roman"/>
          <w:sz w:val="24"/>
        </w:rPr>
        <w:t>37</w:t>
      </w:r>
    </w:p>
    <w:p>
      <w:pPr>
        <w:pStyle w:val="BodyText"/>
        <w:tabs>
          <w:tab w:pos="8787" w:val="right" w:leader="dot"/>
        </w:tabs>
        <w:spacing w:line="240" w:lineRule="auto" w:after="40"/>
        <w:ind w:left="312"/>
        <w:jc w:val="left"/>
      </w:pPr>
      <w:r>
        <w:rPr>
          <w:rFonts w:ascii="Times New Roman" w:hAnsi="Times New Roman" w:eastAsia="Times New Roman"/>
          <w:sz w:val="24"/>
        </w:rPr>
        <w:t>7.2 Reference-Scenario Results</w:t>
      </w:r>
      <w:r>
        <w:tab/>
      </w:r>
      <w:r>
        <w:rPr>
          <w:rFonts w:ascii="Times New Roman" w:hAnsi="Times New Roman" w:eastAsia="Times New Roman"/>
          <w:sz w:val="24"/>
        </w:rPr>
        <w:t>38</w:t>
      </w:r>
    </w:p>
    <w:p>
      <w:pPr>
        <w:pStyle w:val="BodyText"/>
        <w:tabs>
          <w:tab w:pos="8787" w:val="right" w:leader="dot"/>
        </w:tabs>
        <w:spacing w:line="240" w:lineRule="auto" w:after="40"/>
        <w:ind w:left="312"/>
        <w:jc w:val="left"/>
      </w:pPr>
      <w:r>
        <w:rPr>
          <w:rFonts w:ascii="Times New Roman" w:hAnsi="Times New Roman" w:eastAsia="Times New Roman"/>
          <w:sz w:val="24"/>
        </w:rPr>
        <w:t>7.3 Sensitivity to Policy Assumptions</w:t>
      </w:r>
      <w:r>
        <w:tab/>
      </w:r>
      <w:r>
        <w:rPr>
          <w:rFonts w:ascii="Times New Roman" w:hAnsi="Times New Roman" w:eastAsia="Times New Roman"/>
          <w:sz w:val="24"/>
        </w:rPr>
        <w:t>38</w:t>
      </w:r>
    </w:p>
    <w:p>
      <w:pPr>
        <w:pStyle w:val="BodyText"/>
        <w:tabs>
          <w:tab w:pos="8787" w:val="right" w:leader="dot"/>
        </w:tabs>
        <w:spacing w:line="240" w:lineRule="auto" w:after="40"/>
        <w:ind w:left="312"/>
        <w:jc w:val="left"/>
      </w:pPr>
      <w:r>
        <w:rPr>
          <w:rFonts w:ascii="Times New Roman" w:hAnsi="Times New Roman" w:eastAsia="Times New Roman"/>
          <w:sz w:val="24"/>
        </w:rPr>
        <w:t>7.4 Effect of the Monthly Update Rules</w:t>
      </w:r>
      <w:r>
        <w:tab/>
      </w:r>
      <w:r>
        <w:rPr>
          <w:rFonts w:ascii="Times New Roman" w:hAnsi="Times New Roman" w:eastAsia="Times New Roman"/>
          <w:sz w:val="24"/>
        </w:rPr>
        <w:t>40</w:t>
      </w:r>
    </w:p>
    <w:p>
      <w:pPr>
        <w:pStyle w:val="BodyText"/>
        <w:tabs>
          <w:tab w:pos="8787" w:val="right" w:leader="dot"/>
        </w:tabs>
        <w:spacing w:line="240" w:lineRule="auto" w:after="40"/>
        <w:ind w:left="312"/>
        <w:jc w:val="left"/>
      </w:pPr>
      <w:r>
        <w:rPr>
          <w:rFonts w:ascii="Times New Roman" w:hAnsi="Times New Roman" w:eastAsia="Times New Roman"/>
          <w:sz w:val="24"/>
        </w:rPr>
        <w:t>7.5 Scope of the Evidence</w:t>
      </w:r>
      <w:r>
        <w:tab/>
      </w:r>
      <w:r>
        <w:rPr>
          <w:rFonts w:ascii="Times New Roman" w:hAnsi="Times New Roman" w:eastAsia="Times New Roman"/>
          <w:sz w:val="24"/>
        </w:rPr>
        <w:t>40</w:t>
      </w:r>
    </w:p>
    <w:p>
      <w:pPr>
        <w:pStyle w:val="BodyText"/>
        <w:tabs>
          <w:tab w:pos="8787" w:val="right" w:leader="dot"/>
        </w:tabs>
        <w:spacing w:line="240" w:lineRule="auto" w:after="40"/>
        <w:ind w:left="0"/>
        <w:jc w:val="left"/>
      </w:pPr>
      <w:r>
        <w:rPr>
          <w:rFonts w:ascii="Times New Roman" w:hAnsi="Times New Roman" w:eastAsia="Times New Roman"/>
          <w:sz w:val="24"/>
        </w:rPr>
        <w:t>8 Discussion, Limitations and Conclusion</w:t>
      </w:r>
      <w:r>
        <w:tab/>
      </w:r>
      <w:r>
        <w:rPr>
          <w:rFonts w:ascii="Times New Roman" w:hAnsi="Times New Roman" w:eastAsia="Times New Roman"/>
          <w:sz w:val="24"/>
        </w:rPr>
        <w:t>42</w:t>
      </w:r>
    </w:p>
    <w:p>
      <w:pPr>
        <w:pStyle w:val="BodyText"/>
        <w:tabs>
          <w:tab w:pos="8787" w:val="right" w:leader="dot"/>
        </w:tabs>
        <w:spacing w:line="240" w:lineRule="auto" w:after="40"/>
        <w:ind w:left="312"/>
        <w:jc w:val="left"/>
      </w:pPr>
      <w:r>
        <w:rPr>
          <w:rFonts w:ascii="Times New Roman" w:hAnsi="Times New Roman" w:eastAsia="Times New Roman"/>
          <w:sz w:val="24"/>
        </w:rPr>
        <w:t>8.1 Answers to the Research Questions</w:t>
      </w:r>
      <w:r>
        <w:tab/>
      </w:r>
      <w:r>
        <w:rPr>
          <w:rFonts w:ascii="Times New Roman" w:hAnsi="Times New Roman" w:eastAsia="Times New Roman"/>
          <w:sz w:val="24"/>
        </w:rPr>
        <w:t>42</w:t>
      </w:r>
    </w:p>
    <w:p>
      <w:pPr>
        <w:pStyle w:val="BodyText"/>
        <w:tabs>
          <w:tab w:pos="8787" w:val="right" w:leader="dot"/>
        </w:tabs>
        <w:spacing w:line="240" w:lineRule="auto" w:after="40"/>
        <w:ind w:left="624"/>
        <w:jc w:val="left"/>
      </w:pPr>
      <w:r>
        <w:rPr>
          <w:rFonts w:ascii="Times New Roman" w:hAnsi="Times New Roman" w:eastAsia="Times New Roman"/>
          <w:sz w:val="24"/>
        </w:rPr>
        <w:t>8.1.1 Prediction Compared with a Constant Benchmark</w:t>
      </w:r>
      <w:r>
        <w:tab/>
      </w:r>
      <w:r>
        <w:rPr>
          <w:rFonts w:ascii="Times New Roman" w:hAnsi="Times New Roman" w:eastAsia="Times New Roman"/>
          <w:sz w:val="24"/>
        </w:rPr>
        <w:t>42</w:t>
      </w:r>
    </w:p>
    <w:p>
      <w:pPr>
        <w:pStyle w:val="BodyText"/>
        <w:tabs>
          <w:tab w:pos="8787" w:val="right" w:leader="dot"/>
        </w:tabs>
        <w:spacing w:line="240" w:lineRule="auto" w:after="40"/>
        <w:ind w:left="624"/>
        <w:jc w:val="left"/>
      </w:pPr>
      <w:r>
        <w:rPr>
          <w:rFonts w:ascii="Times New Roman" w:hAnsi="Times New Roman" w:eastAsia="Times New Roman"/>
          <w:sz w:val="24"/>
        </w:rPr>
        <w:t>8.1.2 Tree Models Compared with Logistic Regression</w:t>
      </w:r>
      <w:r>
        <w:tab/>
      </w:r>
      <w:r>
        <w:rPr>
          <w:rFonts w:ascii="Times New Roman" w:hAnsi="Times New Roman" w:eastAsia="Times New Roman"/>
          <w:sz w:val="24"/>
        </w:rPr>
        <w:t>42</w:t>
      </w:r>
    </w:p>
    <w:p>
      <w:pPr>
        <w:pStyle w:val="BodyText"/>
        <w:tabs>
          <w:tab w:pos="8787" w:val="right" w:leader="dot"/>
        </w:tabs>
        <w:spacing w:line="240" w:lineRule="auto" w:after="40"/>
        <w:ind w:left="624"/>
        <w:jc w:val="left"/>
      </w:pPr>
      <w:r>
        <w:rPr>
          <w:rFonts w:ascii="Times New Roman" w:hAnsi="Times New Roman" w:eastAsia="Times New Roman"/>
          <w:sz w:val="24"/>
        </w:rPr>
        <w:t>8.1.3 Converting Risk and Financial Capacity into a Limit</w:t>
      </w:r>
      <w:r>
        <w:tab/>
      </w:r>
      <w:r>
        <w:rPr>
          <w:rFonts w:ascii="Times New Roman" w:hAnsi="Times New Roman" w:eastAsia="Times New Roman"/>
          <w:sz w:val="24"/>
        </w:rPr>
        <w:t>42</w:t>
      </w:r>
    </w:p>
    <w:p>
      <w:pPr>
        <w:pStyle w:val="BodyText"/>
        <w:tabs>
          <w:tab w:pos="8787" w:val="right" w:leader="dot"/>
        </w:tabs>
        <w:spacing w:line="240" w:lineRule="auto" w:after="40"/>
        <w:ind w:left="624"/>
        <w:jc w:val="left"/>
      </w:pPr>
      <w:r>
        <w:rPr>
          <w:rFonts w:ascii="Times New Roman" w:hAnsi="Times New Roman" w:eastAsia="Times New Roman"/>
          <w:sz w:val="24"/>
        </w:rPr>
        <w:t>8.1.4 Monthly Behavior and Alternative Policy Assumptions</w:t>
      </w:r>
      <w:r>
        <w:tab/>
      </w:r>
      <w:r>
        <w:rPr>
          <w:rFonts w:ascii="Times New Roman" w:hAnsi="Times New Roman" w:eastAsia="Times New Roman"/>
          <w:sz w:val="24"/>
        </w:rPr>
        <w:t>42</w:t>
      </w:r>
    </w:p>
    <w:p>
      <w:pPr>
        <w:pStyle w:val="BodyText"/>
        <w:tabs>
          <w:tab w:pos="8787" w:val="right" w:leader="dot"/>
        </w:tabs>
        <w:spacing w:line="240" w:lineRule="auto" w:after="40"/>
        <w:ind w:left="312"/>
        <w:jc w:val="left"/>
      </w:pPr>
      <w:r>
        <w:rPr>
          <w:rFonts w:ascii="Times New Roman" w:hAnsi="Times New Roman" w:eastAsia="Times New Roman"/>
          <w:sz w:val="24"/>
        </w:rPr>
        <w:t>8.2 Contribution</w:t>
      </w:r>
      <w:r>
        <w:tab/>
      </w:r>
      <w:r>
        <w:rPr>
          <w:rFonts w:ascii="Times New Roman" w:hAnsi="Times New Roman" w:eastAsia="Times New Roman"/>
          <w:sz w:val="24"/>
        </w:rPr>
        <w:t>43</w:t>
      </w:r>
    </w:p>
    <w:p>
      <w:pPr>
        <w:pStyle w:val="BodyText"/>
        <w:tabs>
          <w:tab w:pos="8787" w:val="right" w:leader="dot"/>
        </w:tabs>
        <w:spacing w:line="240" w:lineRule="auto" w:after="40"/>
        <w:ind w:left="312"/>
        <w:jc w:val="left"/>
      </w:pPr>
      <w:r>
        <w:rPr>
          <w:rFonts w:ascii="Times New Roman" w:hAnsi="Times New Roman" w:eastAsia="Times New Roman"/>
          <w:sz w:val="24"/>
        </w:rPr>
        <w:t>8.3 Limitations</w:t>
      </w:r>
      <w:r>
        <w:tab/>
      </w:r>
      <w:r>
        <w:rPr>
          <w:rFonts w:ascii="Times New Roman" w:hAnsi="Times New Roman" w:eastAsia="Times New Roman"/>
          <w:sz w:val="24"/>
        </w:rPr>
        <w:t>43</w:t>
      </w:r>
    </w:p>
    <w:p>
      <w:pPr>
        <w:pStyle w:val="BodyText"/>
        <w:tabs>
          <w:tab w:pos="8787" w:val="right" w:leader="dot"/>
        </w:tabs>
        <w:spacing w:line="240" w:lineRule="auto" w:after="40"/>
        <w:ind w:left="312"/>
        <w:jc w:val="left"/>
      </w:pPr>
      <w:r>
        <w:rPr>
          <w:rFonts w:ascii="Times New Roman" w:hAnsi="Times New Roman" w:eastAsia="Times New Roman"/>
          <w:sz w:val="24"/>
        </w:rPr>
        <w:t>8.4 Further Work</w:t>
      </w:r>
      <w:r>
        <w:tab/>
      </w:r>
      <w:r>
        <w:rPr>
          <w:rFonts w:ascii="Times New Roman" w:hAnsi="Times New Roman" w:eastAsia="Times New Roman"/>
          <w:sz w:val="24"/>
        </w:rPr>
        <w:t>43</w:t>
      </w:r>
    </w:p>
    <w:p>
      <w:pPr>
        <w:pStyle w:val="BodyText"/>
        <w:tabs>
          <w:tab w:pos="8787" w:val="right" w:leader="dot"/>
        </w:tabs>
        <w:spacing w:line="240" w:lineRule="auto" w:after="40"/>
        <w:ind w:left="312"/>
        <w:jc w:val="left"/>
      </w:pPr>
      <w:r>
        <w:rPr>
          <w:rFonts w:ascii="Times New Roman" w:hAnsi="Times New Roman" w:eastAsia="Times New Roman"/>
          <w:sz w:val="24"/>
        </w:rPr>
        <w:t>8.5 Conclusion</w:t>
      </w:r>
      <w:r>
        <w:tab/>
      </w:r>
      <w:r>
        <w:rPr>
          <w:rFonts w:ascii="Times New Roman" w:hAnsi="Times New Roman" w:eastAsia="Times New Roman"/>
          <w:sz w:val="24"/>
        </w:rPr>
        <w:t>44</w:t>
      </w:r>
    </w:p>
    <w:p>
      <w:pPr>
        <w:pStyle w:val="BodyText"/>
        <w:tabs>
          <w:tab w:pos="8787" w:val="right" w:leader="dot"/>
        </w:tabs>
        <w:spacing w:line="240" w:lineRule="auto" w:after="40"/>
        <w:ind w:left="0"/>
        <w:jc w:val="left"/>
      </w:pPr>
      <w:r>
        <w:rPr>
          <w:rFonts w:ascii="Times New Roman" w:hAnsi="Times New Roman" w:eastAsia="Times New Roman"/>
          <w:sz w:val="24"/>
        </w:rPr>
        <w:t>References</w:t>
      </w:r>
      <w:r>
        <w:tab/>
      </w:r>
      <w:r>
        <w:rPr>
          <w:rFonts w:ascii="Times New Roman" w:hAnsi="Times New Roman" w:eastAsia="Times New Roman"/>
          <w:sz w:val="24"/>
        </w:rPr>
        <w:t>45</w:t>
      </w:r>
    </w:p>
    <w:p>
      <w:pPr>
        <w:pStyle w:val="BodyText"/>
        <w:tabs>
          <w:tab w:pos="8787" w:val="right" w:leader="dot"/>
        </w:tabs>
        <w:spacing w:line="240" w:lineRule="auto" w:after="40"/>
        <w:ind w:left="0"/>
        <w:jc w:val="left"/>
      </w:pPr>
      <w:r>
        <w:rPr>
          <w:rFonts w:ascii="Times New Roman" w:hAnsi="Times New Roman" w:eastAsia="Times New Roman"/>
          <w:sz w:val="24"/>
        </w:rPr>
        <w:t>Appendix A: Reproducibility and Code Availability</w:t>
      </w:r>
      <w:r>
        <w:tab/>
      </w:r>
      <w:r>
        <w:rPr>
          <w:rFonts w:ascii="Times New Roman" w:hAnsi="Times New Roman" w:eastAsia="Times New Roman"/>
          <w:sz w:val="24"/>
        </w:rPr>
        <w:t>46</w:t>
      </w:r>
    </w:p>
    <w:p>
      <w:pPr>
        <w:pStyle w:val="BodyText"/>
        <w:tabs>
          <w:tab w:pos="8787" w:val="right" w:leader="dot"/>
        </w:tabs>
        <w:spacing w:line="240" w:lineRule="auto" w:after="40"/>
        <w:ind w:left="312"/>
        <w:jc w:val="left"/>
      </w:pPr>
      <w:r>
        <w:rPr>
          <w:rFonts w:ascii="Times New Roman" w:hAnsi="Times New Roman" w:eastAsia="Times New Roman"/>
          <w:sz w:val="24"/>
        </w:rPr>
        <w:t>A.1 Primary Experiment and Evidence</w:t>
      </w:r>
      <w:r>
        <w:tab/>
      </w:r>
      <w:r>
        <w:rPr>
          <w:rFonts w:ascii="Times New Roman" w:hAnsi="Times New Roman" w:eastAsia="Times New Roman"/>
          <w:sz w:val="24"/>
        </w:rPr>
        <w:t>46</w:t>
      </w:r>
    </w:p>
    <w:p>
      <w:pPr>
        <w:pStyle w:val="BodyText"/>
        <w:tabs>
          <w:tab w:pos="8787" w:val="right" w:leader="dot"/>
        </w:tabs>
        <w:spacing w:line="240" w:lineRule="auto" w:after="40"/>
        <w:ind w:left="312"/>
        <w:jc w:val="left"/>
      </w:pPr>
      <w:r>
        <w:rPr>
          <w:rFonts w:ascii="Times New Roman" w:hAnsi="Times New Roman" w:eastAsia="Times New Roman"/>
          <w:sz w:val="24"/>
        </w:rPr>
        <w:t>A.2 Model and Validation Settings</w:t>
      </w:r>
      <w:r>
        <w:tab/>
      </w:r>
      <w:r>
        <w:rPr>
          <w:rFonts w:ascii="Times New Roman" w:hAnsi="Times New Roman" w:eastAsia="Times New Roman"/>
          <w:sz w:val="24"/>
        </w:rPr>
        <w:t>46</w:t>
      </w:r>
    </w:p>
    <w:p>
      <w:pPr>
        <w:pStyle w:val="BodyText"/>
        <w:tabs>
          <w:tab w:pos="8787" w:val="right" w:leader="dot"/>
        </w:tabs>
        <w:spacing w:line="240" w:lineRule="auto" w:after="40"/>
        <w:ind w:left="312"/>
        <w:jc w:val="left"/>
      </w:pPr>
      <w:r>
        <w:rPr>
          <w:rFonts w:ascii="Times New Roman" w:hAnsi="Times New Roman" w:eastAsia="Times New Roman"/>
          <w:sz w:val="24"/>
        </w:rPr>
        <w:t>A.3 Implementation Map</w:t>
      </w:r>
      <w:r>
        <w:tab/>
      </w:r>
      <w:r>
        <w:rPr>
          <w:rFonts w:ascii="Times New Roman" w:hAnsi="Times New Roman" w:eastAsia="Times New Roman"/>
          <w:sz w:val="24"/>
        </w:rPr>
        <w:t>47</w:t>
      </w:r>
    </w:p>
    <w:p>
      <w:pPr>
        <w:pStyle w:val="BodyText"/>
        <w:tabs>
          <w:tab w:pos="8787" w:val="right" w:leader="dot"/>
        </w:tabs>
        <w:spacing w:line="240" w:lineRule="auto" w:after="40"/>
        <w:ind w:left="312"/>
        <w:jc w:val="left"/>
      </w:pPr>
      <w:r>
        <w:rPr>
          <w:rFonts w:ascii="Times New Roman" w:hAnsi="Times New Roman" w:eastAsia="Times New Roman"/>
          <w:sz w:val="24"/>
        </w:rPr>
        <w:t>A.4 Software Environment</w:t>
      </w:r>
      <w:r>
        <w:tab/>
      </w:r>
      <w:r>
        <w:rPr>
          <w:rFonts w:ascii="Times New Roman" w:hAnsi="Times New Roman" w:eastAsia="Times New Roman"/>
          <w:sz w:val="24"/>
        </w:rPr>
        <w:t>47</w:t>
      </w:r>
    </w:p>
    <w:p>
      <w:pPr>
        <w:pStyle w:val="BodyText"/>
        <w:tabs>
          <w:tab w:pos="8787" w:val="right" w:leader="dot"/>
        </w:tabs>
        <w:spacing w:line="240" w:lineRule="auto" w:after="40"/>
        <w:ind w:left="312"/>
        <w:jc w:val="left"/>
      </w:pPr>
      <w:r>
        <w:rPr>
          <w:rFonts w:ascii="Times New Roman" w:hAnsi="Times New Roman" w:eastAsia="Times New Roman"/>
          <w:sz w:val="24"/>
        </w:rPr>
        <w:t>A.5 Reproduction and Label-Review Limits</w:t>
      </w:r>
      <w:r>
        <w:tab/>
      </w:r>
      <w:r>
        <w:rPr>
          <w:rFonts w:ascii="Times New Roman" w:hAnsi="Times New Roman" w:eastAsia="Times New Roman"/>
          <w:sz w:val="24"/>
        </w:rPr>
        <w:t>48</w:t>
      </w:r>
    </w:p>
    <w:p>
      <w:pPr>
        <w:pStyle w:val="Heading1"/>
        <w:pageBreakBefore/>
        <w:jc w:val="center"/>
      </w:pPr>
      <w:bookmarkStart w:id="73" w:name="_f742a1a4b8d4adc352672b7858cd31b7f4d0972"/>
      <w:r>
        <w:rPr>
          <w:rFonts w:ascii="Times New Roman" w:hAnsi="Times New Roman" w:eastAsia="Times New Roman"/>
          <w:b/>
          <w:sz w:val="32"/>
        </w:rPr>
        <w:t xml:space="preserve">List of Figures</w:t>
      </w:r>
      <w:bookmarkEnd w:id="73"/>
    </w:p>
    <w:p>
      <w:pPr>
        <w:pStyle w:val="FirstParagraph"/>
        <w:tabs>
          <w:tab w:pos="8787" w:val="right" w:leader="dot"/>
        </w:tabs>
        <w:spacing w:line="240" w:lineRule="auto" w:after="40"/>
        <w:ind w:left="0"/>
        <w:jc w:val="left"/>
      </w:pPr>
      <w:r>
        <w:rPr>
          <w:rFonts w:ascii="Times New Roman" w:hAnsi="Times New Roman" w:eastAsia="Times New Roman"/>
          <w:sz w:val="24"/>
        </w:rPr>
        <w:t>Figure 1. Labeled panel before chronological purging. Positive rows are monthly prediction outcomes, not separate episodes. Source: primary model experiment panel audit and descriptive report.</w:t>
      </w:r>
      <w:r>
        <w:tab/>
      </w:r>
      <w:r>
        <w:rPr>
          <w:rFonts w:ascii="Times New Roman" w:hAnsi="Times New Roman" w:eastAsia="Times New Roman"/>
          <w:sz w:val="24"/>
        </w:rPr>
        <w:t>33</w:t>
      </w:r>
    </w:p>
    <w:p>
      <w:pPr>
        <w:pStyle w:val="BodyText"/>
        <w:tabs>
          <w:tab w:pos="8787" w:val="right" w:leader="dot"/>
        </w:tabs>
        <w:spacing w:line="240" w:lineRule="auto" w:after="40"/>
        <w:ind w:left="0"/>
        <w:jc w:val="left"/>
      </w:pPr>
      <w:r>
        <w:rPr>
          <w:rFonts w:ascii="Times New Roman" w:hAnsi="Times New Roman" w:eastAsia="Times New Roman"/>
          <w:sz w:val="24"/>
        </w:rPr>
        <w:t>Figure 2. Ranking and probability diagnostics for 2023–2025. Source: primary model experiment predictions and model report.</w:t>
      </w:r>
      <w:r>
        <w:tab/>
      </w:r>
      <w:r>
        <w:rPr>
          <w:rFonts w:ascii="Times New Roman" w:hAnsi="Times New Roman" w:eastAsia="Times New Roman"/>
          <w:sz w:val="24"/>
        </w:rPr>
        <w:t>35</w:t>
      </w:r>
    </w:p>
    <w:p>
      <w:pPr>
        <w:pStyle w:val="BodyText"/>
        <w:tabs>
          <w:tab w:pos="8787" w:val="right" w:leader="dot"/>
        </w:tabs>
        <w:spacing w:line="240" w:lineRule="auto" w:after="40"/>
        <w:ind w:left="0"/>
        <w:jc w:val="left"/>
      </w:pPr>
      <w:r>
        <w:rPr>
          <w:rFonts w:ascii="Times New Roman" w:hAnsi="Times New Roman" w:eastAsia="Times New Roman"/>
          <w:sz w:val="24"/>
        </w:rPr>
        <w:t>Figure 3. Average assigned limit as a percentage of reported assets under the reference policy and selected alternative assumptions. Each scenario uses the same historical financial observations. Source: primary model experiment policy replay.</w:t>
      </w:r>
      <w:r>
        <w:tab/>
      </w:r>
      <w:r>
        <w:rPr>
          <w:rFonts w:ascii="Times New Roman" w:hAnsi="Times New Roman" w:eastAsia="Times New Roman"/>
          <w:sz w:val="24"/>
        </w:rPr>
        <w:t>40</w:t>
      </w:r>
    </w:p>
    <w:p>
      <w:pPr>
        <w:pStyle w:val="Heading1"/>
        <w:pageBreakBefore/>
        <w:jc w:val="center"/>
      </w:pPr>
      <w:bookmarkStart w:id="74" w:name="_05d3edcf1911c8e89bfeb1b8c208493461f609b"/>
      <w:r>
        <w:rPr>
          <w:rFonts w:ascii="Times New Roman" w:hAnsi="Times New Roman" w:eastAsia="Times New Roman"/>
          <w:b/>
          <w:sz w:val="32"/>
        </w:rPr>
        <w:t xml:space="preserve">List of Tables</w:t>
      </w:r>
      <w:bookmarkEnd w:id="74"/>
    </w:p>
    <w:p>
      <w:pPr>
        <w:pStyle w:val="FirstParagraph"/>
        <w:tabs>
          <w:tab w:pos="8787" w:val="right" w:leader="dot"/>
        </w:tabs>
        <w:spacing w:line="240" w:lineRule="auto" w:after="40"/>
        <w:ind w:left="0"/>
        <w:jc w:val="left"/>
      </w:pPr>
      <w:r>
        <w:rPr>
          <w:rFonts w:ascii="Times New Roman" w:hAnsi="Times New Roman" w:eastAsia="Times New Roman"/>
          <w:sz w:val="24"/>
        </w:rPr>
        <w:t>Table 1. Company inventory screening.</w:t>
      </w:r>
      <w:r>
        <w:tab/>
      </w:r>
      <w:r>
        <w:rPr>
          <w:rFonts w:ascii="Times New Roman" w:hAnsi="Times New Roman" w:eastAsia="Times New Roman"/>
          <w:sz w:val="24"/>
        </w:rPr>
        <w:t>14</w:t>
      </w:r>
    </w:p>
    <w:p>
      <w:pPr>
        <w:pStyle w:val="BodyText"/>
        <w:tabs>
          <w:tab w:pos="8787" w:val="right" w:leader="dot"/>
        </w:tabs>
        <w:spacing w:line="240" w:lineRule="auto" w:after="40"/>
        <w:ind w:left="0"/>
        <w:jc w:val="left"/>
      </w:pPr>
      <w:r>
        <w:rPr>
          <w:rFonts w:ascii="Times New Roman" w:hAnsi="Times New Roman" w:eastAsia="Times New Roman"/>
          <w:sz w:val="24"/>
        </w:rPr>
        <w:t>Table 2. SEC data sources and their roles in the panel.</w:t>
      </w:r>
      <w:r>
        <w:tab/>
      </w:r>
      <w:r>
        <w:rPr>
          <w:rFonts w:ascii="Times New Roman" w:hAnsi="Times New Roman" w:eastAsia="Times New Roman"/>
          <w:sz w:val="24"/>
        </w:rPr>
        <w:t>15</w:t>
      </w:r>
    </w:p>
    <w:p>
      <w:pPr>
        <w:pStyle w:val="BodyText"/>
        <w:tabs>
          <w:tab w:pos="8787" w:val="right" w:leader="dot"/>
        </w:tabs>
        <w:spacing w:line="240" w:lineRule="auto" w:after="40"/>
        <w:ind w:left="0"/>
        <w:jc w:val="left"/>
      </w:pPr>
      <w:r>
        <w:rPr>
          <w:rFonts w:ascii="Times New Roman" w:hAnsi="Times New Roman" w:eastAsia="Times New Roman"/>
          <w:sz w:val="24"/>
        </w:rPr>
        <w:t>Table 3. Company-months removed by the outcome-labeling rules.</w:t>
      </w:r>
      <w:r>
        <w:tab/>
      </w:r>
      <w:r>
        <w:rPr>
          <w:rFonts w:ascii="Times New Roman" w:hAnsi="Times New Roman" w:eastAsia="Times New Roman"/>
          <w:sz w:val="24"/>
        </w:rPr>
        <w:t>17</w:t>
      </w:r>
    </w:p>
    <w:p>
      <w:pPr>
        <w:pStyle w:val="BodyText"/>
        <w:tabs>
          <w:tab w:pos="8787" w:val="right" w:leader="dot"/>
        </w:tabs>
        <w:spacing w:line="240" w:lineRule="auto" w:after="40"/>
        <w:ind w:left="0"/>
        <w:jc w:val="left"/>
      </w:pPr>
      <w:r>
        <w:rPr>
          <w:rFonts w:ascii="Times New Roman" w:hAnsi="Times New Roman" w:eastAsia="Times New Roman"/>
          <w:sz w:val="24"/>
        </w:rPr>
        <w:t>Table 4. Accounting predictors, definitions and expected relationships with risk.</w:t>
      </w:r>
      <w:r>
        <w:tab/>
      </w:r>
      <w:r>
        <w:rPr>
          <w:rFonts w:ascii="Times New Roman" w:hAnsi="Times New Roman" w:eastAsia="Times New Roman"/>
          <w:sz w:val="24"/>
        </w:rPr>
        <w:t>19</w:t>
      </w:r>
    </w:p>
    <w:p>
      <w:pPr>
        <w:pStyle w:val="BodyText"/>
        <w:tabs>
          <w:tab w:pos="8787" w:val="right" w:leader="dot"/>
        </w:tabs>
        <w:spacing w:line="240" w:lineRule="auto" w:after="40"/>
        <w:ind w:left="0"/>
        <w:jc w:val="left"/>
      </w:pPr>
      <w:r>
        <w:rPr>
          <w:rFonts w:ascii="Times New Roman" w:hAnsi="Times New Roman" w:eastAsia="Times New Roman"/>
          <w:sz w:val="24"/>
        </w:rPr>
        <w:t>Table 5. Sequential company-month filtering.</w:t>
      </w:r>
      <w:r>
        <w:tab/>
      </w:r>
      <w:r>
        <w:rPr>
          <w:rFonts w:ascii="Times New Roman" w:hAnsi="Times New Roman" w:eastAsia="Times New Roman"/>
          <w:sz w:val="24"/>
        </w:rPr>
        <w:t>20</w:t>
      </w:r>
    </w:p>
    <w:p>
      <w:pPr>
        <w:pStyle w:val="BodyText"/>
        <w:tabs>
          <w:tab w:pos="8787" w:val="right" w:leader="dot"/>
        </w:tabs>
        <w:spacing w:line="240" w:lineRule="auto" w:after="40"/>
        <w:ind w:left="0"/>
        <w:jc w:val="left"/>
      </w:pPr>
      <w:r>
        <w:rPr>
          <w:rFonts w:ascii="Times New Roman" w:hAnsi="Times New Roman" w:eastAsia="Times New Roman"/>
          <w:sz w:val="24"/>
        </w:rPr>
        <w:t>Table 6. Missing values among the twelve model features.</w:t>
      </w:r>
      <w:r>
        <w:tab/>
      </w:r>
      <w:r>
        <w:rPr>
          <w:rFonts w:ascii="Times New Roman" w:hAnsi="Times New Roman" w:eastAsia="Times New Roman"/>
          <w:sz w:val="24"/>
        </w:rPr>
        <w:t>21</w:t>
      </w:r>
    </w:p>
    <w:p>
      <w:pPr>
        <w:pStyle w:val="BodyText"/>
        <w:tabs>
          <w:tab w:pos="8787" w:val="right" w:leader="dot"/>
        </w:tabs>
        <w:spacing w:line="240" w:lineRule="auto" w:after="40"/>
        <w:ind w:left="0"/>
        <w:jc w:val="left"/>
      </w:pPr>
      <w:r>
        <w:rPr>
          <w:rFonts w:ascii="Times New Roman" w:hAnsi="Times New Roman" w:eastAsia="Times New Roman"/>
          <w:sz w:val="24"/>
        </w:rPr>
        <w:t>Table 7. Chronological model-development and evaluation stages.</w:t>
      </w:r>
      <w:r>
        <w:tab/>
      </w:r>
      <w:r>
        <w:rPr>
          <w:rFonts w:ascii="Times New Roman" w:hAnsi="Times New Roman" w:eastAsia="Times New Roman"/>
          <w:sz w:val="24"/>
        </w:rPr>
        <w:t>24</w:t>
      </w:r>
    </w:p>
    <w:p>
      <w:pPr>
        <w:pStyle w:val="BodyText"/>
        <w:tabs>
          <w:tab w:pos="8787" w:val="right" w:leader="dot"/>
        </w:tabs>
        <w:spacing w:line="240" w:lineRule="auto" w:after="40"/>
        <w:ind w:left="0"/>
        <w:jc w:val="left"/>
      </w:pPr>
      <w:r>
        <w:rPr>
          <w:rFonts w:ascii="Times New Roman" w:hAnsi="Times New Roman" w:eastAsia="Times New Roman"/>
          <w:sz w:val="24"/>
        </w:rPr>
        <w:t>Table 8. Observed and assumed inputs to the policy replay.</w:t>
      </w:r>
      <w:r>
        <w:tab/>
      </w:r>
      <w:r>
        <w:rPr>
          <w:rFonts w:ascii="Times New Roman" w:hAnsi="Times New Roman" w:eastAsia="Times New Roman"/>
          <w:sz w:val="24"/>
        </w:rPr>
        <w:t>27</w:t>
      </w:r>
    </w:p>
    <w:p>
      <w:pPr>
        <w:pStyle w:val="BodyText"/>
        <w:tabs>
          <w:tab w:pos="8787" w:val="right" w:leader="dot"/>
        </w:tabs>
        <w:spacing w:line="240" w:lineRule="auto" w:after="40"/>
        <w:ind w:left="0"/>
        <w:jc w:val="left"/>
      </w:pPr>
      <w:r>
        <w:rPr>
          <w:rFonts w:ascii="Times New Roman" w:hAnsi="Times New Roman" w:eastAsia="Times New Roman"/>
          <w:sz w:val="24"/>
        </w:rPr>
        <w:t>Table 9. Monthly credit-limit update rules.</w:t>
      </w:r>
      <w:r>
        <w:tab/>
      </w:r>
      <w:r>
        <w:rPr>
          <w:rFonts w:ascii="Times New Roman" w:hAnsi="Times New Roman" w:eastAsia="Times New Roman"/>
          <w:sz w:val="24"/>
        </w:rPr>
        <w:t>30</w:t>
      </w:r>
    </w:p>
    <w:p>
      <w:pPr>
        <w:pStyle w:val="BodyText"/>
        <w:tabs>
          <w:tab w:pos="8787" w:val="right" w:leader="dot"/>
        </w:tabs>
        <w:spacing w:line="240" w:lineRule="auto" w:after="40"/>
        <w:ind w:left="0"/>
        <w:jc w:val="left"/>
      </w:pPr>
      <w:r>
        <w:rPr>
          <w:rFonts w:ascii="Times New Roman" w:hAnsi="Times New Roman" w:eastAsia="Times New Roman"/>
          <w:sz w:val="24"/>
        </w:rPr>
        <w:t>Table 10. Inputs to the worked credit-limit example.</w:t>
      </w:r>
      <w:r>
        <w:tab/>
      </w:r>
      <w:r>
        <w:rPr>
          <w:rFonts w:ascii="Times New Roman" w:hAnsi="Times New Roman" w:eastAsia="Times New Roman"/>
          <w:sz w:val="24"/>
        </w:rPr>
        <w:t>30</w:t>
      </w:r>
    </w:p>
    <w:p>
      <w:pPr>
        <w:pStyle w:val="BodyText"/>
        <w:tabs>
          <w:tab w:pos="8787" w:val="right" w:leader="dot"/>
        </w:tabs>
        <w:spacing w:line="240" w:lineRule="auto" w:after="40"/>
        <w:ind w:left="0"/>
        <w:jc w:val="left"/>
      </w:pPr>
      <w:r>
        <w:rPr>
          <w:rFonts w:ascii="Times New Roman" w:hAnsi="Times New Roman" w:eastAsia="Times New Roman"/>
          <w:sz w:val="24"/>
        </w:rPr>
        <w:t>Table 11. Worked credit-limit calculation.</w:t>
      </w:r>
      <w:r>
        <w:tab/>
      </w:r>
      <w:r>
        <w:rPr>
          <w:rFonts w:ascii="Times New Roman" w:hAnsi="Times New Roman" w:eastAsia="Times New Roman"/>
          <w:sz w:val="24"/>
        </w:rPr>
        <w:t>31</w:t>
      </w:r>
    </w:p>
    <w:p>
      <w:pPr>
        <w:pStyle w:val="BodyText"/>
        <w:tabs>
          <w:tab w:pos="8787" w:val="right" w:leader="dot"/>
        </w:tabs>
        <w:spacing w:line="240" w:lineRule="auto" w:after="40"/>
        <w:ind w:left="0"/>
        <w:jc w:val="left"/>
      </w:pPr>
      <w:r>
        <w:rPr>
          <w:rFonts w:ascii="Times New Roman" w:hAnsi="Times New Roman" w:eastAsia="Times New Roman"/>
          <w:sz w:val="24"/>
        </w:rPr>
        <w:t>Table 12. Composition of the chronological modeling stages.</w:t>
      </w:r>
      <w:r>
        <w:tab/>
      </w:r>
      <w:r>
        <w:rPr>
          <w:rFonts w:ascii="Times New Roman" w:hAnsi="Times New Roman" w:eastAsia="Times New Roman"/>
          <w:sz w:val="24"/>
        </w:rPr>
        <w:t>32</w:t>
      </w:r>
    </w:p>
    <w:p>
      <w:pPr>
        <w:pStyle w:val="BodyText"/>
        <w:tabs>
          <w:tab w:pos="8787" w:val="right" w:leader="dot"/>
        </w:tabs>
        <w:spacing w:line="240" w:lineRule="auto" w:after="40"/>
        <w:ind w:left="0"/>
        <w:jc w:val="left"/>
      </w:pPr>
      <w:r>
        <w:rPr>
          <w:rFonts w:ascii="Times New Roman" w:hAnsi="Times New Roman" w:eastAsia="Times New Roman"/>
          <w:sz w:val="24"/>
        </w:rPr>
        <w:t>Table 13. Selected settings by model family.</w:t>
      </w:r>
      <w:r>
        <w:tab/>
      </w:r>
      <w:r>
        <w:rPr>
          <w:rFonts w:ascii="Times New Roman" w:hAnsi="Times New Roman" w:eastAsia="Times New Roman"/>
          <w:sz w:val="24"/>
        </w:rPr>
        <w:t>33</w:t>
      </w:r>
    </w:p>
    <w:p>
      <w:pPr>
        <w:pStyle w:val="BodyText"/>
        <w:tabs>
          <w:tab w:pos="8787" w:val="right" w:leader="dot"/>
        </w:tabs>
        <w:spacing w:line="240" w:lineRule="auto" w:after="40"/>
        <w:ind w:left="0"/>
        <w:jc w:val="left"/>
      </w:pPr>
      <w:r>
        <w:rPr>
          <w:rFonts w:ascii="Times New Roman" w:hAnsi="Times New Roman" w:eastAsia="Times New Roman"/>
          <w:sz w:val="24"/>
        </w:rPr>
        <w:t>Table 14. Model selection results for 2020–2022.</w:t>
      </w:r>
      <w:r>
        <w:tab/>
      </w:r>
      <w:r>
        <w:rPr>
          <w:rFonts w:ascii="Times New Roman" w:hAnsi="Times New Roman" w:eastAsia="Times New Roman"/>
          <w:sz w:val="24"/>
        </w:rPr>
        <w:t>34</w:t>
      </w:r>
    </w:p>
    <w:p>
      <w:pPr>
        <w:pStyle w:val="BodyText"/>
        <w:tabs>
          <w:tab w:pos="8787" w:val="right" w:leader="dot"/>
        </w:tabs>
        <w:spacing w:line="240" w:lineRule="auto" w:after="40"/>
        <w:ind w:left="0"/>
        <w:jc w:val="left"/>
      </w:pPr>
      <w:r>
        <w:rPr>
          <w:rFonts w:ascii="Times New Roman" w:hAnsi="Times New Roman" w:eastAsia="Times New Roman"/>
          <w:sz w:val="24"/>
        </w:rPr>
        <w:t>Table 15. Later-period ranking and probability performance.</w:t>
      </w:r>
      <w:r>
        <w:tab/>
      </w:r>
      <w:r>
        <w:rPr>
          <w:rFonts w:ascii="Times New Roman" w:hAnsi="Times New Roman" w:eastAsia="Times New Roman"/>
          <w:sz w:val="24"/>
        </w:rPr>
        <w:t>34</w:t>
      </w:r>
    </w:p>
    <w:p>
      <w:pPr>
        <w:pStyle w:val="BodyText"/>
        <w:tabs>
          <w:tab w:pos="8787" w:val="right" w:leader="dot"/>
        </w:tabs>
        <w:spacing w:line="240" w:lineRule="auto" w:after="40"/>
        <w:ind w:left="0"/>
        <w:jc w:val="left"/>
      </w:pPr>
      <w:r>
        <w:rPr>
          <w:rFonts w:ascii="Times New Roman" w:hAnsi="Times New Roman" w:eastAsia="Times New Roman"/>
          <w:sz w:val="24"/>
        </w:rPr>
        <w:t>Table 16. Later-period performance at the frozen alert thresholds.</w:t>
      </w:r>
      <w:r>
        <w:tab/>
      </w:r>
      <w:r>
        <w:rPr>
          <w:rFonts w:ascii="Times New Roman" w:hAnsi="Times New Roman" w:eastAsia="Times New Roman"/>
          <w:sz w:val="24"/>
        </w:rPr>
        <w:t>35</w:t>
      </w:r>
    </w:p>
    <w:p>
      <w:pPr>
        <w:pStyle w:val="BodyText"/>
        <w:tabs>
          <w:tab w:pos="8787" w:val="right" w:leader="dot"/>
        </w:tabs>
        <w:spacing w:line="240" w:lineRule="auto" w:after="40"/>
        <w:ind w:left="0"/>
        <w:jc w:val="left"/>
      </w:pPr>
      <w:r>
        <w:rPr>
          <w:rFonts w:ascii="Times New Roman" w:hAnsi="Times New Roman" w:eastAsia="Times New Roman"/>
          <w:sz w:val="24"/>
        </w:rPr>
        <w:t>Table 17. Alternative-period model-selection sensitivity.</w:t>
      </w:r>
      <w:r>
        <w:tab/>
      </w:r>
      <w:r>
        <w:rPr>
          <w:rFonts w:ascii="Times New Roman" w:hAnsi="Times New Roman" w:eastAsia="Times New Roman"/>
          <w:sz w:val="24"/>
        </w:rPr>
        <w:t>36</w:t>
      </w:r>
    </w:p>
    <w:p>
      <w:pPr>
        <w:pStyle w:val="BodyText"/>
        <w:tabs>
          <w:tab w:pos="8787" w:val="right" w:leader="dot"/>
        </w:tabs>
        <w:spacing w:line="240" w:lineRule="auto" w:after="40"/>
        <w:ind w:left="0"/>
        <w:jc w:val="left"/>
      </w:pPr>
      <w:r>
        <w:rPr>
          <w:rFonts w:ascii="Times New Roman" w:hAnsi="Times New Roman" w:eastAsia="Times New Roman"/>
          <w:sz w:val="24"/>
        </w:rPr>
        <w:t>Table 18. Construction of the policy-replay sample.</w:t>
      </w:r>
      <w:r>
        <w:tab/>
      </w:r>
      <w:r>
        <w:rPr>
          <w:rFonts w:ascii="Times New Roman" w:hAnsi="Times New Roman" w:eastAsia="Times New Roman"/>
          <w:sz w:val="24"/>
        </w:rPr>
        <w:t>37</w:t>
      </w:r>
    </w:p>
    <w:p>
      <w:pPr>
        <w:pStyle w:val="BodyText"/>
        <w:tabs>
          <w:tab w:pos="8787" w:val="right" w:leader="dot"/>
        </w:tabs>
        <w:spacing w:line="240" w:lineRule="auto" w:after="40"/>
        <w:ind w:left="0"/>
        <w:jc w:val="left"/>
      </w:pPr>
      <w:r>
        <w:rPr>
          <w:rFonts w:ascii="Times New Roman" w:hAnsi="Times New Roman" w:eastAsia="Times New Roman"/>
          <w:sz w:val="24"/>
        </w:rPr>
        <w:t>Table 19. Reference policy assumptions.</w:t>
      </w:r>
      <w:r>
        <w:tab/>
      </w:r>
      <w:r>
        <w:rPr>
          <w:rFonts w:ascii="Times New Roman" w:hAnsi="Times New Roman" w:eastAsia="Times New Roman"/>
          <w:sz w:val="24"/>
        </w:rPr>
        <w:t>37</w:t>
      </w:r>
    </w:p>
    <w:p>
      <w:pPr>
        <w:pStyle w:val="BodyText"/>
        <w:tabs>
          <w:tab w:pos="8787" w:val="right" w:leader="dot"/>
        </w:tabs>
        <w:spacing w:line="240" w:lineRule="auto" w:after="40"/>
        <w:ind w:left="0"/>
        <w:jc w:val="left"/>
      </w:pPr>
      <w:r>
        <w:rPr>
          <w:rFonts w:ascii="Times New Roman" w:hAnsi="Times New Roman" w:eastAsia="Times New Roman"/>
          <w:sz w:val="24"/>
        </w:rPr>
        <w:t>Table 20. Reference-scenario credit-limit results.</w:t>
      </w:r>
      <w:r>
        <w:tab/>
      </w:r>
      <w:r>
        <w:rPr>
          <w:rFonts w:ascii="Times New Roman" w:hAnsi="Times New Roman" w:eastAsia="Times New Roman"/>
          <w:sz w:val="24"/>
        </w:rPr>
        <w:t>38</w:t>
      </w:r>
    </w:p>
    <w:p>
      <w:pPr>
        <w:pStyle w:val="BodyText"/>
        <w:tabs>
          <w:tab w:pos="8787" w:val="right" w:leader="dot"/>
        </w:tabs>
        <w:spacing w:line="240" w:lineRule="auto" w:after="40"/>
        <w:ind w:left="0"/>
        <w:jc w:val="left"/>
      </w:pPr>
      <w:r>
        <w:rPr>
          <w:rFonts w:ascii="Times New Roman" w:hAnsi="Times New Roman" w:eastAsia="Times New Roman"/>
          <w:sz w:val="24"/>
        </w:rPr>
        <w:t>Table 21. Monthly transitions under the reference policy.</w:t>
      </w:r>
      <w:r>
        <w:tab/>
      </w:r>
      <w:r>
        <w:rPr>
          <w:rFonts w:ascii="Times New Roman" w:hAnsi="Times New Roman" w:eastAsia="Times New Roman"/>
          <w:sz w:val="24"/>
        </w:rPr>
        <w:t>38</w:t>
      </w:r>
    </w:p>
    <w:p>
      <w:pPr>
        <w:pStyle w:val="BodyText"/>
        <w:tabs>
          <w:tab w:pos="8787" w:val="right" w:leader="dot"/>
        </w:tabs>
        <w:spacing w:line="240" w:lineRule="auto" w:after="40"/>
        <w:ind w:left="0"/>
        <w:jc w:val="left"/>
      </w:pPr>
      <w:r>
        <w:rPr>
          <w:rFonts w:ascii="Times New Roman" w:hAnsi="Times New Roman" w:eastAsia="Times New Roman"/>
          <w:sz w:val="24"/>
        </w:rPr>
        <w:t>Table 22. Sensitivity of policy results to alternative assumptions.</w:t>
      </w:r>
      <w:r>
        <w:tab/>
      </w:r>
      <w:r>
        <w:rPr>
          <w:rFonts w:ascii="Times New Roman" w:hAnsi="Times New Roman" w:eastAsia="Times New Roman"/>
          <w:sz w:val="24"/>
        </w:rPr>
        <w:t>39</w:t>
      </w:r>
    </w:p>
    <w:p>
      <w:pPr>
        <w:pStyle w:val="BodyText"/>
        <w:tabs>
          <w:tab w:pos="8787" w:val="right" w:leader="dot"/>
        </w:tabs>
        <w:spacing w:line="240" w:lineRule="auto" w:after="40"/>
        <w:ind w:left="0"/>
        <w:jc w:val="left"/>
      </w:pPr>
      <w:r>
        <w:rPr>
          <w:rFonts w:ascii="Times New Roman" w:hAnsi="Times New Roman" w:eastAsia="Times New Roman"/>
          <w:sz w:val="24"/>
        </w:rPr>
        <w:t>Table 23. Effect of alternative monthly update rules.</w:t>
      </w:r>
      <w:r>
        <w:tab/>
      </w:r>
      <w:r>
        <w:rPr>
          <w:rFonts w:ascii="Times New Roman" w:hAnsi="Times New Roman" w:eastAsia="Times New Roman"/>
          <w:sz w:val="24"/>
        </w:rPr>
        <w:t>40</w:t>
      </w:r>
    </w:p>
    <w:p>
      <w:pPr>
        <w:pStyle w:val="BodyText"/>
        <w:tabs>
          <w:tab w:pos="8787" w:val="right" w:leader="dot"/>
        </w:tabs>
        <w:spacing w:line="240" w:lineRule="auto" w:after="40"/>
        <w:ind w:left="0"/>
        <w:jc w:val="left"/>
      </w:pPr>
      <w:r>
        <w:rPr>
          <w:rFonts w:ascii="Times New Roman" w:hAnsi="Times New Roman" w:eastAsia="Times New Roman"/>
          <w:sz w:val="24"/>
        </w:rPr>
        <w:t>Table 24. Primary experiment evidence and locations.</w:t>
      </w:r>
      <w:r>
        <w:tab/>
      </w:r>
      <w:r>
        <w:rPr>
          <w:rFonts w:ascii="Times New Roman" w:hAnsi="Times New Roman" w:eastAsia="Times New Roman"/>
          <w:sz w:val="24"/>
        </w:rPr>
        <w:t>46</w:t>
      </w:r>
    </w:p>
    <w:p>
      <w:pPr>
        <w:pStyle w:val="BodyText"/>
        <w:tabs>
          <w:tab w:pos="8787" w:val="right" w:leader="dot"/>
        </w:tabs>
        <w:spacing w:line="240" w:lineRule="auto" w:after="40"/>
        <w:ind w:left="0"/>
        <w:jc w:val="left"/>
      </w:pPr>
      <w:r>
        <w:rPr>
          <w:rFonts w:ascii="Times New Roman" w:hAnsi="Times New Roman" w:eastAsia="Times New Roman"/>
          <w:sz w:val="24"/>
        </w:rPr>
        <w:t>Table 25. Candidate settings by model family.</w:t>
      </w:r>
      <w:r>
        <w:tab/>
      </w:r>
      <w:r>
        <w:rPr>
          <w:rFonts w:ascii="Times New Roman" w:hAnsi="Times New Roman" w:eastAsia="Times New Roman"/>
          <w:sz w:val="24"/>
        </w:rPr>
        <w:t>47</w:t>
      </w:r>
    </w:p>
    <w:p>
      <w:pPr>
        <w:pStyle w:val="BodyText"/>
        <w:tabs>
          <w:tab w:pos="8787" w:val="right" w:leader="dot"/>
        </w:tabs>
        <w:spacing w:line="240" w:lineRule="auto" w:after="40"/>
        <w:ind w:left="0"/>
        <w:jc w:val="left"/>
      </w:pPr>
      <w:r>
        <w:rPr>
          <w:rFonts w:ascii="Times New Roman" w:hAnsi="Times New Roman" w:eastAsia="Times New Roman"/>
          <w:sz w:val="24"/>
        </w:rPr>
        <w:t>Table 26. Implementation components and main code locations.</w:t>
      </w:r>
      <w:r>
        <w:tab/>
      </w:r>
      <w:r>
        <w:rPr>
          <w:rFonts w:ascii="Times New Roman" w:hAnsi="Times New Roman" w:eastAsia="Times New Roman"/>
          <w:sz w:val="24"/>
        </w:rPr>
        <w:t>47</w:t>
      </w:r>
    </w:p>
    <w:p>
      <w:pPr>
        <w:pStyle w:val="BodyText"/>
        <w:tabs>
          <w:tab w:pos="8787" w:val="right" w:leader="dot"/>
        </w:tabs>
        <w:spacing w:line="240" w:lineRule="auto" w:after="40"/>
        <w:ind w:left="0"/>
        <w:jc w:val="left"/>
      </w:pPr>
      <w:r>
        <w:rPr>
          <w:rFonts w:ascii="Times New Roman" w:hAnsi="Times New Roman" w:eastAsia="Times New Roman"/>
          <w:sz w:val="24"/>
        </w:rPr>
        <w:t>Table 27. Software environment used for the primary experiment.</w:t>
      </w:r>
      <w:r>
        <w:tab/>
      </w:r>
      <w:r>
        <w:rPr>
          <w:rFonts w:ascii="Times New Roman" w:hAnsi="Times New Roman" w:eastAsia="Times New Roman"/>
          <w:sz w:val="24"/>
        </w:rPr>
        <w:t>48</w:t>
      </w:r>
    </w:p>
    <w:p>
      <w:pPr>
        <w:pStyle w:val="Heading1"/>
        <w:pageBreakBefore/>
      </w:pPr>
      <w:bookmarkStart w:id="75" w:name="_introduction"/>
      <w:r>
        <w:rPr>
          <w:rFonts w:ascii="Times New Roman" w:hAnsi="Times New Roman" w:eastAsia="Times New Roman"/>
          <w:b/>
          <w:sz w:val="32"/>
        </w:rPr>
        <w:t xml:space="preserve">1 Introduction</w:t>
      </w:r>
      <w:bookmarkEnd w:id="75"/>
    </w:p>
    <w:p>
      <w:pPr>
        <w:pStyle w:val="Heading2"/>
      </w:pPr>
      <w:bookmarkStart w:id="76" w:name="_background"/>
      <w:r>
        <w:rPr>
          <w:rFonts w:ascii="Times New Roman" w:hAnsi="Times New Roman" w:eastAsia="Times New Roman"/>
          <w:b/>
          <w:sz w:val="26"/>
        </w:rPr>
        <w:t xml:space="preserve">1.1 Background</w:t>
      </w:r>
      <w:bookmarkEnd w:id="76"/>
    </w:p>
    <w:p>
      <w:pPr>
        <w:pStyle w:val="FirstParagraph"/>
        <w:spacing w:before="0" w:after="200" w:line="276" w:lineRule="auto"/>
        <w:jc w:val="both"/>
      </w:pPr>
      <w:r>
        <w:rPr>
          <w:rFonts w:ascii="Times New Roman" w:hAnsi="Times New Roman" w:eastAsia="Times New Roman"/>
          <w:b w:val="0"/>
          <w:sz w:val="24"/>
        </w:rPr>
        <w:t xml:space="preserve">Companies often pay suppliers before receiving money from customers. Short-term credit helps them manage this timing difference, but the lender must decide how much credit the company can use. A limit that is too high may create exposure the borrower cannot repay; a limit that is too low may restrict useful business activity.</w:t>
      </w:r>
    </w:p>
    <w:p>
      <w:pPr>
        <w:pStyle w:val="BodyText"/>
        <w:spacing w:before="0" w:after="200" w:line="276" w:lineRule="auto"/>
        <w:jc w:val="both"/>
      </w:pPr>
      <w:r>
        <w:rPr>
          <w:rFonts w:ascii="Times New Roman" w:hAnsi="Times New Roman" w:eastAsia="Times New Roman"/>
          <w:b w:val="0"/>
          <w:sz w:val="24"/>
        </w:rPr>
        <w:t xml:space="preserve">This thesis studies a corporate facility with a 30-day statement period and up to 30 additional days for payment. A transaction at the beginning of a statement period can therefore remain outstanding for about 60 days before its scheduled payment date. This schedule motivates the prediction horizon. Exposure can continue for longer if payment is missed.</w:t>
      </w:r>
    </w:p>
    <w:p>
      <w:pPr>
        <w:pStyle w:val="BodyText"/>
        <w:spacing w:before="0" w:after="200" w:line="276" w:lineRule="auto"/>
        <w:jc w:val="both"/>
      </w:pPr>
      <w:r>
        <w:rPr>
          <w:rFonts w:ascii="Times New Roman" w:hAnsi="Times New Roman" w:eastAsia="Times New Roman"/>
          <w:b w:val="0"/>
          <w:sz w:val="24"/>
        </w:rPr>
        <w:t xml:space="preserve">The credit limit is the maximum permitted total outstanding balance, including unpaid amounts from earlier periods. Available credit is the unused part of that limit. Reducing a limit restricts further borrowing but does not remove existing debt.</w:t>
      </w:r>
    </w:p>
    <w:p>
      <w:pPr>
        <w:pStyle w:val="BodyText"/>
        <w:spacing w:before="0" w:after="200" w:line="276" w:lineRule="auto"/>
        <w:jc w:val="both"/>
      </w:pPr>
      <w:r>
        <w:rPr>
          <w:rFonts w:ascii="Times New Roman" w:hAnsi="Times New Roman" w:eastAsia="Times New Roman"/>
          <w:b w:val="0"/>
          <w:sz w:val="24"/>
        </w:rPr>
        <w:t xml:space="preserve">Financial statements provide information about liquidity, profitability and cash generation. Statistical models can combine these measures into a risk estimate. Financial-ratio classification, logistic bankruptcy prediction and models that account for changing information provide the background for this study.</w:t>
      </w:r>
      <w:r>
        <w:rPr>
          <w:rFonts w:ascii="Times New Roman" w:hAnsi="Times New Roman" w:eastAsia="Times New Roman"/>
          <w:b w:val="0"/>
          <w:sz w:val="24"/>
        </w:rPr>
        <w:t xml:space="preserve"> </w:t>
      </w:r>
      <w:hyperlink r:id="rId77">
        <w:r>
          <w:rPr>
            <w:rStyle w:val="Hyperlink"/>
          </w:rPr>
          <w:t xml:space="preserve">Altman (1968)</w:t>
        </w:r>
      </w:hyperlink>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78">
        <w:r>
          <w:rPr>
            <w:rStyle w:val="Hyperlink"/>
          </w:rPr>
          <w:t xml:space="preserve">Ohlson (1980)</w:t>
        </w:r>
      </w:hyperlink>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79">
        <w:r>
          <w:rPr>
            <w:rStyle w:val="Hyperlink"/>
          </w:rPr>
          <w:t xml:space="preserve">Shumway (2001)</w:t>
        </w:r>
      </w:hyperlink>
      <w:r>
        <w:rPr>
          <w:rFonts w:ascii="Times New Roman" w:hAnsi="Times New Roman" w:eastAsia="Times New Roman"/>
          <w:b w:val="0"/>
          <w:sz w:val="24"/>
        </w:rPr>
        <w:t xml:space="preserve">.</w:t>
      </w:r>
    </w:p>
    <w:p>
      <w:pPr>
        <w:pStyle w:val="Heading2"/>
      </w:pPr>
      <w:bookmarkStart w:id="80" w:name="_000f3f78210d3324de8572863635275852f3ba9"/>
      <w:r>
        <w:rPr>
          <w:rFonts w:ascii="Times New Roman" w:hAnsi="Times New Roman" w:eastAsia="Times New Roman"/>
          <w:b/>
          <w:sz w:val="26"/>
        </w:rPr>
        <w:t xml:space="preserve">1.2 Research Problem</w:t>
      </w:r>
      <w:bookmarkEnd w:id="80"/>
    </w:p>
    <w:p>
      <w:pPr>
        <w:pStyle w:val="FirstParagraph"/>
        <w:spacing w:before="0" w:after="200" w:line="276" w:lineRule="auto"/>
        <w:jc w:val="both"/>
      </w:pPr>
      <w:r>
        <w:rPr>
          <w:rFonts w:ascii="Times New Roman" w:hAnsi="Times New Roman" w:eastAsia="Times New Roman"/>
          <w:b w:val="0"/>
          <w:sz w:val="24"/>
        </w:rPr>
        <w:t xml:space="preserve">A risk estimate does not directly specify a monetary limit. Companies with similar estimated risk can have different revenue, cash resources and repayment capacity. The research problem is to combine these dimensions in a clear limit rule and update it as information changes. Increases require support from new information, while reductions should respond promptly to deterioration.</w:t>
      </w:r>
    </w:p>
    <w:p>
      <w:pPr>
        <w:pStyle w:val="BodyText"/>
        <w:spacing w:before="0" w:after="200" w:line="276" w:lineRule="auto"/>
        <w:jc w:val="both"/>
      </w:pPr>
      <w:r>
        <w:rPr>
          <w:rFonts w:ascii="Times New Roman" w:hAnsi="Times New Roman" w:eastAsia="Times New Roman"/>
          <w:b w:val="0"/>
          <w:sz w:val="24"/>
        </w:rPr>
        <w:t xml:space="preserve">The available data also constrain the analysis. SEC financial statements and filing histories do not contain payment records for the proposed facility. The empirical target is therefore a</w:t>
      </w:r>
      <w:r>
        <w:rPr>
          <w:rFonts w:ascii="Times New Roman" w:hAnsi="Times New Roman" w:eastAsia="Times New Roman"/>
          <w:b w:val="0"/>
          <w:sz w:val="24"/>
        </w:rPr>
        <w:t xml:space="preserve"> </w:t>
      </w:r>
      <w:r>
        <w:rPr>
          <w:rFonts w:ascii="Times New Roman" w:hAnsi="Times New Roman" w:eastAsia="Times New Roman"/>
          <w:b w:val="0"/>
          <w:bCs/>
          <w:sz w:val="24"/>
        </w:rPr>
        <w:t xml:space="preserve">new bankruptcy or payment-failure disclosure episode within the next 60 calendar days</w:t>
      </w:r>
      <w:r>
        <w:rPr>
          <w:rFonts w:ascii="Times New Roman" w:hAnsi="Times New Roman" w:eastAsia="Times New Roman"/>
          <w:b w:val="0"/>
          <w:sz w:val="24"/>
        </w:rPr>
        <w:t xml:space="preserve">. Item 1.03 bankruptcy or receivership filings qualify; Item 2.04-only filings qualify when reviewed evidence explicitly describes a missed debt payment. Chapter 3 defines episode grouping and eligibility.</w:t>
      </w:r>
    </w:p>
    <w:p>
      <w:pPr>
        <w:pStyle w:val="BodyText"/>
        <w:spacing w:before="0" w:after="200" w:line="276" w:lineRule="auto"/>
        <w:jc w:val="both"/>
      </w:pPr>
      <w:r>
        <w:rPr>
          <w:rFonts w:ascii="Times New Roman" w:hAnsi="Times New Roman" w:eastAsia="Times New Roman"/>
          <w:b w:val="0"/>
          <w:sz w:val="24"/>
        </w:rPr>
        <w:t xml:space="preserve">The model estimates a disclosure probability. Filing dates can differ from the dates of the underlying events, and the records do not establish default on the proposed facility. The study can evaluate disclosure prediction and the behavior of a limit policy, but cannot estimate the losses or profits a lender would have experienced.</w:t>
      </w:r>
      <w:r>
        <w:rPr>
          <w:rFonts w:ascii="Times New Roman" w:hAnsi="Times New Roman" w:eastAsia="Times New Roman"/>
          <w:b w:val="0"/>
          <w:sz w:val="24"/>
        </w:rPr>
        <w:t xml:space="preserve"> </w:t>
      </w:r>
      <w:hyperlink r:id="rId81">
        <w:r>
          <w:rPr>
            <w:rStyle w:val="Hyperlink"/>
          </w:rPr>
          <w:t xml:space="preserve">SEC, Form 8-K</w:t>
        </w:r>
      </w:hyperlink>
      <w:r>
        <w:rPr>
          <w:rFonts w:ascii="Times New Roman" w:hAnsi="Times New Roman" w:eastAsia="Times New Roman"/>
          <w:b w:val="0"/>
          <w:sz w:val="24"/>
        </w:rPr>
        <w:t xml:space="preserve">.</w:t>
      </w:r>
    </w:p>
    <w:p>
      <w:pPr>
        <w:pStyle w:val="Heading2"/>
      </w:pPr>
      <w:bookmarkStart w:id="82" w:name="_da7439fb39b5b7010f0685fe5062fd664713ca6"/>
      <w:r>
        <w:rPr>
          <w:rFonts w:ascii="Times New Roman" w:hAnsi="Times New Roman" w:eastAsia="Times New Roman"/>
          <w:b/>
          <w:sz w:val="26"/>
        </w:rPr>
        <w:t xml:space="preserve">1.3 Research Questions</w:t>
      </w:r>
      <w:bookmarkEnd w:id="82"/>
    </w:p>
    <w:p>
      <w:pPr>
        <w:pStyle w:val="FirstParagraph"/>
        <w:spacing w:before="0" w:after="200" w:line="276" w:lineRule="auto"/>
        <w:jc w:val="both"/>
      </w:pPr>
      <w:r>
        <w:rPr>
          <w:rFonts w:ascii="Times New Roman" w:hAnsi="Times New Roman" w:eastAsia="Times New Roman"/>
          <w:b w:val="0"/>
          <w:sz w:val="24"/>
        </w:rPr>
        <w:t xml:space="preserve">The thesis addresses four questions:</w:t>
      </w:r>
    </w:p>
    <w:p>
      <w:pPr>
        <w:pStyle w:val="Compact"/>
        <w:numPr>
          <w:ilvl w:val="0"/>
          <w:numId w:val="1001"/>
        </w:numPr>
        <w:spacing w:before="0" w:after="200" w:line="276" w:lineRule="auto"/>
        <w:jc w:val="left"/>
      </w:pPr>
      <w:r>
        <w:rPr>
          <w:rFonts w:ascii="Times New Roman" w:hAnsi="Times New Roman" w:eastAsia="Times New Roman"/>
          <w:b w:val="0"/>
          <w:sz w:val="24"/>
        </w:rPr>
        <w:t xml:space="preserve">Can financial information available at monthly decision dates predict a new bankruptcy or payment-failure disclosure episode within the next 60 days better than a constant event-rate benchmark?</w:t>
      </w:r>
    </w:p>
    <w:p>
      <w:pPr>
        <w:pStyle w:val="Compact"/>
        <w:numPr>
          <w:ilvl w:val="0"/>
          <w:numId w:val="1001"/>
        </w:numPr>
        <w:spacing w:before="0" w:after="200" w:line="276" w:lineRule="auto"/>
        <w:jc w:val="left"/>
      </w:pPr>
      <w:r>
        <w:rPr>
          <w:rFonts w:ascii="Times New Roman" w:hAnsi="Times New Roman" w:eastAsia="Times New Roman"/>
          <w:b w:val="0"/>
          <w:sz w:val="24"/>
        </w:rPr>
        <w:t xml:space="preserve">Do random forest and gradient boosting improve prediction compared with logistic regression under the same chronological evaluation design?</w:t>
      </w:r>
    </w:p>
    <w:p>
      <w:pPr>
        <w:pStyle w:val="Compact"/>
        <w:numPr>
          <w:ilvl w:val="0"/>
          <w:numId w:val="1001"/>
        </w:numPr>
        <w:spacing w:before="0" w:after="200" w:line="276" w:lineRule="auto"/>
        <w:jc w:val="left"/>
      </w:pPr>
      <w:r>
        <w:rPr>
          <w:rFonts w:ascii="Times New Roman" w:hAnsi="Times New Roman" w:eastAsia="Times New Roman"/>
          <w:b w:val="0"/>
          <w:sz w:val="24"/>
        </w:rPr>
        <w:t xml:space="preserve">How can the estimated probability be combined with financial capacity and an exposure cap to produce a clear monetary limit?</w:t>
      </w:r>
    </w:p>
    <w:p>
      <w:pPr>
        <w:pStyle w:val="Compact"/>
        <w:numPr>
          <w:ilvl w:val="0"/>
          <w:numId w:val="1001"/>
        </w:numPr>
        <w:spacing w:before="0" w:after="200" w:line="276" w:lineRule="auto"/>
        <w:jc w:val="left"/>
      </w:pPr>
      <w:r>
        <w:rPr>
          <w:rFonts w:ascii="Times New Roman" w:hAnsi="Times New Roman" w:eastAsia="Times New Roman"/>
          <w:b w:val="0"/>
          <w:sz w:val="24"/>
        </w:rPr>
        <w:t xml:space="preserve">How do monthly limits respond to new financial information, changes in estimated risk and alternative policy assumptions?</w:t>
      </w:r>
    </w:p>
    <w:p>
      <w:pPr>
        <w:pStyle w:val="FirstParagraph"/>
        <w:spacing w:before="0" w:after="200" w:line="276" w:lineRule="auto"/>
        <w:jc w:val="both"/>
      </w:pPr>
      <w:r>
        <w:rPr>
          <w:rFonts w:ascii="Times New Roman" w:hAnsi="Times New Roman" w:eastAsia="Times New Roman"/>
          <w:b w:val="0"/>
          <w:sz w:val="24"/>
        </w:rPr>
        <w:t xml:space="preserve">The first two questions concern prediction. The last two concern policy design and historical simulation.</w:t>
      </w:r>
    </w:p>
    <w:p>
      <w:pPr>
        <w:pStyle w:val="Heading2"/>
      </w:pPr>
      <w:bookmarkStart w:id="83" w:name="_3f5c413b415905b118515737533fd1ef3693a98"/>
      <w:r>
        <w:rPr>
          <w:rFonts w:ascii="Times New Roman" w:hAnsi="Times New Roman" w:eastAsia="Times New Roman"/>
          <w:b/>
          <w:sz w:val="26"/>
        </w:rPr>
        <w:t xml:space="preserve">1.4 Objectives and Contribution</w:t>
      </w:r>
      <w:bookmarkEnd w:id="83"/>
    </w:p>
    <w:p>
      <w:pPr>
        <w:pStyle w:val="FirstParagraph"/>
        <w:spacing w:before="0" w:after="200" w:line="276" w:lineRule="auto"/>
        <w:jc w:val="both"/>
      </w:pPr>
      <w:r>
        <w:rPr>
          <w:rFonts w:ascii="Times New Roman" w:hAnsi="Times New Roman" w:eastAsia="Times New Roman"/>
          <w:b w:val="0"/>
          <w:sz w:val="24"/>
        </w:rPr>
        <w:t xml:space="preserve">The first objective is to construct a monthly dataset using SEC Company Facts, Financial Statement and Notes data, and submissions as the study’s source set. Each financial observation retains its reporting period, filing date and source. Only information available at the decision date can enter a prediction.</w:t>
      </w:r>
    </w:p>
    <w:p>
      <w:pPr>
        <w:pStyle w:val="BodyText"/>
        <w:spacing w:before="0" w:after="200" w:line="276" w:lineRule="auto"/>
        <w:jc w:val="both"/>
      </w:pPr>
      <w:r>
        <w:rPr>
          <w:rFonts w:ascii="Times New Roman" w:hAnsi="Times New Roman" w:eastAsia="Times New Roman"/>
          <w:b w:val="0"/>
          <w:sz w:val="24"/>
        </w:rPr>
        <w:t xml:space="preserve">The study then compares logistic regression, L2-regularized logistic regression, random forest and XGBoost using twelve accounting predictors. Separate chronological periods support fitting, tuning, calibration, model selection and later evaluation. This design evaluates both the ranking of companies and the quality of their estimated probabilities.</w:t>
      </w:r>
    </w:p>
    <w:p>
      <w:pPr>
        <w:pStyle w:val="BodyText"/>
        <w:spacing w:before="0" w:after="200" w:line="276" w:lineRule="auto"/>
        <w:jc w:val="both"/>
      </w:pPr>
      <w:r>
        <w:rPr>
          <w:rFonts w:ascii="Times New Roman" w:hAnsi="Times New Roman" w:eastAsia="Times New Roman"/>
          <w:b w:val="0"/>
          <w:sz w:val="24"/>
        </w:rPr>
        <w:t xml:space="preserve">The policy combines annual revenue, annual operating cash flow and eligible cash into a capacity measure. A decreasing risk multiplier and an exposure cap determine the preliminary limit. Monthly rules restrict increases and apply reductions immediately. Historical replay examines limit movements, binding constraints and sensitivity to the assumed policy settings.</w:t>
      </w:r>
    </w:p>
    <w:p>
      <w:pPr>
        <w:pStyle w:val="BodyText"/>
        <w:spacing w:before="0" w:after="200" w:line="276" w:lineRule="auto"/>
        <w:jc w:val="both"/>
      </w:pPr>
      <w:r>
        <w:rPr>
          <w:rFonts w:ascii="Times New Roman" w:hAnsi="Times New Roman" w:eastAsia="Times New Roman"/>
          <w:b w:val="0"/>
          <w:sz w:val="24"/>
        </w:rPr>
        <w:t xml:space="preserve">The contribution is a reproducible framework connecting dated financial information, disclosure prediction and monetary limits. It combines Company Facts and Financial Statement and Notes facts in one accounting panel and preserves the distinction between observed accounting data and assumed facility inputs. Supporting Python files, tables and figures allow the analysis to be checked and reproduced.</w:t>
      </w:r>
    </w:p>
    <w:p>
      <w:pPr>
        <w:pStyle w:val="Heading2"/>
      </w:pPr>
      <w:bookmarkStart w:id="84" w:name="_504bd3c99dc40d6d68692f170cdfca2f9541aa6"/>
      <w:r>
        <w:rPr>
          <w:rFonts w:ascii="Times New Roman" w:hAnsi="Times New Roman" w:eastAsia="Times New Roman"/>
          <w:b/>
          <w:sz w:val="26"/>
        </w:rPr>
        <w:t xml:space="preserve">1.5 Scope and Limitations</w:t>
      </w:r>
      <w:bookmarkEnd w:id="84"/>
    </w:p>
    <w:p>
      <w:pPr>
        <w:pStyle w:val="FirstParagraph"/>
        <w:spacing w:before="0" w:after="200" w:line="276" w:lineRule="auto"/>
        <w:jc w:val="both"/>
      </w:pPr>
      <w:r>
        <w:rPr>
          <w:rFonts w:ascii="Times New Roman" w:hAnsi="Times New Roman" w:eastAsia="Times New Roman"/>
          <w:b w:val="0"/>
          <w:sz w:val="24"/>
        </w:rPr>
        <w:t xml:space="preserve">The study covers monthly decisions from January 2011 to December 2025 for eligible SEC issuers with usable financial data and filing histories. Financial amounts are reported in USD, and issuers in the current SIC range 6000–6999 are excluded because this range broadly covers finance, insurance, and real estate, whose financial statements are not directly comparable with those of ordinary operating companies. The sample is an observed reporting population rather than a complete historical listing universe. Chapter 3 gives the screening and information-availability rules.</w:t>
      </w:r>
    </w:p>
    <w:p>
      <w:pPr>
        <w:pStyle w:val="BodyText"/>
        <w:spacing w:before="0" w:after="200" w:line="276" w:lineRule="auto"/>
        <w:jc w:val="both"/>
      </w:pPr>
      <w:r>
        <w:rPr>
          <w:rFonts w:ascii="Times New Roman" w:hAnsi="Times New Roman" w:eastAsia="Times New Roman"/>
          <w:b w:val="0"/>
          <w:sz w:val="24"/>
        </w:rPr>
        <w:t xml:space="preserve">The later evaluation covers 2023–2025. These years are excluded from model development within the final run, but were examined during earlier project work. The evaluation is therefore retrospective. Companies may appear in both earlier and later periods, reflecting continued monitoring rather than evaluation on an entirely separate borrower population.</w:t>
      </w:r>
    </w:p>
    <w:p>
      <w:pPr>
        <w:pStyle w:val="BodyText"/>
        <w:spacing w:before="0" w:after="200" w:line="276" w:lineRule="auto"/>
        <w:jc w:val="both"/>
      </w:pPr>
      <w:r>
        <w:rPr>
          <w:rFonts w:ascii="Times New Roman" w:hAnsi="Times New Roman" w:eastAsia="Times New Roman"/>
          <w:b w:val="0"/>
          <w:sz w:val="24"/>
        </w:rPr>
        <w:t xml:space="preserve">The policy replay assumes cash eligibility, additional debt payments and facility exposure. It evaluates the resulting limits without observed utilization, repayments or lending losses. Chapter 8 discusses how these limitations affect the conclusions.</w:t>
      </w:r>
    </w:p>
    <w:p>
      <w:pPr>
        <w:pStyle w:val="Heading2"/>
      </w:pPr>
      <w:bookmarkStart w:id="85" w:name="_a323960610b9b90fffecaaeb25c7a6555ae95eb"/>
      <w:r>
        <w:rPr>
          <w:rFonts w:ascii="Times New Roman" w:hAnsi="Times New Roman" w:eastAsia="Times New Roman"/>
          <w:b/>
          <w:sz w:val="26"/>
        </w:rPr>
        <w:t xml:space="preserve">1.6 Structure of the Thesis</w:t>
      </w:r>
      <w:bookmarkEnd w:id="85"/>
    </w:p>
    <w:p>
      <w:pPr>
        <w:pStyle w:val="FirstParagraph"/>
        <w:spacing w:before="0" w:after="200" w:line="276" w:lineRule="auto"/>
        <w:jc w:val="both"/>
      </w:pPr>
      <w:r>
        <w:rPr>
          <w:rFonts w:ascii="Times New Roman" w:hAnsi="Times New Roman" w:eastAsia="Times New Roman"/>
          <w:b w:val="0"/>
          <w:sz w:val="24"/>
        </w:rPr>
        <w:t xml:space="preserve">Chapter 2 presents the relevant concepts and literature. Chapters 3 and 4 explain the data, disclosure target, predictors and model evaluation. Chapter 5 defines the credit-limit policy and its monthly rules.</w:t>
      </w:r>
    </w:p>
    <w:p>
      <w:pPr>
        <w:pStyle w:val="BodyText"/>
        <w:spacing w:before="0" w:after="200" w:line="276" w:lineRule="auto"/>
        <w:jc w:val="both"/>
      </w:pPr>
      <w:r>
        <w:rPr>
          <w:rFonts w:ascii="Times New Roman" w:hAnsi="Times New Roman" w:eastAsia="Times New Roman"/>
          <w:b w:val="0"/>
          <w:sz w:val="24"/>
        </w:rPr>
        <w:t xml:space="preserve">Chapters 6 and 7 report predictive results and policy scenarios. Chapter 8 discusses the findings, limitations and further work. Appendix A records the implementation and reproduction details.</w:t>
      </w:r>
    </w:p>
    <w:p>
      <w:pPr>
        <w:pStyle w:val="Heading1"/>
        <w:pageBreakBefore/>
      </w:pPr>
      <w:bookmarkStart w:id="86" w:name="_f12849bf9d76d5a35af8a3530c3c1fecf8c980f"/>
      <w:r>
        <w:rPr>
          <w:rFonts w:ascii="Times New Roman" w:hAnsi="Times New Roman" w:eastAsia="Times New Roman"/>
          <w:b/>
          <w:sz w:val="32"/>
        </w:rPr>
        <w:t xml:space="preserve">2 Theoretical Background and Literature Review</w:t>
      </w:r>
      <w:bookmarkEnd w:id="86"/>
    </w:p>
    <w:p>
      <w:pPr>
        <w:pStyle w:val="FirstParagraph"/>
        <w:spacing w:before="0" w:after="200" w:line="276" w:lineRule="auto"/>
        <w:jc w:val="both"/>
      </w:pPr>
      <w:r>
        <w:rPr>
          <w:rFonts w:ascii="Times New Roman" w:hAnsi="Times New Roman" w:eastAsia="Times New Roman"/>
          <w:b w:val="0"/>
          <w:sz w:val="24"/>
        </w:rPr>
        <w:t xml:space="preserve">This chapter explains the concepts needed to separate credit-risk prediction from credit-limit determination. It reviews the main model families and describes why information timing, probability quality and financial capacity matter.</w:t>
      </w:r>
    </w:p>
    <w:p>
      <w:pPr>
        <w:pStyle w:val="Heading2"/>
      </w:pPr>
      <w:bookmarkStart w:id="87" w:name="_79dc8a5017559a42b2e767b6a1b37e642819ef9"/>
      <w:r>
        <w:rPr>
          <w:rFonts w:ascii="Times New Roman" w:hAnsi="Times New Roman" w:eastAsia="Times New Roman"/>
          <w:b/>
          <w:sz w:val="26"/>
        </w:rPr>
        <w:t xml:space="preserve">2.1 Corporate Credit Risk</w:t>
      </w:r>
      <w:bookmarkEnd w:id="87"/>
    </w:p>
    <w:p>
      <w:pPr>
        <w:pStyle w:val="FirstParagraph"/>
        <w:spacing w:before="0" w:after="200" w:line="276" w:lineRule="auto"/>
        <w:jc w:val="both"/>
      </w:pPr>
      <w:r>
        <w:rPr>
          <w:rFonts w:ascii="Times New Roman" w:hAnsi="Times New Roman" w:eastAsia="Times New Roman"/>
          <w:b w:val="0"/>
          <w:sz w:val="24"/>
        </w:rPr>
        <w:t xml:space="preserve">Corporate credit risk is the risk that a company will not meet its financial obligations as agreed. Several related outcomes must be distinguished. Delinquency means that a payment is overdue. Default means that a borrower meets a defined failure-to-pay or other default condition. Financial distress describes difficulty in meeting obligations. Bankruptcy is a formal legal process. These outcomes can be related without being identical.</w:t>
      </w:r>
    </w:p>
    <w:p>
      <w:pPr>
        <w:pStyle w:val="BodyText"/>
        <w:spacing w:before="0" w:after="200" w:line="276" w:lineRule="auto"/>
        <w:jc w:val="both"/>
      </w:pPr>
      <w:r>
        <w:rPr>
          <w:rFonts w:ascii="Times New Roman" w:hAnsi="Times New Roman" w:eastAsia="Times New Roman"/>
          <w:b w:val="0"/>
          <w:sz w:val="24"/>
        </w:rPr>
        <w:t xml:space="preserve">Expected credit loss is commonly separated into three components. Probability of default (PD) is the likelihood that the borrower defaults within a defined period. Exposure at default (EAD) is the amount the lender expects to be owed when default occurs; it may differ from the current balance because the borrower can draw or repay funds before then. Loss given default (LGD) is the proportion of that exposure the lender expects not to recover after default. A simplified expected-loss (EL) amount is therefore:</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r>
          <m:t>E</m:t>
        </m:r>
        <m:r>
          <m:t>L</m:t>
        </m:r>
        <m:r>
          <m:rPr>
            <m:sty m:val="p"/>
          </m:rPr>
          <m:t>=</m:t>
        </m:r>
        <m:r>
          <m:t>P</m:t>
        </m:r>
        <m:r>
          <m:t>D</m:t>
        </m:r>
        <m:r>
          <m:rPr>
            <m:sty m:val="p"/>
          </m:rPr>
          <m:t>×</m:t>
        </m:r>
        <m:r>
          <m:t>L</m:t>
        </m:r>
        <m:r>
          <m:t>G</m:t>
        </m:r>
        <m:r>
          <m:t>D</m:t>
        </m:r>
        <m:r>
          <m:rPr>
            <m:sty m:val="p"/>
          </m:rPr>
          <m:t>×</m:t>
        </m:r>
        <m:r>
          <m:t>E</m:t>
        </m:r>
        <m:r>
          <m:t>A</m:t>
        </m:r>
        <m:r>
          <m:t>D</m:t>
        </m:r>
        <m:r>
          <m:rPr>
            <m:sty m:val="p"/>
          </m:rPr>
          <m:t>.</m:t>
        </m:r>
      </m:oMath>
      <w:r>
        <w:rPr>
          <w:rFonts w:ascii="Times New Roman" w:hAnsi="Times New Roman" w:eastAsia="Times New Roman"/>
          <w:sz w:val="24"/>
        </w:rPr>
        <w:tab/>
        <w:t>(1)</w:t>
      </w:r>
    </w:p>
    <w:p>
      <w:pPr>
        <w:pStyle w:val="FirstParagraph"/>
        <w:spacing w:before="0" w:after="200" w:line="276" w:lineRule="auto"/>
        <w:jc w:val="both"/>
      </w:pPr>
      <w:r>
        <w:rPr>
          <w:rFonts w:ascii="Times New Roman" w:hAnsi="Times New Roman" w:eastAsia="Times New Roman"/>
          <w:b w:val="0"/>
          <w:sz w:val="24"/>
        </w:rPr>
        <w:t xml:space="preserve">This decomposition distinguishes how likely default is, how much would be outstanding and how severe the resulting loss would be. Combining the components requires consistent definitions and time horizons, as well as separate evidence about default events, exposure, recoveries, collection costs and their timing.</w:t>
      </w:r>
    </w:p>
    <w:p>
      <w:pPr>
        <w:pStyle w:val="BodyText"/>
        <w:spacing w:before="0" w:after="200" w:line="276" w:lineRule="auto"/>
        <w:jc w:val="both"/>
      </w:pPr>
      <w:r>
        <w:rPr>
          <w:rFonts w:ascii="Times New Roman" w:hAnsi="Times New Roman" w:eastAsia="Times New Roman"/>
          <w:b w:val="0"/>
          <w:sz w:val="24"/>
        </w:rPr>
        <w:t xml:space="preserve">The empirical outcome in this thesis is an SEC disclosure. Its probability cannot be inserted into the default-loss formula as if it were PD. The supplied data also does not establish facility recoveries or EAD. Expected loss is therefore a theoretical concept here, not an empirical result.</w:t>
      </w:r>
    </w:p>
    <w:p>
      <w:pPr>
        <w:pStyle w:val="Heading2"/>
      </w:pPr>
      <w:bookmarkStart w:id="88" w:name="_4d0c454a806b6dde335d4922ac2f860c7a10fb5"/>
      <w:r>
        <w:rPr>
          <w:rFonts w:ascii="Times New Roman" w:hAnsi="Times New Roman" w:eastAsia="Times New Roman"/>
          <w:b/>
          <w:sz w:val="26"/>
        </w:rPr>
        <w:t xml:space="preserve">2.2 Short-Term Corporate Credit Facilities</w:t>
      </w:r>
      <w:bookmarkEnd w:id="88"/>
    </w:p>
    <w:p>
      <w:pPr>
        <w:pStyle w:val="FirstParagraph"/>
        <w:spacing w:before="0" w:after="200" w:line="276" w:lineRule="auto"/>
        <w:jc w:val="both"/>
      </w:pPr>
      <w:r>
        <w:rPr>
          <w:rFonts w:ascii="Times New Roman" w:hAnsi="Times New Roman" w:eastAsia="Times New Roman"/>
          <w:b w:val="0"/>
          <w:sz w:val="24"/>
        </w:rPr>
        <w:t xml:space="preserve">Short-term credit supports working-capital needs, including payments made before customers settle invoices. The studied facility assumes a 30-day statement period and up to 30 further days for payment. A transaction at the start can therefore create about 60 days of scheduled exposure. A transaction near the end has a shorter scheduled repayment period.</w:t>
      </w:r>
    </w:p>
    <w:p>
      <w:pPr>
        <w:pStyle w:val="BodyText"/>
        <w:spacing w:before="0" w:after="200" w:line="276" w:lineRule="auto"/>
        <w:jc w:val="both"/>
      </w:pPr>
      <w:r>
        <w:rPr>
          <w:rFonts w:ascii="Times New Roman" w:hAnsi="Times New Roman" w:eastAsia="Times New Roman"/>
          <w:b w:val="0"/>
          <w:sz w:val="24"/>
        </w:rPr>
        <w:t xml:space="preserve">The limit applies to the total outstanding balance across statement periods. If the limit is represented by L and the outstanding exposure by E, available credit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r>
          <m:t>A</m:t>
        </m:r>
        <m:r>
          <m:rPr>
            <m:sty m:val="p"/>
          </m:rPr>
          <m:t>=</m:t>
        </m:r>
        <m:r>
          <m:rPr>
            <m:sty m:val="p"/>
          </m:rPr>
          <m:t>max</m:t>
        </m:r>
        <m:r>
          <m:rPr>
            <m:sty m:val="p"/>
          </m:rPr>
          <m:t>(</m:t>
        </m:r>
        <m:r>
          <m:t>0</m:t>
        </m:r>
        <m:r>
          <m:rPr>
            <m:sty m:val="p"/>
          </m:rPr>
          <m:t>,</m:t>
        </m:r>
        <m:r>
          <m:t>L</m:t>
        </m:r>
        <m:r>
          <m:rPr>
            <m:sty m:val="p"/>
          </m:rPr>
          <m:t>−</m:t>
        </m:r>
        <m:r>
          <m:t>E</m:t>
        </m:r>
        <m:r>
          <m:rPr>
            <m:sty m:val="p"/>
          </m:rPr>
          <m:t>)</m:t>
        </m:r>
        <m:r>
          <m:rPr>
            <m:sty m:val="p"/>
          </m:rPr>
          <m:t>.</m:t>
        </m:r>
      </m:oMath>
      <w:r>
        <w:rPr>
          <w:rFonts w:ascii="Times New Roman" w:hAnsi="Times New Roman" w:eastAsia="Times New Roman"/>
          <w:sz w:val="24"/>
        </w:rPr>
        <w:tab/>
        <w:t>(2)</w:t>
      </w:r>
    </w:p>
    <w:p>
      <w:pPr>
        <w:pStyle w:val="FirstParagraph"/>
        <w:spacing w:before="0" w:after="200" w:line="276" w:lineRule="auto"/>
        <w:jc w:val="both"/>
      </w:pPr>
      <w:r>
        <w:rPr>
          <w:rFonts w:ascii="Times New Roman" w:hAnsi="Times New Roman" w:eastAsia="Times New Roman"/>
          <w:b w:val="0"/>
          <w:sz w:val="24"/>
        </w:rPr>
        <w:t xml:space="preserve">A reduction in the limit restricts further use but leaves the outstanding debt in place. The policy therefore records the assigned limit and existing exposure separately.</w:t>
      </w:r>
    </w:p>
    <w:p>
      <w:pPr>
        <w:pStyle w:val="BodyText"/>
        <w:spacing w:before="0" w:after="200" w:line="276" w:lineRule="auto"/>
        <w:jc w:val="both"/>
      </w:pPr>
      <w:r>
        <w:rPr>
          <w:rFonts w:ascii="Times New Roman" w:hAnsi="Times New Roman" w:eastAsia="Times New Roman"/>
          <w:b w:val="0"/>
          <w:sz w:val="24"/>
        </w:rPr>
        <w:t xml:space="preserve">The 60-day prediction horizon is motivated by this payment schedule. It does not establish that all transactions last exactly 60 days or that a disclosure during that period causes a missed payment on the facility.</w:t>
      </w:r>
    </w:p>
    <w:p>
      <w:pPr>
        <w:pStyle w:val="Heading2"/>
      </w:pPr>
      <w:bookmarkStart w:id="89" w:name="_9161ae557bdaab7e66adff585d9338557a4d720"/>
      <w:r>
        <w:rPr>
          <w:rFonts w:ascii="Times New Roman" w:hAnsi="Times New Roman" w:eastAsia="Times New Roman"/>
          <w:b/>
          <w:sz w:val="26"/>
        </w:rPr>
        <w:t xml:space="preserve">2.3 Corporate Credit Scoring</w:t>
      </w:r>
      <w:bookmarkEnd w:id="89"/>
    </w:p>
    <w:p>
      <w:pPr>
        <w:pStyle w:val="FirstParagraph"/>
        <w:spacing w:before="0" w:after="200" w:line="276" w:lineRule="auto"/>
        <w:jc w:val="both"/>
      </w:pPr>
      <w:r>
        <w:rPr>
          <w:rFonts w:ascii="Times New Roman" w:hAnsi="Times New Roman" w:eastAsia="Times New Roman"/>
          <w:b w:val="0"/>
          <w:sz w:val="24"/>
        </w:rPr>
        <w:t xml:space="preserve">Credit scoring combines borrower information into a measure of credit quality. The output can be a score, a category or an event probability. A score and a calibrated probability are different objects.</w:t>
      </w:r>
    </w:p>
    <w:p>
      <w:pPr>
        <w:pStyle w:val="BodyText"/>
        <w:spacing w:before="0" w:after="200" w:line="276" w:lineRule="auto"/>
        <w:jc w:val="both"/>
      </w:pPr>
      <w:r>
        <w:rPr>
          <w:rFonts w:ascii="Times New Roman" w:hAnsi="Times New Roman" w:eastAsia="Times New Roman"/>
          <w:b w:val="0"/>
          <w:sz w:val="24"/>
        </w:rPr>
        <w:t xml:space="preserve">Altman (1968), Ohlson (1980) and Shumway (2001) provide three relevant approaches. Altman combines financial ratios through discriminant analysis to classify bankrupt and non-bankrupt firms. Ohlson uses logistic regression to express bankruptcy risk as a probability. Shumway uses a hazard approach that accounts for event timing and changing company information.</w:t>
      </w:r>
      <w:r>
        <w:rPr>
          <w:rFonts w:ascii="Times New Roman" w:hAnsi="Times New Roman" w:eastAsia="Times New Roman"/>
          <w:b w:val="0"/>
          <w:sz w:val="24"/>
        </w:rPr>
        <w:t xml:space="preserve"> </w:t>
      </w:r>
      <w:hyperlink r:id="rId77">
        <w:r>
          <w:rPr>
            <w:rStyle w:val="Hyperlink"/>
          </w:rPr>
          <w:t xml:space="preserve">Altman (1968)</w:t>
        </w:r>
      </w:hyperlink>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78">
        <w:r>
          <w:rPr>
            <w:rStyle w:val="Hyperlink"/>
          </w:rPr>
          <w:t xml:space="preserve">Ohlson (1980)</w:t>
        </w:r>
      </w:hyperlink>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79">
        <w:r>
          <w:rPr>
            <w:rStyle w:val="Hyperlink"/>
          </w:rPr>
          <w:t xml:space="preserve">Shumway (2001)</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These approaches motivate different parts of this study: accounting ratios describe financial condition, logistic regression provides a probability benchmark, and attention to time supports repeated borrower assessment. Their published coefficients and performance cannot be transferred directly because the target, population and horizon differ. The thesis therefore compares models on one common dataset and outcome.</w:t>
      </w:r>
    </w:p>
    <w:p>
      <w:pPr>
        <w:pStyle w:val="BodyText"/>
        <w:spacing w:before="0" w:after="200" w:line="276" w:lineRule="auto"/>
        <w:jc w:val="both"/>
      </w:pPr>
      <w:r>
        <w:rPr>
          <w:rFonts w:ascii="Times New Roman" w:hAnsi="Times New Roman" w:eastAsia="Times New Roman"/>
          <w:b w:val="0"/>
          <w:sz w:val="24"/>
        </w:rPr>
        <w:t xml:space="preserve">The present model is a monthly classifier for a disclosure within the next 60 days. It uses changing company information but does not estimate a survival model or daily hazard. This choice matches the proposed review schedule while retaining a simple binary outcome.</w:t>
      </w:r>
    </w:p>
    <w:p>
      <w:pPr>
        <w:pStyle w:val="BodyText"/>
        <w:spacing w:before="0" w:after="200" w:line="276" w:lineRule="auto"/>
        <w:jc w:val="both"/>
      </w:pPr>
      <w:r>
        <w:rPr>
          <w:rFonts w:ascii="Times New Roman" w:hAnsi="Times New Roman" w:eastAsia="Times New Roman"/>
          <w:b w:val="0"/>
          <w:sz w:val="24"/>
        </w:rPr>
        <w:t xml:space="preserve">A predictive model must be assessed for both discrimination and calibration. Discrimination asks whether later event observations generally receive higher scores than non-events; calibration asks whether estimated probabilities correspond to observed event frequencies. A ranking may prioritize reviews even when its probability scale is poor, but the monetary policy uses the probability itself. Chapter 4 therefore evaluates both properties.</w:t>
      </w:r>
    </w:p>
    <w:p>
      <w:pPr>
        <w:pStyle w:val="Heading2"/>
      </w:pPr>
      <w:bookmarkStart w:id="90" w:name="_f50a5f2d155c3f83e1b319ce9331eabbd91c1d3"/>
      <w:r>
        <w:rPr>
          <w:rFonts w:ascii="Times New Roman" w:hAnsi="Times New Roman" w:eastAsia="Times New Roman"/>
          <w:b/>
          <w:sz w:val="26"/>
        </w:rPr>
        <w:t xml:space="preserve">2.4 Financial Ratio Analysis</w:t>
      </w:r>
      <w:bookmarkEnd w:id="90"/>
    </w:p>
    <w:p>
      <w:pPr>
        <w:pStyle w:val="FirstParagraph"/>
        <w:spacing w:before="0" w:after="200" w:line="276" w:lineRule="auto"/>
        <w:jc w:val="both"/>
      </w:pPr>
      <w:r>
        <w:rPr>
          <w:rFonts w:ascii="Times New Roman" w:hAnsi="Times New Roman" w:eastAsia="Times New Roman"/>
          <w:b w:val="0"/>
          <w:sz w:val="24"/>
        </w:rPr>
        <w:t xml:space="preserve">Financial ratios compare accounting values to make companies of different sizes easier to assess. They help answer practical questions such as whether a company has enough short-term resources, relies heavily on liabilities, earns a profit or generates cash. Ratios must still be interpreted carefully because companies have different business models. For example, two companies can have the same current ratio even though one holds mainly cash and the other holds inventory that may take time to sell.</w:t>
      </w:r>
    </w:p>
    <w:p>
      <w:pPr>
        <w:pStyle w:val="BodyText"/>
        <w:spacing w:before="0" w:after="200" w:line="276" w:lineRule="auto"/>
        <w:jc w:val="both"/>
      </w:pPr>
      <w:r>
        <w:rPr>
          <w:rFonts w:ascii="Times New Roman" w:hAnsi="Times New Roman" w:eastAsia="Times New Roman"/>
          <w:b w:val="0"/>
          <w:sz w:val="24"/>
        </w:rPr>
        <w:t xml:space="preserve">Liquidity measures compare near-term resources with obligations, although cash may be restricted and receivables or inventory may convert slowly. Leverage indicates reliance on liabilities and the equity buffer available to absorb losses. Profitability and operating cash flow provide different information because accounting income need not produce cash. Changes over time may reveal deterioration or rapid expansion that current levels miss, while company size provides context without guaranteeing safety.</w:t>
      </w:r>
    </w:p>
    <w:p>
      <w:pPr>
        <w:pStyle w:val="BodyText"/>
        <w:spacing w:before="0" w:after="200" w:line="276" w:lineRule="auto"/>
        <w:jc w:val="both"/>
      </w:pPr>
      <w:r>
        <w:rPr>
          <w:rFonts w:ascii="Times New Roman" w:hAnsi="Times New Roman" w:eastAsia="Times New Roman"/>
          <w:b w:val="0"/>
          <w:sz w:val="24"/>
        </w:rPr>
        <w:t xml:space="preserve">These measures do not show exactly how much debt must be paid during the next 60 days. Total liabilities are measured at one date, while debt service consists of interest and principal payments due over time. The ratios are therefore indicators of general financial condition rather than direct measures of short-term repayment capacity. Chapter 3 defines the twelve predictors and their construction and timing rules.</w:t>
      </w:r>
    </w:p>
    <w:p>
      <w:pPr>
        <w:pStyle w:val="Heading2"/>
      </w:pPr>
      <w:bookmarkStart w:id="91" w:name="_b74ad9b65f3c380c8e1bc2b73151179ef705406"/>
      <w:r>
        <w:rPr>
          <w:rFonts w:ascii="Times New Roman" w:hAnsi="Times New Roman" w:eastAsia="Times New Roman"/>
          <w:b/>
          <w:sz w:val="26"/>
        </w:rPr>
        <w:t xml:space="preserve">2.5 Statistical and Machine Learning Models</w:t>
      </w:r>
      <w:bookmarkEnd w:id="91"/>
    </w:p>
    <w:p>
      <w:pPr>
        <w:pStyle w:val="FirstParagraph"/>
        <w:spacing w:before="0" w:after="200" w:line="276" w:lineRule="auto"/>
        <w:jc w:val="both"/>
      </w:pPr>
      <w:r>
        <w:rPr>
          <w:rFonts w:ascii="Times New Roman" w:hAnsi="Times New Roman" w:eastAsia="Times New Roman"/>
          <w:b w:val="0"/>
          <w:sz w:val="24"/>
        </w:rPr>
        <w:t xml:space="preserve">A model learns relationships between the twelve predictors and later events from earlier observations. The four candidates trade simplicity for flexibility.</w:t>
      </w:r>
    </w:p>
    <w:p>
      <w:pPr>
        <w:pStyle w:val="Heading3"/>
      </w:pPr>
      <w:bookmarkStart w:id="92" w:name="_783e42ab32e644bc9663a201a7a186038d62d58"/>
      <w:r>
        <w:rPr>
          <w:rFonts w:ascii="Times New Roman" w:hAnsi="Times New Roman" w:eastAsia="Times New Roman"/>
          <w:b/>
          <w:sz w:val="24"/>
        </w:rPr>
        <w:t xml:space="preserve">2.5.1 Logistic regression</w:t>
      </w:r>
      <w:bookmarkEnd w:id="92"/>
    </w:p>
    <w:p>
      <w:pPr>
        <w:pStyle w:val="FirstParagraph"/>
        <w:spacing w:before="0" w:after="200" w:line="276" w:lineRule="auto"/>
        <w:jc w:val="both"/>
      </w:pPr>
      <w:r>
        <w:rPr>
          <w:rFonts w:ascii="Times New Roman" w:hAnsi="Times New Roman" w:eastAsia="Times New Roman"/>
          <w:b w:val="0"/>
          <w:sz w:val="24"/>
        </w:rPr>
        <w:t xml:space="preserve">Logistic regression combines weighted predictors into a probability between zero and one. It is fast, inspectable and provides an interpretable benchmark, but its simple functional form may miss thresholds and interactions. Its coefficients describe associations, not causal effects.</w:t>
      </w:r>
    </w:p>
    <w:p>
      <w:pPr>
        <w:pStyle w:val="Heading3"/>
      </w:pPr>
      <w:bookmarkStart w:id="93" w:name="_2c2f6bc657838776f209fc1c9c88655d266b985"/>
      <w:r>
        <w:rPr>
          <w:rFonts w:ascii="Times New Roman" w:hAnsi="Times New Roman" w:eastAsia="Times New Roman"/>
          <w:b/>
          <w:sz w:val="24"/>
        </w:rPr>
        <w:t xml:space="preserve">2.5.2 Regularized logistic regression</w:t>
      </w:r>
      <w:bookmarkEnd w:id="93"/>
    </w:p>
    <w:p>
      <w:pPr>
        <w:pStyle w:val="FirstParagraph"/>
        <w:spacing w:before="0" w:after="200" w:line="276" w:lineRule="auto"/>
        <w:jc w:val="both"/>
      </w:pPr>
      <w:r>
        <w:rPr>
          <w:rFonts w:ascii="Times New Roman" w:hAnsi="Times New Roman" w:eastAsia="Times New Roman"/>
          <w:b w:val="0"/>
          <w:sz w:val="24"/>
        </w:rPr>
        <w:t xml:space="preserve">Regularized logistic regression discourages very large coefficients. This can stabilize correlated predictors and reduce sensitivity to accidental training patterns, but excessive regularization may suppress useful relationships and does not add nonlinearities. Its strength is selected on earlier data.</w:t>
      </w:r>
      <w:r>
        <w:rPr>
          <w:rFonts w:ascii="Times New Roman" w:hAnsi="Times New Roman" w:eastAsia="Times New Roman"/>
          <w:b w:val="0"/>
          <w:sz w:val="24"/>
        </w:rPr>
        <w:t xml:space="preserve"> </w:t>
      </w:r>
      <w:hyperlink r:id="rId94">
        <w:r>
          <w:rPr>
            <w:rStyle w:val="Hyperlink"/>
          </w:rPr>
          <w:t xml:space="preserve">Scikit-learn 1.6, logistic regression</w:t>
        </w:r>
      </w:hyperlink>
      <w:r>
        <w:rPr>
          <w:rFonts w:ascii="Times New Roman" w:hAnsi="Times New Roman" w:eastAsia="Times New Roman"/>
          <w:b w:val="0"/>
          <w:sz w:val="24"/>
        </w:rPr>
        <w:t xml:space="preserve">.</w:t>
      </w:r>
    </w:p>
    <w:p>
      <w:pPr>
        <w:pStyle w:val="Heading3"/>
      </w:pPr>
      <w:bookmarkStart w:id="95" w:name="_663a4542b19f5e212f4d2f241e8c0e62ebd8a0c"/>
      <w:r>
        <w:rPr>
          <w:rFonts w:ascii="Times New Roman" w:hAnsi="Times New Roman" w:eastAsia="Times New Roman"/>
          <w:b/>
          <w:sz w:val="24"/>
        </w:rPr>
        <w:t xml:space="preserve">2.5.3 Random forest</w:t>
      </w:r>
      <w:bookmarkEnd w:id="95"/>
    </w:p>
    <w:p>
      <w:pPr>
        <w:pStyle w:val="FirstParagraph"/>
        <w:spacing w:before="0" w:after="200" w:line="276" w:lineRule="auto"/>
        <w:jc w:val="both"/>
      </w:pPr>
      <w:r>
        <w:rPr>
          <w:rFonts w:ascii="Times New Roman" w:hAnsi="Times New Roman" w:eastAsia="Times New Roman"/>
          <w:b w:val="0"/>
          <w:sz w:val="24"/>
        </w:rPr>
        <w:t xml:space="preserve">A random forest combines decision trees trained on different selections of observations and predictors. It can learn thresholds, nonlinearities and interactions without specifying them in advance. The cost is lower transparency, a risk that patterns will not persist, and probabilities that may require calibration. Tree-size and leaf-size controls limit complexity.</w:t>
      </w:r>
      <w:r>
        <w:rPr>
          <w:rFonts w:ascii="Times New Roman" w:hAnsi="Times New Roman" w:eastAsia="Times New Roman"/>
          <w:b w:val="0"/>
          <w:sz w:val="24"/>
        </w:rPr>
        <w:t xml:space="preserve"> </w:t>
      </w:r>
      <w:hyperlink r:id="rId96">
        <w:r>
          <w:rPr>
            <w:rStyle w:val="Hyperlink"/>
          </w:rPr>
          <w:t xml:space="preserve">Breiman (2001)</w:t>
        </w:r>
      </w:hyperlink>
      <w:r>
        <w:rPr>
          <w:rFonts w:ascii="Times New Roman" w:hAnsi="Times New Roman" w:eastAsia="Times New Roman"/>
          <w:b w:val="0"/>
          <w:sz w:val="24"/>
        </w:rPr>
        <w:t xml:space="preserve">.</w:t>
      </w:r>
    </w:p>
    <w:p>
      <w:pPr>
        <w:pStyle w:val="Heading3"/>
      </w:pPr>
      <w:bookmarkStart w:id="97" w:name="_fda91d46be7aa2c4a5fe7a6ab69691aac482223"/>
      <w:r>
        <w:rPr>
          <w:rFonts w:ascii="Times New Roman" w:hAnsi="Times New Roman" w:eastAsia="Times New Roman"/>
          <w:b/>
          <w:sz w:val="24"/>
        </w:rPr>
        <w:t xml:space="preserve">2.5.4 Gradient boosting</w:t>
      </w:r>
      <w:bookmarkEnd w:id="97"/>
    </w:p>
    <w:p>
      <w:pPr>
        <w:pStyle w:val="FirstParagraph"/>
        <w:spacing w:before="0" w:after="200" w:line="276" w:lineRule="auto"/>
        <w:jc w:val="both"/>
      </w:pPr>
      <w:r>
        <w:rPr>
          <w:rFonts w:ascii="Times New Roman" w:hAnsi="Times New Roman" w:eastAsia="Times New Roman"/>
          <w:b w:val="0"/>
          <w:sz w:val="24"/>
        </w:rPr>
        <w:t xml:space="preserve">Gradient boosting builds trees sequentially, with each tree improving weaknesses in the current ensemble. XGBoost can learn detailed thresholds and interactions in structured data, but may overfit rare events and is less transparent than logistic regression. Its behavior also depends on settings such as depth and learning rate. All candidates use the same predictors and later evaluation periods.</w:t>
      </w:r>
      <w:r>
        <w:rPr>
          <w:rFonts w:ascii="Times New Roman" w:hAnsi="Times New Roman" w:eastAsia="Times New Roman"/>
          <w:b w:val="0"/>
          <w:sz w:val="24"/>
        </w:rPr>
        <w:t xml:space="preserve"> </w:t>
      </w:r>
      <w:hyperlink r:id="rId98">
        <w:r>
          <w:rPr>
            <w:rStyle w:val="Hyperlink"/>
          </w:rPr>
          <w:t xml:space="preserve">Friedman (2001)</w:t>
        </w:r>
      </w:hyperlink>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99">
        <w:r>
          <w:rPr>
            <w:rStyle w:val="Hyperlink"/>
          </w:rPr>
          <w:t xml:space="preserve">Chen and Guestrin (2016)</w:t>
        </w:r>
      </w:hyperlink>
      <w:r>
        <w:rPr>
          <w:rFonts w:ascii="Times New Roman" w:hAnsi="Times New Roman" w:eastAsia="Times New Roman"/>
          <w:b w:val="0"/>
          <w:sz w:val="24"/>
        </w:rPr>
        <w:t xml:space="preserve">.</w:t>
      </w:r>
    </w:p>
    <w:p>
      <w:pPr>
        <w:pStyle w:val="Heading3"/>
      </w:pPr>
      <w:bookmarkStart w:id="100" w:name="_522f12b6c41e7acbb56dd7b99aca5f57e19a743"/>
      <w:r>
        <w:rPr>
          <w:rFonts w:ascii="Times New Roman" w:hAnsi="Times New Roman" w:eastAsia="Times New Roman"/>
          <w:b/>
          <w:sz w:val="24"/>
        </w:rPr>
        <w:t xml:space="preserve">2.5.5 Evaluation and interpretation</w:t>
      </w:r>
      <w:bookmarkEnd w:id="100"/>
    </w:p>
    <w:p>
      <w:pPr>
        <w:pStyle w:val="FirstParagraph"/>
        <w:spacing w:before="0" w:after="200" w:line="276" w:lineRule="auto"/>
        <w:jc w:val="both"/>
      </w:pPr>
      <w:r>
        <w:rPr>
          <w:rFonts w:ascii="Times New Roman" w:hAnsi="Times New Roman" w:eastAsia="Times New Roman"/>
          <w:b w:val="0"/>
          <w:sz w:val="24"/>
        </w:rPr>
        <w:t xml:space="preserve">Accuracy is unsuitable for this rare outcome because predicting no events could appear successful. Evaluation instead considers ranking and probability quality.</w:t>
      </w:r>
    </w:p>
    <w:p>
      <w:pPr>
        <w:pStyle w:val="BodyText"/>
        <w:spacing w:before="0" w:after="200" w:line="276" w:lineRule="auto"/>
        <w:jc w:val="both"/>
      </w:pPr>
      <w:r>
        <w:rPr>
          <w:rFonts w:ascii="Times New Roman" w:hAnsi="Times New Roman" w:eastAsia="Times New Roman"/>
          <w:b w:val="0"/>
          <w:sz w:val="24"/>
        </w:rPr>
        <w:t xml:space="preserve">Precision is the share of alerts followed by events; recall is the share of events detected. Flagging more companies generally raises recall at the cost of false alerts, making precision-recall analysis useful here.</w:t>
      </w:r>
      <w:r>
        <w:rPr>
          <w:rFonts w:ascii="Times New Roman" w:hAnsi="Times New Roman" w:eastAsia="Times New Roman"/>
          <w:b w:val="0"/>
          <w:sz w:val="24"/>
        </w:rPr>
        <w:t xml:space="preserve"> </w:t>
      </w:r>
      <w:hyperlink r:id="rId101">
        <w:r>
          <w:rPr>
            <w:rStyle w:val="Hyperlink"/>
          </w:rPr>
          <w:t xml:space="preserve">Saito and Rehmsmeier (2015)</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The Brier score summarizes the difference between estimated probabilities and actual outcomes, while calibration summaries compare estimated probabilities with observed event rates. These measures are important because the selected probability enters the credit-limit framework.</w:t>
      </w:r>
      <w:r>
        <w:rPr>
          <w:rFonts w:ascii="Times New Roman" w:hAnsi="Times New Roman" w:eastAsia="Times New Roman"/>
          <w:b w:val="0"/>
          <w:sz w:val="24"/>
        </w:rPr>
        <w:t xml:space="preserve"> </w:t>
      </w:r>
      <w:hyperlink r:id="rId102">
        <w:r>
          <w:rPr>
            <w:rStyle w:val="Hyperlink"/>
          </w:rPr>
          <w:t xml:space="preserve">Brier (1950)</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Model explanations must also be treated carefully. Coefficients and variable-importance measures describe patterns used by a fitted model. They can help explain how the model makes predictions, but they do not prove that a financial characteristic causes or prevents the target event.</w:t>
      </w:r>
    </w:p>
    <w:p>
      <w:pPr>
        <w:pStyle w:val="Heading2"/>
      </w:pPr>
      <w:bookmarkStart w:id="103" w:name="_8c4c05746b4bc9ab7f729604561b6cb195e915c"/>
      <w:r>
        <w:rPr>
          <w:rFonts w:ascii="Times New Roman" w:hAnsi="Times New Roman" w:eastAsia="Times New Roman"/>
          <w:b/>
          <w:sz w:val="26"/>
        </w:rPr>
        <w:t xml:space="preserve">2.6 Credit Limit Determination</w:t>
      </w:r>
      <w:bookmarkEnd w:id="103"/>
    </w:p>
    <w:p>
      <w:pPr>
        <w:pStyle w:val="FirstParagraph"/>
        <w:spacing w:before="0" w:after="200" w:line="276" w:lineRule="auto"/>
        <w:jc w:val="both"/>
      </w:pPr>
      <w:r>
        <w:rPr>
          <w:rFonts w:ascii="Times New Roman" w:hAnsi="Times New Roman" w:eastAsia="Times New Roman"/>
          <w:b w:val="0"/>
          <w:sz w:val="24"/>
        </w:rPr>
        <w:t xml:space="preserve">A probability describes the chance of an event. A credit limit specifies a monetary exposure. The proposed framework connects them through three components: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L</m:t>
            </m:r>
          </m:e>
          <m:sub>
            <m:r>
              <m:t>i</m:t>
            </m:r>
            <m:r>
              <m:rPr>
                <m:sty m:val="p"/>
              </m:rPr>
              <m:t>,</m:t>
            </m:r>
            <m:r>
              <m:t>t</m:t>
            </m:r>
          </m:sub>
          <m:sup>
            <m:r>
              <m:rPr>
                <m:sty m:val="p"/>
              </m:rPr>
              <m:t>*</m:t>
            </m:r>
          </m:sup>
        </m:sSubSup>
        <m:r>
          <m:rPr>
            <m:sty m:val="p"/>
          </m:rPr>
          <m:t>=</m:t>
        </m:r>
        <m:r>
          <m:rPr>
            <m:sty m:val="p"/>
          </m:rPr>
          <m:t>min</m:t>
        </m:r>
        <m:d>
          <m:dPr>
            <m:begChr m:val="("/>
            <m:sepChr m:val=""/>
            <m:endChr m:val=")"/>
            <m:grow/>
          </m:dPr>
          <m:e>
            <m:sSub>
              <m:e>
                <m:r>
                  <m:t>K</m:t>
                </m:r>
              </m:e>
              <m:sub>
                <m:r>
                  <m:t>i</m:t>
                </m:r>
                <m:r>
                  <m:rPr>
                    <m:sty m:val="p"/>
                  </m:rPr>
                  <m:t>,</m:t>
                </m:r>
                <m:r>
                  <m:t>t</m:t>
                </m:r>
              </m:sub>
            </m:sSub>
            <m:r>
              <m:rPr>
                <m:sty m:val="p"/>
              </m:rPr>
              <m:t>,</m:t>
            </m:r>
            <m:sSub>
              <m:e>
                <m:r>
                  <m:t>C</m:t>
                </m:r>
              </m:e>
              <m:sub>
                <m:r>
                  <m:t>i</m:t>
                </m:r>
                <m:r>
                  <m:rPr>
                    <m:sty m:val="p"/>
                  </m:rPr>
                  <m:t>,</m:t>
                </m:r>
                <m:r>
                  <m:t>t</m:t>
                </m:r>
              </m:sub>
            </m:sSub>
            <m:r>
              <m:t>g</m:t>
            </m:r>
            <m:r>
              <m:rPr>
                <m:sty m:val="p"/>
              </m:rPr>
              <m:t>(</m:t>
            </m:r>
            <m:sSub>
              <m:e>
                <m:r>
                  <m:t>q</m:t>
                </m:r>
              </m:e>
              <m:sub>
                <m:r>
                  <m:t>i</m:t>
                </m:r>
                <m:r>
                  <m:rPr>
                    <m:sty m:val="p"/>
                  </m:rPr>
                  <m:t>,</m:t>
                </m:r>
                <m:r>
                  <m:t>t</m:t>
                </m:r>
              </m:sub>
            </m:sSub>
            <m:r>
              <m:rPr>
                <m:sty m:val="p"/>
              </m:rPr>
              <m:t>)</m:t>
            </m:r>
          </m:e>
        </m:d>
        <m:r>
          <m:rPr>
            <m:sty m:val="p"/>
          </m:rPr>
          <m:t>.</m:t>
        </m:r>
      </m:oMath>
      <w:r>
        <w:rPr>
          <w:rFonts w:ascii="Times New Roman" w:hAnsi="Times New Roman" w:eastAsia="Times New Roman"/>
          <w:sz w:val="24"/>
        </w:rPr>
        <w:tab/>
        <w:t>(3)</w:t>
      </w:r>
    </w:p>
    <w:p>
      <w:pPr>
        <w:pStyle w:val="FirstParagraph"/>
        <w:spacing w:before="0" w:after="200" w:line="276" w:lineRule="auto"/>
        <w:jc w:val="both"/>
      </w:pPr>
      <w:r>
        <w:rPr>
          <w:rFonts w:ascii="Times New Roman" w:hAnsi="Times New Roman" w:eastAsia="Times New Roman"/>
          <w:b w:val="0"/>
          <w:sz w:val="24"/>
        </w:rPr>
        <w:t xml:space="preserve">Here, C is a capacity proxy, K is a hard exposure cap, and g is a risk multiplier between zero and one. The preliminary limit is later subject to monthly update rules.</w:t>
      </w:r>
    </w:p>
    <w:p>
      <w:pPr>
        <w:pStyle w:val="BodyText"/>
        <w:spacing w:before="0" w:after="200" w:line="276" w:lineRule="auto"/>
        <w:jc w:val="both"/>
      </w:pPr>
      <w:r>
        <w:rPr>
          <w:rFonts w:ascii="Times New Roman" w:hAnsi="Times New Roman" w:eastAsia="Times New Roman"/>
          <w:b w:val="0"/>
          <w:sz w:val="24"/>
        </w:rPr>
        <w:t xml:space="preserve">The multiplier must not increase when estimated risk rises, with other inputs held constant. This property is imposed by the policy design. It is not estimated from observed lending decisions.</w:t>
      </w:r>
    </w:p>
    <w:p>
      <w:pPr>
        <w:pStyle w:val="BodyText"/>
        <w:spacing w:before="0" w:after="200" w:line="276" w:lineRule="auto"/>
        <w:jc w:val="both"/>
      </w:pPr>
      <w:r>
        <w:rPr>
          <w:rFonts w:ascii="Times New Roman" w:hAnsi="Times New Roman" w:eastAsia="Times New Roman"/>
          <w:b w:val="0"/>
          <w:sz w:val="24"/>
        </w:rPr>
        <w:t xml:space="preserve">When the exposure cap is below risk-adjusted capacity, the cap determines the preliminary limit. Changes in model probability can therefore have little aggregate effect even when the model distinguishes between companies.</w:t>
      </w:r>
    </w:p>
    <w:p>
      <w:pPr>
        <w:pStyle w:val="BodyText"/>
        <w:spacing w:before="0" w:after="200" w:line="276" w:lineRule="auto"/>
        <w:jc w:val="both"/>
      </w:pPr>
      <w:r>
        <w:rPr>
          <w:rFonts w:ascii="Times New Roman" w:hAnsi="Times New Roman" w:eastAsia="Times New Roman"/>
          <w:b w:val="0"/>
          <w:sz w:val="24"/>
        </w:rPr>
        <w:t xml:space="preserve">The capacity calculation must avoid counting an obligation twice. An interest payment already reflected in operating cash flow should not also be deducted as an additional payment. Chapter 5 defines the treatment used.</w:t>
      </w:r>
    </w:p>
    <w:p>
      <w:pPr>
        <w:pStyle w:val="Heading2"/>
      </w:pPr>
      <w:bookmarkStart w:id="104" w:name="_549adbb901f739e442820fb07c5f27293d878f8"/>
      <w:r>
        <w:rPr>
          <w:rFonts w:ascii="Times New Roman" w:hAnsi="Times New Roman" w:eastAsia="Times New Roman"/>
          <w:b/>
          <w:sz w:val="26"/>
        </w:rPr>
        <w:t xml:space="preserve">2.7 Dynamic Limit Management</w:t>
      </w:r>
      <w:bookmarkEnd w:id="104"/>
    </w:p>
    <w:p>
      <w:pPr>
        <w:pStyle w:val="FirstParagraph"/>
        <w:spacing w:before="0" w:after="200" w:line="276" w:lineRule="auto"/>
        <w:jc w:val="both"/>
      </w:pPr>
      <w:r>
        <w:rPr>
          <w:rFonts w:ascii="Times New Roman" w:hAnsi="Times New Roman" w:eastAsia="Times New Roman"/>
          <w:b w:val="0"/>
          <w:sz w:val="24"/>
        </w:rPr>
        <w:t xml:space="preserve">Dynamic management means reviewing a limit as information changes. A monthly schedule does not imply new statements each month. The system can carry the same financial values through several reviews.</w:t>
      </w:r>
    </w:p>
    <w:p>
      <w:pPr>
        <w:pStyle w:val="BodyText"/>
        <w:spacing w:before="0" w:after="200" w:line="276" w:lineRule="auto"/>
        <w:jc w:val="both"/>
      </w:pPr>
      <w:r>
        <w:rPr>
          <w:rFonts w:ascii="Times New Roman" w:hAnsi="Times New Roman" w:eastAsia="Times New Roman"/>
          <w:b w:val="0"/>
          <w:sz w:val="24"/>
        </w:rPr>
        <w:t xml:space="preserve">The policy separates a scheduled review from a change in relevant inputs. It limits increases and applies reductions promptly. Chapter 5 specifies the update rules and the conditions for a hard stop.</w:t>
      </w:r>
    </w:p>
    <w:p>
      <w:pPr>
        <w:pStyle w:val="BodyText"/>
        <w:spacing w:before="0" w:after="200" w:line="276" w:lineRule="auto"/>
        <w:jc w:val="both"/>
      </w:pPr>
      <w:r>
        <w:rPr>
          <w:rFonts w:ascii="Times New Roman" w:hAnsi="Times New Roman" w:eastAsia="Times New Roman"/>
          <w:b w:val="0"/>
          <w:sz w:val="24"/>
        </w:rPr>
        <w:t xml:space="preserve">Stability should be distinguished from usefulness. A limit that never changes is stable but may fail to respond to deterioration. Frequent small changes can create operational costs without improving risk control. Chapter 7 examines both movement and responsiveness.</w:t>
      </w:r>
    </w:p>
    <w:p>
      <w:pPr>
        <w:pStyle w:val="Heading2"/>
      </w:pPr>
      <w:bookmarkStart w:id="105" w:name="_c78d084625479eab643476faa9337eb40a4c66d"/>
      <w:r>
        <w:rPr>
          <w:rFonts w:ascii="Times New Roman" w:hAnsi="Times New Roman" w:eastAsia="Times New Roman"/>
          <w:b/>
          <w:sz w:val="26"/>
        </w:rPr>
        <w:t xml:space="preserve">2.8 Research Gap and Position of the Study</w:t>
      </w:r>
      <w:bookmarkEnd w:id="105"/>
    </w:p>
    <w:p>
      <w:pPr>
        <w:pStyle w:val="FirstParagraph"/>
        <w:spacing w:before="0" w:after="200" w:line="276" w:lineRule="auto"/>
        <w:jc w:val="both"/>
      </w:pPr>
      <w:r>
        <w:rPr>
          <w:rFonts w:ascii="Times New Roman" w:hAnsi="Times New Roman" w:eastAsia="Times New Roman"/>
          <w:b w:val="0"/>
          <w:sz w:val="24"/>
        </w:rPr>
        <w:t xml:space="preserve">The reviewed literature provides methods for corporate failure prediction and flexible classification. This study uses those methods to examine a separate practical question: how can a dated disclosure-risk estimate enter a monthly credit-limit rule?</w:t>
      </w:r>
    </w:p>
    <w:p>
      <w:pPr>
        <w:pStyle w:val="BodyText"/>
        <w:spacing w:before="0" w:after="200" w:line="276" w:lineRule="auto"/>
        <w:jc w:val="both"/>
      </w:pPr>
      <w:r>
        <w:rPr>
          <w:rFonts w:ascii="Times New Roman" w:hAnsi="Times New Roman" w:eastAsia="Times New Roman"/>
          <w:b w:val="0"/>
          <w:sz w:val="24"/>
        </w:rPr>
        <w:t xml:space="preserve">The policy adds monetary capacity and exposure constraints that a prediction score alone cannot supply. Its coefficients are research assumptions rather than parameters learned from lender outcomes. The contribution is therefore the implemented connection and the separate evaluation of prediction and policy behavior.</w:t>
      </w:r>
    </w:p>
    <w:p>
      <w:pPr>
        <w:pStyle w:val="BodyText"/>
        <w:spacing w:before="0" w:after="200" w:line="276" w:lineRule="auto"/>
        <w:jc w:val="both"/>
      </w:pPr>
      <w:r>
        <w:rPr>
          <w:rFonts w:ascii="Times New Roman" w:hAnsi="Times New Roman" w:eastAsia="Times New Roman"/>
          <w:b w:val="0"/>
          <w:sz w:val="24"/>
        </w:rPr>
        <w:t xml:space="preserve">This distinction guides the empirical chapters. Model results assess ranking, probability error and event detection. Policy results assess assigned limits, changes and sensitivity. Evidence that a model predicts disclosures does not by itself establish that the resulting policy improves lending outcomes.</w:t>
      </w:r>
    </w:p>
    <w:p>
      <w:pPr>
        <w:pStyle w:val="Heading1"/>
        <w:pageBreakBefore/>
      </w:pPr>
      <w:bookmarkStart w:id="106" w:name="_c11385c9bc4153732932d19d3a9102135c45188"/>
      <w:r>
        <w:rPr>
          <w:rFonts w:ascii="Times New Roman" w:hAnsi="Times New Roman" w:eastAsia="Times New Roman"/>
          <w:b/>
          <w:sz w:val="32"/>
        </w:rPr>
        <w:t xml:space="preserve">3 Data and Target Definition</w:t>
      </w:r>
      <w:bookmarkEnd w:id="106"/>
    </w:p>
    <w:p>
      <w:pPr>
        <w:pStyle w:val="FirstParagraph"/>
        <w:spacing w:before="0" w:after="200" w:line="276" w:lineRule="auto"/>
        <w:jc w:val="both"/>
      </w:pPr>
      <w:r>
        <w:rPr>
          <w:rFonts w:ascii="Times New Roman" w:hAnsi="Times New Roman" w:eastAsia="Times New Roman"/>
          <w:b w:val="0"/>
          <w:sz w:val="24"/>
        </w:rPr>
        <w:t xml:space="preserve">The U.S. Securities and Exchange Commission (SEC) oversees US securities markets and corporate reporting by public issuers. Companies submit periodic financial reports and reports of important events through its Electronic Data Gathering, Analysis, and Retrieval system (EDGAR). These public filings contain accounting values, filing dates and information about disclosed corporate events.</w:t>
      </w:r>
    </w:p>
    <w:p>
      <w:pPr>
        <w:pStyle w:val="BodyText"/>
        <w:spacing w:before="0" w:after="200" w:line="276" w:lineRule="auto"/>
        <w:jc w:val="both"/>
      </w:pPr>
      <w:r>
        <w:rPr>
          <w:rFonts w:ascii="Times New Roman" w:hAnsi="Times New Roman" w:eastAsia="Times New Roman"/>
          <w:b w:val="0"/>
          <w:sz w:val="24"/>
        </w:rPr>
        <w:t xml:space="preserve">This chapter describes how SEC data are used to construct the accounting predictors and disclosure labels for the primary model experiment. The data were created for regulatory reporting rather than credit scoring, so not every reported value is complete, economically comparable or suitable for the model. The observation is a company at a monthly decision date.</w:t>
      </w:r>
    </w:p>
    <w:p>
      <w:pPr>
        <w:pStyle w:val="Heading2"/>
      </w:pPr>
      <w:bookmarkStart w:id="107" w:name="_7fef86a9e8dbde3cc9b91edb3b823d2ae715fe2"/>
      <w:r>
        <w:rPr>
          <w:rFonts w:ascii="Times New Roman" w:hAnsi="Times New Roman" w:eastAsia="Times New Roman"/>
          <w:b/>
          <w:sz w:val="26"/>
        </w:rPr>
        <w:t xml:space="preserve">3.1 Study Population and Observation Unit</w:t>
      </w:r>
      <w:bookmarkEnd w:id="107"/>
    </w:p>
    <w:p>
      <w:pPr>
        <w:pStyle w:val="FirstParagraph"/>
        <w:spacing w:before="0" w:after="200" w:line="276" w:lineRule="auto"/>
        <w:jc w:val="both"/>
      </w:pPr>
      <w:r>
        <w:rPr>
          <w:rFonts w:ascii="Times New Roman" w:hAnsi="Times New Roman" w:eastAsia="Times New Roman"/>
          <w:b w:val="0"/>
          <w:sz w:val="24"/>
        </w:rPr>
        <w:t xml:space="preserve">The inventory for the primary model experiment contains 20,443 company-facts files. Each company is linked to its submissions history through its Central Index Key, or CIK. The screen requires at least one domestic periodic filing, complete referenced historical archives and a known current SIC code outside 6000–6999.</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Inventory screen</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Companies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Starting company-facts inventory</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20,443</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 domestic periodic filing</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5,090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Current SIC in finance, insurance or real estate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4,236</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Missing or zero SIC</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227</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Incomplete or inconsistent referenced archives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11</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Candidate companies after screening</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10,879</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Companies contributing labeled observations</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8,780</w:t>
            </w:r>
          </w:p>
        </w:tc>
      </w:tr>
    </w:tbl>
    <w:p>
      <w:pPr>
        <w:pStyle w:val="Caption"/>
        <w:spacing w:line="240" w:lineRule="auto"/>
        <w:jc w:val="center"/>
      </w:pPr>
      <w:r>
        <w:rPr>
          <w:rFonts w:ascii="Times New Roman" w:hAnsi="Times New Roman" w:eastAsia="Times New Roman"/>
          <w:i/>
          <w:iCs/>
          <w:sz w:val="24"/>
        </w:rPr>
        <w:t xml:space="preserve">Table 1. Company inventory screening.</w:t>
      </w:r>
    </w:p>
    <w:p>
      <w:pPr>
        <w:pStyle w:val="BodyText"/>
        <w:spacing w:before="0" w:after="200" w:line="276" w:lineRule="auto"/>
        <w:jc w:val="both"/>
      </w:pPr>
      <w:r>
        <w:rPr>
          <w:rFonts w:ascii="Times New Roman" w:hAnsi="Times New Roman" w:eastAsia="Times New Roman"/>
          <w:b w:val="0"/>
          <w:sz w:val="24"/>
        </w:rPr>
        <w:t xml:space="preserve">The four inventory exclusions are mutually exclusive. SIC codes 6000–6999 broadly cover finance, insurance and real-estate companies. These companies are excluded because their balance sheets differ from those of ordinary operating companies: for example, deposits are normal business funding for banks, so leverage, liquidity and working-capital ratios have different meanings. Their assessment requires specialized measures that are not included among the twelve predictors. Further losses reflect missing or stale financial information and unavailable outcome windows.</w:t>
      </w:r>
      <w:r>
        <w:rPr>
          <w:rFonts w:ascii="Times New Roman" w:hAnsi="Times New Roman" w:eastAsia="Times New Roman"/>
          <w:b w:val="0"/>
          <w:sz w:val="24"/>
        </w:rPr>
        <w:t xml:space="preserve"> </w:t>
      </w:r>
      <w:hyperlink r:id="rId108">
        <w:r>
          <w:rPr>
            <w:rStyle w:val="Hyperlink"/>
          </w:rPr>
          <w:t xml:space="preserve">SEC SIC code list</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The unit is a company at the first day of a month. Decision dates run from January 2011 through December 2025. The completed panel has 565,222 labeled company-month observations before chronological purging. It contains 1,052 positive rows associated with 573 disclosure episodes in 487 companies.</w:t>
      </w:r>
    </w:p>
    <w:p>
      <w:pPr>
        <w:pStyle w:val="BodyText"/>
        <w:spacing w:before="0" w:after="200" w:line="276" w:lineRule="auto"/>
        <w:jc w:val="both"/>
      </w:pPr>
      <w:r>
        <w:rPr>
          <w:rFonts w:ascii="Times New Roman" w:hAnsi="Times New Roman" w:eastAsia="Times New Roman"/>
          <w:b w:val="0"/>
          <w:sz w:val="24"/>
        </w:rPr>
        <w:t xml:space="preserve">Current ticker status is not required. The inventory nevertheless does not reconstruct a complete historical listing universe, and current SIC may differ from a company’s historical classification.</w:t>
      </w:r>
    </w:p>
    <w:p>
      <w:pPr>
        <w:pStyle w:val="Heading2"/>
      </w:pPr>
      <w:bookmarkStart w:id="109" w:name="_3395f15100c5e08ca605fc362c5e9f5dbe60800"/>
      <w:r>
        <w:rPr>
          <w:rFonts w:ascii="Times New Roman" w:hAnsi="Times New Roman" w:eastAsia="Times New Roman"/>
          <w:b/>
          <w:sz w:val="26"/>
        </w:rPr>
        <w:t xml:space="preserve">3.2 Sources and Information Availability</w:t>
      </w:r>
      <w:bookmarkEnd w:id="109"/>
    </w:p>
    <w:p>
      <w:pPr>
        <w:pStyle w:val="FirstParagraph"/>
        <w:spacing w:before="0" w:after="200" w:line="276" w:lineRule="auto"/>
        <w:jc w:val="both"/>
      </w:pPr>
      <w:r>
        <w:rPr>
          <w:rFonts w:ascii="Times New Roman" w:hAnsi="Times New Roman" w:eastAsia="Times New Roman"/>
          <w:b w:val="0"/>
          <w:sz w:val="24"/>
        </w:rPr>
        <w:t xml:space="preserve">This study combines three SEC sources in one monthly company panel: Company Facts, Financial Statement and Notes data, and submissions. Company Facts and Financial Statement and Notes data supply accounting information from corporate filings, while submissions provide the filing history used to define disclosure outcomes and reporting follow-up. The Central Index Key (CIK) identifies the company, while the accession number identifies an individual filing.</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Source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Information used in this study</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Role in the panel</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Company Facts</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Accounting values under standard tags, units, reporting periods, filing dates and accession numbers</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Provides the main histories of balance-sheet values and annual income, revenue and operating cash flow</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Financial Statement and Notes data</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Numeric statement facts, standard and custom tag definitions, presentation labels and calculation relationships</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Supports identification and reconciliation of assets, liabilities, current assets, current liabilities and cash</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Submissions</w:t>
            </w:r>
          </w:p>
        </w:tc>
        <w:tc>
          <w:tcPr>
            <w:tcW w:type="dxa" w:w="2987"/>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Filing forms, dates, accession numbers and reported item codes, including referenced historical archives</w:t>
            </w:r>
          </w:p>
        </w:tc>
        <w:tc>
          <w:tcPr>
            <w:tcW w:type="dxa" w:w="263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Identifies qualifying disclosures and the issuer’s observed reporting history</w:t>
            </w:r>
          </w:p>
        </w:tc>
      </w:tr>
    </w:tbl>
    <w:p>
      <w:pPr>
        <w:pStyle w:val="Caption"/>
        <w:spacing w:line="240" w:lineRule="auto"/>
        <w:jc w:val="center"/>
      </w:pPr>
      <w:r>
        <w:rPr>
          <w:rFonts w:ascii="Times New Roman" w:hAnsi="Times New Roman" w:eastAsia="Times New Roman"/>
          <w:i/>
          <w:iCs/>
          <w:sz w:val="24"/>
        </w:rPr>
        <w:t xml:space="preserve">Table 2. SEC data sources and their roles in the panel.</w:t>
      </w:r>
    </w:p>
    <w:p>
      <w:pPr>
        <w:pStyle w:val="Heading3"/>
      </w:pPr>
      <w:bookmarkStart w:id="110" w:name="_6d593b2c9d4ffe9bfe6e5c98ff3fc29f22253ee"/>
      <w:r>
        <w:rPr>
          <w:rFonts w:ascii="Times New Roman" w:hAnsi="Times New Roman" w:eastAsia="Times New Roman"/>
          <w:b/>
          <w:sz w:val="24"/>
        </w:rPr>
        <w:t xml:space="preserve">3.2.1 Understanding Company Facts and Overlapping Filings</w:t>
      </w:r>
      <w:bookmarkEnd w:id="110"/>
    </w:p>
    <w:p>
      <w:pPr>
        <w:pStyle w:val="FirstParagraph"/>
        <w:spacing w:before="0" w:after="200" w:line="276" w:lineRule="auto"/>
        <w:jc w:val="both"/>
      </w:pPr>
      <w:r>
        <w:rPr>
          <w:rFonts w:ascii="Times New Roman" w:hAnsi="Times New Roman" w:eastAsia="Times New Roman"/>
          <w:b w:val="0"/>
          <w:sz w:val="24"/>
        </w:rPr>
        <w:t xml:space="preserve">Company Facts is an SEC dataset that organizes individual accounting values from a company’s filings into one history. A record contains the accounting tag, value, unit, reporting period, filing date, form and accession number. It is therefore not a separate financial statement: it is a collection of values taken from statements filed over time.</w:t>
      </w:r>
    </w:p>
    <w:p>
      <w:pPr>
        <w:pStyle w:val="BodyText"/>
        <w:spacing w:before="0" w:after="200" w:line="276" w:lineRule="auto"/>
        <w:jc w:val="both"/>
      </w:pPr>
      <w:r>
        <w:rPr>
          <w:rFonts w:ascii="Times New Roman" w:hAnsi="Times New Roman" w:eastAsia="Times New Roman"/>
          <w:b w:val="0"/>
          <w:sz w:val="24"/>
        </w:rPr>
        <w:t xml:space="preserve">The dataset includes annual Forms 10-K, quarterly Forms 10-Q and their amendments. These filings can overlap. A later filing may repeat an earlier balance for comparison, while quarterly revenue, income and cash-flow amounts may cover cumulative parts of a year. Such records cannot simply be added together.</w:t>
      </w:r>
    </w:p>
    <w:p>
      <w:pPr>
        <w:pStyle w:val="BodyText"/>
        <w:spacing w:before="0" w:after="200" w:line="276" w:lineRule="auto"/>
        <w:jc w:val="both"/>
      </w:pPr>
      <w:r>
        <w:rPr>
          <w:rFonts w:ascii="Times New Roman" w:hAnsi="Times New Roman" w:eastAsia="Times New Roman"/>
          <w:b w:val="0"/>
          <w:sz w:val="24"/>
        </w:rPr>
        <w:t xml:space="preserve">For each monthly decision date, the study uses only filings that were already public; a value becomes usable on the day after filing. For each accounting item, the extractor first selects the latest eligible reporting period and then the latest filing version available for that period. If an amendment is filed later, it can change later monthly observations but cannot rewrite earlier ones. Conflicting values from the same selected filing date remain missing rather than being chosen arbitrarily.</w:t>
      </w:r>
    </w:p>
    <w:p>
      <w:pPr>
        <w:pStyle w:val="BodyText"/>
        <w:spacing w:before="0" w:after="200" w:line="276" w:lineRule="auto"/>
        <w:jc w:val="both"/>
      </w:pPr>
      <w:r>
        <w:rPr>
          <w:rFonts w:ascii="Times New Roman" w:hAnsi="Times New Roman" w:eastAsia="Times New Roman"/>
          <w:b w:val="0"/>
          <w:sz w:val="24"/>
        </w:rPr>
        <w:t xml:space="preserve">The panel has one decision date per month, but companies normally publish financial statements only quarterly or annually. Fresh accounting data are therefore not available every month. The latest known value is carried forward until a newer filing becomes available, so the same assets, liabilities or cash value may appear in several consecutive monthly observations. This is intentional: it represents what a lender could have known at each date instead of inventing monthly updates. Balance-sheet values can come from annual or quarterly filings, while revenue, net income and operating cash flow are restricted to periods covering approximately a full year. Quarterly and cumulative year-to-date flows are not added together.</w:t>
      </w:r>
    </w:p>
    <w:p>
      <w:pPr>
        <w:pStyle w:val="BodyText"/>
        <w:spacing w:before="0" w:after="200" w:line="276" w:lineRule="auto"/>
        <w:jc w:val="both"/>
      </w:pPr>
      <w:r>
        <w:rPr>
          <w:rFonts w:ascii="Times New Roman" w:hAnsi="Times New Roman" w:eastAsia="Times New Roman"/>
          <w:b w:val="0"/>
          <w:sz w:val="24"/>
        </w:rPr>
        <w:t xml:space="preserve">For example, after a company files a 10-Q, the project can use its newer quarter-end assets for subsequent monthly decisions. However, it continues to use the latest complete annual revenue and operating cash flow instead of combining the overlapping quarterly amounts.</w:t>
      </w:r>
    </w:p>
    <w:p>
      <w:pPr>
        <w:pStyle w:val="Heading3"/>
      </w:pPr>
      <w:bookmarkStart w:id="111" w:name="_3037fc20bf1ee7cbb2e03cc079838120672c678"/>
      <w:r>
        <w:rPr>
          <w:rFonts w:ascii="Times New Roman" w:hAnsi="Times New Roman" w:eastAsia="Times New Roman"/>
          <w:b/>
          <w:sz w:val="24"/>
        </w:rPr>
        <w:t xml:space="preserve">3.2.2 Why Both Accounting Sources Are Needed</w:t>
      </w:r>
      <w:bookmarkEnd w:id="111"/>
    </w:p>
    <w:p>
      <w:pPr>
        <w:pStyle w:val="FirstParagraph"/>
        <w:spacing w:before="0" w:after="200" w:line="276" w:lineRule="auto"/>
        <w:jc w:val="both"/>
      </w:pPr>
      <w:r>
        <w:rPr>
          <w:rFonts w:ascii="Times New Roman" w:hAnsi="Times New Roman" w:eastAsia="Times New Roman"/>
          <w:b w:val="0"/>
          <w:sz w:val="24"/>
        </w:rPr>
        <w:t xml:space="preserve">The two accounting sources provide different parts of the same picture. Company Facts works like a standardized summary of a company’s reported numbers. It makes values easier to follow over time and records when each value was reported. However, it does not preserve the complete financial statement and may miss an amount when a company reports it under a different name.</w:t>
      </w:r>
      <w:r>
        <w:rPr>
          <w:rFonts w:ascii="Times New Roman" w:hAnsi="Times New Roman" w:eastAsia="Times New Roman"/>
          <w:b w:val="0"/>
          <w:sz w:val="24"/>
        </w:rPr>
        <w:t xml:space="preserve"> </w:t>
      </w:r>
      <w:hyperlink r:id="rId112">
        <w:r>
          <w:rPr>
            <w:rStyle w:val="Hyperlink"/>
          </w:rPr>
          <w:t xml:space="preserve">SEC, EDGAR API documentation</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The Financial Statement and Notes data are closer to the original statements. They retain the names of statement rows and information about how amounts form a total. For example, Company Facts may not show a standard total for liabilities even though the balance sheet reports that total under another name or lists the parts needed to calculate it. The detailed statement data help identify the correct amount without adding the same item twice.</w:t>
      </w:r>
    </w:p>
    <w:p>
      <w:pPr>
        <w:pStyle w:val="BodyText"/>
        <w:spacing w:before="0" w:after="200" w:line="276" w:lineRule="auto"/>
        <w:jc w:val="both"/>
      </w:pPr>
      <w:r>
        <w:rPr>
          <w:rFonts w:ascii="Times New Roman" w:hAnsi="Times New Roman" w:eastAsia="Times New Roman"/>
          <w:b w:val="0"/>
          <w:sz w:val="24"/>
        </w:rPr>
        <w:t xml:space="preserve">Using both sources combines the advantages of each one. Company Facts provides the consistent history, while the Financial Statement and Notes data help explain, check or fill values that are missing or unclear. A value is used only when it can be linked to the same filing and reporting date and passes the checks described below. Both sources can still contain reporting errors or inconsistencies.</w:t>
      </w:r>
      <w:r>
        <w:rPr>
          <w:rFonts w:ascii="Times New Roman" w:hAnsi="Times New Roman" w:eastAsia="Times New Roman"/>
          <w:b w:val="0"/>
          <w:sz w:val="24"/>
        </w:rPr>
        <w:t xml:space="preserve"> </w:t>
      </w:r>
      <w:hyperlink r:id="rId113">
        <w:r>
          <w:rPr>
            <w:rStyle w:val="Hyperlink"/>
          </w:rPr>
          <w:t xml:space="preserve">SEC, Financial Statement and Notes dataset documentation</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A concrete example is</w:t>
      </w:r>
      <w:r>
        <w:rPr>
          <w:rFonts w:ascii="Times New Roman" w:hAnsi="Times New Roman" w:eastAsia="Times New Roman"/>
          <w:b w:val="0"/>
          <w:sz w:val="24"/>
        </w:rPr>
        <w:t xml:space="preserve"> </w:t>
      </w:r>
      <w:r>
        <w:rPr>
          <w:rFonts w:ascii="Times New Roman" w:hAnsi="Times New Roman" w:eastAsia="Times New Roman"/>
          <w:b w:val="0"/>
          <w:bCs/>
          <w:sz w:val="24"/>
        </w:rPr>
        <w:t xml:space="preserve">total liabilities</w:t>
      </w:r>
      <w:r>
        <w:rPr>
          <w:rFonts w:ascii="Times New Roman" w:hAnsi="Times New Roman" w:eastAsia="Times New Roman"/>
          <w:b w:val="0"/>
          <w:sz w:val="24"/>
        </w:rPr>
        <w:t xml:space="preserve">. When Company Facts does not contain a usable standard value for total liabilities, the detailed statement data can provide the reported total under a custom name or the complete balance-sheet components needed to recover it. This recovered value can then be used to calculate ratios that compare liabilities with assets or cash flow.</w:t>
      </w:r>
    </w:p>
    <w:p>
      <w:pPr>
        <w:pStyle w:val="Heading3"/>
      </w:pPr>
      <w:bookmarkStart w:id="114" w:name="_a6137580df8c8f92cb799a660c05ca3c83cdaf2"/>
      <w:r>
        <w:rPr>
          <w:rFonts w:ascii="Times New Roman" w:hAnsi="Times New Roman" w:eastAsia="Times New Roman"/>
          <w:b/>
          <w:sz w:val="24"/>
        </w:rPr>
        <w:t xml:space="preserve">3.2.3 Combining the Sources in One Panel</w:t>
      </w:r>
      <w:bookmarkEnd w:id="114"/>
    </w:p>
    <w:p>
      <w:pPr>
        <w:pStyle w:val="FirstParagraph"/>
        <w:spacing w:before="0" w:after="200" w:line="276" w:lineRule="auto"/>
        <w:jc w:val="both"/>
      </w:pPr>
      <w:r>
        <w:rPr>
          <w:rFonts w:ascii="Times New Roman" w:hAnsi="Times New Roman" w:eastAsia="Times New Roman"/>
          <w:b w:val="0"/>
          <w:sz w:val="24"/>
        </w:rPr>
        <w:t xml:space="preserve">Each monthly observation starts with Company Facts. When Company Facts contains a usable value, that value is preferred. The Financial Statement and Notes data are used only to fill or check missing balance-sheet values, such as total liabilities.</w:t>
      </w:r>
    </w:p>
    <w:p>
      <w:pPr>
        <w:pStyle w:val="BodyText"/>
        <w:spacing w:before="0" w:after="200" w:line="276" w:lineRule="auto"/>
        <w:jc w:val="both"/>
      </w:pPr>
      <w:r>
        <w:rPr>
          <w:rFonts w:ascii="Times New Roman" w:hAnsi="Times New Roman" w:eastAsia="Times New Roman"/>
          <w:b w:val="0"/>
          <w:sz w:val="24"/>
        </w:rPr>
        <w:t xml:space="preserve">Before a statement value is accepted, it must belong to the same company, filing and reporting date. If a total is calculated from smaller parts, all required parts must be present and the calculation must balance. Unclear or conflicting values remain missing rather than being guessed.</w:t>
      </w:r>
    </w:p>
    <w:p>
      <w:pPr>
        <w:pStyle w:val="BodyText"/>
        <w:spacing w:before="0" w:after="200" w:line="276" w:lineRule="auto"/>
        <w:jc w:val="both"/>
      </w:pPr>
      <w:r>
        <w:rPr>
          <w:rFonts w:ascii="Times New Roman" w:hAnsi="Times New Roman" w:eastAsia="Times New Roman"/>
          <w:b w:val="0"/>
          <w:sz w:val="24"/>
        </w:rPr>
        <w:t xml:space="preserve">Annual revenue, net income and operating cash flow come from Company Facts because it provides their exact annual start and end dates. Narrative text from the notes is not used by the model. The source and calculation of every accepted value are recorded so that the result can be checked later.</w:t>
      </w:r>
    </w:p>
    <w:p>
      <w:pPr>
        <w:pStyle w:val="Heading2"/>
      </w:pPr>
      <w:bookmarkStart w:id="115" w:name="_d615cec92fe71972b6ec12d8615b786d8a4eb95"/>
      <w:r>
        <w:rPr>
          <w:rFonts w:ascii="Times New Roman" w:hAnsi="Times New Roman" w:eastAsia="Times New Roman"/>
          <w:b/>
          <w:sz w:val="26"/>
        </w:rPr>
        <w:t xml:space="preserve">3.3 Outcome and Prediction Horizon</w:t>
      </w:r>
      <w:bookmarkEnd w:id="115"/>
    </w:p>
    <w:p>
      <w:pPr>
        <w:pStyle w:val="FirstParagraph"/>
        <w:spacing w:before="0" w:after="200" w:line="276" w:lineRule="auto"/>
        <w:jc w:val="both"/>
      </w:pPr>
      <w:r>
        <w:rPr>
          <w:rFonts w:ascii="Times New Roman" w:hAnsi="Times New Roman" w:eastAsia="Times New Roman"/>
          <w:b w:val="0"/>
          <w:sz w:val="24"/>
        </w:rPr>
        <w:t xml:space="preserve">For every company-month, the model asks a simple question:</w:t>
      </w:r>
      <w:r>
        <w:rPr>
          <w:rFonts w:ascii="Times New Roman" w:hAnsi="Times New Roman" w:eastAsia="Times New Roman"/>
          <w:b w:val="0"/>
          <w:sz w:val="24"/>
        </w:rPr>
        <w:t xml:space="preserve"> </w:t>
      </w:r>
      <w:r>
        <w:rPr>
          <w:rFonts w:ascii="Times New Roman" w:hAnsi="Times New Roman" w:eastAsia="Times New Roman"/>
          <w:b w:val="0"/>
          <w:bCs/>
          <w:sz w:val="24"/>
        </w:rPr>
        <w:t xml:space="preserve">will the company make a new qualifying distress disclosure within the next 60 days?</w:t>
      </w:r>
      <w:r>
        <w:rPr>
          <w:rFonts w:ascii="Times New Roman" w:hAnsi="Times New Roman" w:eastAsia="Times New Roman"/>
          <w:b w:val="0"/>
          <w:sz w:val="24"/>
        </w:rPr>
        <w:t xml:space="preserve"> </w:t>
      </w:r>
      <w:r>
        <w:rPr>
          <w:rFonts w:ascii="Times New Roman" w:hAnsi="Times New Roman" w:eastAsia="Times New Roman"/>
          <w:b w:val="0"/>
          <w:sz w:val="24"/>
        </w:rPr>
        <w:t xml:space="preserve">A disclosure within this period produces a positive label (</w:t>
      </w:r>
      <w:r>
        <w:rPr>
          <w:rStyle w:val="VerbatimChar"/>
          <w:rFonts w:ascii="Times New Roman" w:hAnsi="Times New Roman" w:eastAsia="Times New Roman"/>
          <w:b w:val="0"/>
          <w:sz w:val="24"/>
        </w:rPr>
        <w:t xml:space="preserve">1</w:t>
      </w:r>
      <w:r>
        <w:rPr>
          <w:rFonts w:ascii="Times New Roman" w:hAnsi="Times New Roman" w:eastAsia="Times New Roman"/>
          <w:b w:val="0"/>
          <w:sz w:val="24"/>
        </w:rPr>
        <w:t xml:space="preserve">). A negative label (</w:t>
      </w:r>
      <w:r>
        <w:rPr>
          <w:rStyle w:val="VerbatimChar"/>
          <w:rFonts w:ascii="Times New Roman" w:hAnsi="Times New Roman" w:eastAsia="Times New Roman"/>
          <w:b w:val="0"/>
          <w:sz w:val="24"/>
        </w:rPr>
        <w:t xml:space="preserve">0</w:t>
      </w:r>
      <w:r>
        <w:rPr>
          <w:rFonts w:ascii="Times New Roman" w:hAnsi="Times New Roman" w:eastAsia="Times New Roman"/>
          <w:b w:val="0"/>
          <w:sz w:val="24"/>
        </w:rPr>
        <w:t xml:space="preserve">) means that no qualifying disclosure was observed during the period and that enough later SEC reporting exists to observe the complete 60 days.</w:t>
      </w:r>
    </w:p>
    <w:p>
      <w:pPr>
        <w:pStyle w:val="BodyText"/>
        <w:spacing w:before="0" w:after="200" w:line="276" w:lineRule="auto"/>
        <w:jc w:val="both"/>
      </w:pPr>
      <w:r>
        <w:rPr>
          <w:rFonts w:ascii="Times New Roman" w:hAnsi="Times New Roman" w:eastAsia="Times New Roman"/>
          <w:b w:val="0"/>
          <w:sz w:val="24"/>
        </w:rPr>
        <w:t xml:space="preserve">Two types of Form 8-K disclosure can qualify. Item 1.03 reports bankruptcy or receivership matters, including some reorganizations. It may concern the company or its parent, and the filing date is not necessarily the date on which the financial problem began. Item 2.04 covers events that can accelerate or increase a financial obligation. An Item 2.04-only filing is included here only when its review finds clear evidence of a missed principal or interest payment.</w:t>
      </w:r>
      <w:r>
        <w:rPr>
          <w:rFonts w:ascii="Times New Roman" w:hAnsi="Times New Roman" w:eastAsia="Times New Roman"/>
          <w:b w:val="0"/>
          <w:sz w:val="24"/>
        </w:rPr>
        <w:t xml:space="preserve"> </w:t>
      </w:r>
      <w:hyperlink r:id="rId81">
        <w:r>
          <w:rPr>
            <w:rStyle w:val="Hyperlink"/>
          </w:rPr>
          <w:t xml:space="preserve">SEC, Form 8-K, Item 1.03</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The Item 2.04 reviews were produced by language models through OpenAI Batch. Filings that mention only acceleration or enforcement, lack a review, or remain unclear are treated as unresolved. The model’s confidence description is not a measured accuracy rate because no separate human validation sample was recorded. Appendix A provides the reproduction and review details.</w:t>
      </w:r>
    </w:p>
    <w:p>
      <w:pPr>
        <w:pStyle w:val="BodyText"/>
        <w:spacing w:before="0" w:after="200" w:line="276" w:lineRule="auto"/>
        <w:jc w:val="both"/>
      </w:pPr>
      <w:r>
        <w:rPr>
          <w:rFonts w:ascii="Times New Roman" w:hAnsi="Times New Roman" w:eastAsia="Times New Roman"/>
          <w:b w:val="0"/>
          <w:sz w:val="24"/>
        </w:rPr>
        <w:t xml:space="preserve">Several related filings may describe the same financial problem. Qualifying disclosures no more than 90 days apart are therefore grouped into one episode. Company-months during that episode and for 90 days after its last disclosure are not used to predict another event. This prevents follow-up filings about an already known problem from being counted as new events. The 90-day rule is a practical assumption, not proof that the company recovered afterward.</w:t>
      </w:r>
    </w:p>
    <w:p>
      <w:pPr>
        <w:pStyle w:val="BodyText"/>
        <w:spacing w:before="0" w:after="200" w:line="276" w:lineRule="auto"/>
        <w:jc w:val="both"/>
      </w:pPr>
      <w:r>
        <w:rPr>
          <w:rFonts w:ascii="Times New Roman" w:hAnsi="Times New Roman" w:eastAsia="Times New Roman"/>
          <w:b w:val="0"/>
          <w:sz w:val="24"/>
        </w:rPr>
        <w:t xml:space="preserve">A negative label requires evidence that the company continued filing with the SEC until at least the end of the 60-day window. The evidence can be a later Form 10-K, 10-Q or 8-K, including an amendment. If the decision date falls after the company’s final qualifying filing, there is not enough reporting history to determine whether no event occurred, so the row is left unlabeled. This confirms observable SEC follow-up, not that the company was free from financial distress.</w:t>
      </w:r>
    </w:p>
    <w:p>
      <w:pPr>
        <w:pStyle w:val="BodyText"/>
        <w:spacing w:before="0" w:after="200" w:line="276" w:lineRule="auto"/>
        <w:jc w:val="both"/>
      </w:pPr>
      <w:r>
        <w:rPr>
          <w:rFonts w:ascii="Times New Roman" w:hAnsi="Times New Roman" w:eastAsia="Times New Roman"/>
          <w:b w:val="0"/>
          <w:sz w:val="24"/>
        </w:rPr>
        <w:t xml:space="preserve">Labels are used only after their complete 60-day window can be observed. A negative label becomes available on the day after the first qualifying follow-up filing at or beyond the end of that window. All labels must be available before the study cutoff and, for an earlier modeling stage, before the next chronological stage begins. These rules prevent the model from using future information.</w:t>
      </w:r>
    </w:p>
    <w:p>
      <w:pPr>
        <w:pStyle w:val="BodyText"/>
        <w:spacing w:before="0" w:after="200" w:line="276" w:lineRule="auto"/>
        <w:jc w:val="both"/>
      </w:pPr>
      <w:r>
        <w:rPr>
          <w:rFonts w:ascii="Times New Roman" w:hAnsi="Times New Roman" w:eastAsia="Times New Roman"/>
          <w:b w:val="0"/>
          <w:sz w:val="24"/>
        </w:rPr>
        <w:t xml:space="preserve">The labeling rules reduce 611,705 financially usable company-months to 565,222 labeled observations: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Reason for removal</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Company-months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Not enough later SEC reporting</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6,011</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Occurred after an unresolved payment disclosure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38,664</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Fell within an existing episode or its 90-day quiet period</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1,458</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Contained unresolved payment evidence in the next 60 days</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350</w:t>
            </w:r>
          </w:p>
        </w:tc>
      </w:tr>
    </w:tbl>
    <w:p>
      <w:pPr>
        <w:pStyle w:val="Caption"/>
        <w:spacing w:line="240" w:lineRule="auto"/>
        <w:jc w:val="center"/>
      </w:pPr>
      <w:r>
        <w:rPr>
          <w:rFonts w:ascii="Times New Roman" w:hAnsi="Times New Roman" w:eastAsia="Times New Roman"/>
          <w:i/>
          <w:iCs/>
          <w:sz w:val="24"/>
        </w:rPr>
        <w:t xml:space="preserve">Table 3. Company-months removed by the outcome-labeling rules.</w:t>
      </w:r>
    </w:p>
    <w:p>
      <w:pPr>
        <w:pStyle w:val="BodyText"/>
        <w:spacing w:before="0" w:after="200" w:line="276" w:lineRule="auto"/>
        <w:jc w:val="both"/>
      </w:pPr>
      <w:r>
        <w:rPr>
          <w:rFonts w:ascii="Times New Roman" w:hAnsi="Times New Roman" w:eastAsia="Times New Roman"/>
          <w:b w:val="0"/>
          <w:sz w:val="24"/>
        </w:rPr>
        <w:t xml:space="preserve">These rows are excluded because their outcomes cannot be labeled reliably. However, a disclosure already known on the decision date can still stop the credit policy from offering a limit.</w:t>
      </w:r>
    </w:p>
    <w:p>
      <w:pPr>
        <w:pStyle w:val="Heading2"/>
      </w:pPr>
      <w:bookmarkStart w:id="116" w:name="_7f8b350a30b1906e22c050e3c148c8226908d05"/>
      <w:r>
        <w:rPr>
          <w:rFonts w:ascii="Times New Roman" w:hAnsi="Times New Roman" w:eastAsia="Times New Roman"/>
          <w:b/>
          <w:sz w:val="26"/>
        </w:rPr>
        <w:t xml:space="preserve">3.4 Feature Construction</w:t>
      </w:r>
      <w:bookmarkEnd w:id="116"/>
    </w:p>
    <w:p>
      <w:pPr>
        <w:pStyle w:val="FirstParagraph"/>
        <w:spacing w:before="120" w:after="120" w:line="240" w:lineRule="auto"/>
        <w:jc w:val="center"/>
      </w:pPr>
      <w:r>
        <w:rPr>
          <w:rFonts w:ascii="Times New Roman" w:hAnsi="Times New Roman" w:eastAsia="Times New Roman"/>
          <w:b w:val="0"/>
          <w:sz w:val="24"/>
        </w:rPr>
        <w:t xml:space="preserve">The predictive experiment uses twelve features covering liquidity, leverage, financial change, profitability, cash generation and size. In the formulas below,</w:t>
      </w:r>
      <w:r>
        <w:rPr>
          <w:rFonts w:ascii="Times New Roman" w:hAnsi="Times New Roman" w:eastAsia="Times New Roman"/>
          <w:b w:val="0"/>
          <w:sz w:val="24"/>
        </w:rPr>
        <w:t xml:space="preserve"> </w:t>
      </w:r>
      <m:oMath>
        <m:r>
          <m:t>C</m:t>
        </m:r>
        <m:r>
          <m:t>A</m:t>
        </m:r>
      </m:oMath>
      <w:r>
        <w:rPr>
          <w:rFonts w:ascii="Times New Roman" w:hAnsi="Times New Roman" w:eastAsia="Times New Roman"/>
          <w:b w:val="0"/>
          <w:sz w:val="24"/>
        </w:rPr>
        <w:t xml:space="preserve"> </w:t>
      </w:r>
      <w:r>
        <w:rPr>
          <w:rFonts w:ascii="Times New Roman" w:hAnsi="Times New Roman" w:eastAsia="Times New Roman"/>
          <w:b w:val="0"/>
          <w:sz w:val="24"/>
        </w:rPr>
        <w:t xml:space="preserve">is current assets,</w:t>
      </w:r>
      <w:r>
        <w:rPr>
          <w:rFonts w:ascii="Times New Roman" w:hAnsi="Times New Roman" w:eastAsia="Times New Roman"/>
          <w:b w:val="0"/>
          <w:sz w:val="24"/>
        </w:rPr>
        <w:t xml:space="preserve"> </w:t>
      </w:r>
      <m:oMath>
        <m:r>
          <m:t>C</m:t>
        </m:r>
        <m:r>
          <m:t>L</m:t>
        </m:r>
      </m:oMath>
      <w:r>
        <w:rPr>
          <w:rFonts w:ascii="Times New Roman" w:hAnsi="Times New Roman" w:eastAsia="Times New Roman"/>
          <w:b w:val="0"/>
          <w:sz w:val="24"/>
        </w:rPr>
        <w:t xml:space="preserve"> </w:t>
      </w:r>
      <w:r>
        <w:rPr>
          <w:rFonts w:ascii="Times New Roman" w:hAnsi="Times New Roman" w:eastAsia="Times New Roman"/>
          <w:b w:val="0"/>
          <w:sz w:val="24"/>
        </w:rPr>
        <w:t xml:space="preserve">current liabilities,</w:t>
      </w:r>
      <w:r>
        <w:rPr>
          <w:rFonts w:ascii="Times New Roman" w:hAnsi="Times New Roman" w:eastAsia="Times New Roman"/>
          <w:b w:val="0"/>
          <w:sz w:val="24"/>
        </w:rPr>
        <w:t xml:space="preserve"> </w:t>
      </w:r>
      <m:oMath>
        <m:r>
          <m:t>T</m:t>
        </m:r>
        <m:r>
          <m:t>A</m:t>
        </m:r>
      </m:oMath>
      <w:r>
        <w:rPr>
          <w:rFonts w:ascii="Times New Roman" w:hAnsi="Times New Roman" w:eastAsia="Times New Roman"/>
          <w:b w:val="0"/>
          <w:sz w:val="24"/>
        </w:rPr>
        <w:t xml:space="preserve"> </w:t>
      </w:r>
      <w:r>
        <w:rPr>
          <w:rFonts w:ascii="Times New Roman" w:hAnsi="Times New Roman" w:eastAsia="Times New Roman"/>
          <w:b w:val="0"/>
          <w:sz w:val="24"/>
        </w:rPr>
        <w:t xml:space="preserve">total assets,</w:t>
      </w:r>
      <w:r>
        <w:rPr>
          <w:rFonts w:ascii="Times New Roman" w:hAnsi="Times New Roman" w:eastAsia="Times New Roman"/>
          <w:b w:val="0"/>
          <w:sz w:val="24"/>
        </w:rPr>
        <w:t xml:space="preserve"> </w:t>
      </w:r>
      <m:oMath>
        <m:r>
          <m:t>L</m:t>
        </m:r>
      </m:oMath>
      <w:r>
        <w:rPr>
          <w:rFonts w:ascii="Times New Roman" w:hAnsi="Times New Roman" w:eastAsia="Times New Roman"/>
          <w:b w:val="0"/>
          <w:sz w:val="24"/>
        </w:rPr>
        <w:t xml:space="preserve"> </w:t>
      </w:r>
      <w:r>
        <w:rPr>
          <w:rFonts w:ascii="Times New Roman" w:hAnsi="Times New Roman" w:eastAsia="Times New Roman"/>
          <w:b w:val="0"/>
          <w:sz w:val="24"/>
        </w:rPr>
        <w:t xml:space="preserve">total liabilities,</w:t>
      </w:r>
      <w:r>
        <w:rPr>
          <w:rFonts w:ascii="Times New Roman" w:hAnsi="Times New Roman" w:eastAsia="Times New Roman"/>
          <w:b w:val="0"/>
          <w:sz w:val="24"/>
        </w:rPr>
        <w:t xml:space="preserve"> </w:t>
      </w:r>
      <m:oMath>
        <m:r>
          <m:t>C</m:t>
        </m:r>
        <m:r>
          <m:t>a</m:t>
        </m:r>
        <m:r>
          <m:t>s</m:t>
        </m:r>
        <m:r>
          <m:t>h</m:t>
        </m:r>
      </m:oMath>
      <w:r>
        <w:rPr>
          <w:rFonts w:ascii="Times New Roman" w:hAnsi="Times New Roman" w:eastAsia="Times New Roman"/>
          <w:b w:val="0"/>
          <w:sz w:val="24"/>
        </w:rPr>
        <w:t xml:space="preserve"> </w:t>
      </w:r>
      <w:r>
        <w:rPr>
          <w:rFonts w:ascii="Times New Roman" w:hAnsi="Times New Roman" w:eastAsia="Times New Roman"/>
          <w:b w:val="0"/>
          <w:sz w:val="24"/>
        </w:rPr>
        <w:t xml:space="preserve">cash and cash equivalents,</w:t>
      </w:r>
      <w:r>
        <w:rPr>
          <w:rFonts w:ascii="Times New Roman" w:hAnsi="Times New Roman" w:eastAsia="Times New Roman"/>
          <w:b w:val="0"/>
          <w:sz w:val="24"/>
        </w:rPr>
        <w:t xml:space="preserve"> </w:t>
      </w:r>
      <m:oMath>
        <m:r>
          <m:t>N</m:t>
        </m:r>
        <m:r>
          <m:t>I</m:t>
        </m:r>
      </m:oMath>
      <w:r>
        <w:rPr>
          <w:rFonts w:ascii="Times New Roman" w:hAnsi="Times New Roman" w:eastAsia="Times New Roman"/>
          <w:b w:val="0"/>
          <w:sz w:val="24"/>
        </w:rPr>
        <w:t xml:space="preserve"> </w:t>
      </w:r>
      <w:r>
        <w:rPr>
          <w:rFonts w:ascii="Times New Roman" w:hAnsi="Times New Roman" w:eastAsia="Times New Roman"/>
          <w:b w:val="0"/>
          <w:sz w:val="24"/>
        </w:rPr>
        <w:t xml:space="preserve">net income and</w:t>
      </w:r>
      <w:r>
        <w:rPr>
          <w:rFonts w:ascii="Times New Roman" w:hAnsi="Times New Roman" w:eastAsia="Times New Roman"/>
          <w:b w:val="0"/>
          <w:sz w:val="24"/>
        </w:rPr>
        <w:t xml:space="preserve"> </w:t>
      </w:r>
      <m:oMath>
        <m:r>
          <m:t>O</m:t>
        </m:r>
        <m:r>
          <m:t>C</m:t>
        </m:r>
        <m:r>
          <m:t>F</m:t>
        </m:r>
      </m:oMath>
      <w:r>
        <w:rPr>
          <w:rFonts w:ascii="Times New Roman" w:hAnsi="Times New Roman" w:eastAsia="Times New Roman"/>
          <w:b w:val="0"/>
          <w:sz w:val="24"/>
        </w:rPr>
        <w:t xml:space="preserve"> </w:t>
      </w:r>
      <w:r>
        <w:rPr>
          <w:rFonts w:ascii="Times New Roman" w:hAnsi="Times New Roman" w:eastAsia="Times New Roman"/>
          <w:b w:val="0"/>
          <w:sz w:val="24"/>
        </w:rPr>
        <w:t xml:space="preserve">operating cash flow. Values at</w:t>
      </w:r>
      <w:r>
        <w:rPr>
          <w:rFonts w:ascii="Times New Roman" w:hAnsi="Times New Roman" w:eastAsia="Times New Roman"/>
          <w:b w:val="0"/>
          <w:sz w:val="24"/>
        </w:rPr>
        <w:t xml:space="preserve"> </w:t>
      </w:r>
      <m:oMath>
        <m:r>
          <m:t>t</m:t>
        </m:r>
      </m:oMath>
      <w:r>
        <w:rPr>
          <w:rFonts w:ascii="Times New Roman" w:hAnsi="Times New Roman" w:eastAsia="Times New Roman"/>
          <w:b w:val="0"/>
          <w:sz w:val="24"/>
        </w:rPr>
        <w:t xml:space="preserve"> </w:t>
      </w:r>
      <w:r>
        <w:rPr>
          <w:rFonts w:ascii="Times New Roman" w:hAnsi="Times New Roman" w:eastAsia="Times New Roman"/>
          <w:b w:val="0"/>
          <w:sz w:val="24"/>
        </w:rPr>
        <w:t xml:space="preserve">are the latest known at the monthly decision date;</w:t>
      </w:r>
      <w:r>
        <w:rPr>
          <w:rFonts w:ascii="Times New Roman" w:hAnsi="Times New Roman" w:eastAsia="Times New Roman"/>
          <w:b w:val="0"/>
          <w:sz w:val="24"/>
        </w:rPr>
        <w:t xml:space="preserve"> </w:t>
      </w:r>
      <m:oMath>
        <m:r>
          <m:t>t</m:t>
        </m:r>
        <m:r>
          <m:rPr>
            <m:sty m:val="p"/>
          </m:rPr>
          <m:t>−</m:t>
        </m:r>
        <m:r>
          <m:t>12</m:t>
        </m:r>
      </m:oMath>
      <w:r>
        <w:rPr>
          <w:rFonts w:ascii="Times New Roman" w:hAnsi="Times New Roman" w:eastAsia="Times New Roman"/>
          <w:b w:val="0"/>
          <w:sz w:val="24"/>
        </w:rPr>
        <w:t xml:space="preserve"> </w:t>
      </w:r>
      <w:r>
        <w:rPr>
          <w:rFonts w:ascii="Times New Roman" w:hAnsi="Times New Roman" w:eastAsia="Times New Roman"/>
          <w:b w:val="0"/>
          <w:sz w:val="24"/>
        </w:rPr>
        <w:t xml:space="preserve">denotes the closest comparable balance about one year earlier; and</w:t>
      </w:r>
      <w:r>
        <w:rPr>
          <w:rFonts w:ascii="Times New Roman" w:hAnsi="Times New Roman" w:eastAsia="Times New Roman"/>
          <w:b w:val="0"/>
          <w:sz w:val="24"/>
        </w:rPr>
        <w:t xml:space="preserve"> </w:t>
      </w:r>
      <m:oMath>
        <m:r>
          <m:t>a</m:t>
        </m:r>
      </m:oMath>
      <w:r>
        <w:rPr>
          <w:rFonts w:ascii="Times New Roman" w:hAnsi="Times New Roman" w:eastAsia="Times New Roman"/>
          <w:b w:val="0"/>
          <w:sz w:val="24"/>
        </w:rPr>
        <w:t xml:space="preserve"> </w:t>
      </w:r>
      <w:r>
        <w:rPr>
          <w:rFonts w:ascii="Times New Roman" w:hAnsi="Times New Roman" w:eastAsia="Times New Roman"/>
          <w:b w:val="0"/>
          <w:sz w:val="24"/>
        </w:rPr>
        <w:t xml:space="preserve">denotes the latest complete annual period. Average assets and liabilities use the beginning and end of that period.</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Feature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Formula</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Interpretation and expected relationship with risk</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Current ratio</w:t>
            </w:r>
          </w:p>
        </w:tc>
        <w:tc>
          <w:tcPr>
            <w:tcW w:type="dxa" w:w="2987"/>
            <w:vAlign w:val="center"/>
            <w:tcMar>
              <w:top w:w="60" w:type="dxa"/>
              <w:start w:w="70" w:type="dxa"/>
              <w:bottom w:w="60" w:type="dxa"/>
              <w:end w:w="70" w:type="dxa"/>
            </w:tcMar>
          </w:tcPr>
          <w:p>
            <w:pPr>
              <w:pStyle w:val="TableParagraph"/>
              <w:spacing w:line="240" w:lineRule="auto" w:before="0" w:after="0"/>
              <w:jc w:val="left"/>
            </w:pPr>
            <m:oMath>
              <m:r>
                <m:t>C</m:t>
              </m:r>
              <m:sSub>
                <m:e>
                  <m:r>
                    <m:t>A</m:t>
                  </m:r>
                </m:e>
                <m:sub>
                  <m:r>
                    <m:t>t</m:t>
                  </m:r>
                </m:sub>
              </m:sSub>
              <m:r>
                <m:rPr>
                  <m:sty m:val="p"/>
                </m:rPr>
                <m:t>/</m:t>
              </m:r>
              <m:r>
                <m:t>C</m:t>
              </m:r>
              <m:sSub>
                <m:e>
                  <m:r>
                    <m:t>L</m:t>
                  </m:r>
                </m:e>
                <m:sub>
                  <m:r>
                    <m:t>t</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Short-term resources relative to obligations; lower values can indicate payment pressure, although inventory and receivable quality matter.</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Cash to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r>
                <m:t>C</m:t>
              </m:r>
              <m:r>
                <m:t>a</m:t>
              </m:r>
              <m:r>
                <m:t>s</m:t>
              </m:r>
              <m:sSub>
                <m:e>
                  <m:r>
                    <m:t>h</m:t>
                  </m:r>
                </m:e>
                <m:sub>
                  <m:r>
                    <m:t>t</m:t>
                  </m:r>
                </m:sub>
              </m:sSub>
              <m:r>
                <m:rPr>
                  <m:sty m:val="p"/>
                </m:rPr>
                <m:t>/</m:t>
              </m:r>
              <m:r>
                <m:t>T</m:t>
              </m:r>
              <m:sSub>
                <m:e>
                  <m:r>
                    <m:t>A</m:t>
                  </m:r>
                </m:e>
                <m:sub>
                  <m:r>
                    <m:t>t</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Immediate liquidity buffer; higher values generally suggest lower risk unless cash is restricted or operationally necessary.</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Liabilities to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sSub>
                <m:e>
                  <m:r>
                    <m:t>L</m:t>
                  </m:r>
                </m:e>
                <m:sub>
                  <m:r>
                    <m:t>t</m:t>
                  </m:r>
                </m:sub>
              </m:sSub>
              <m:r>
                <m:rPr>
                  <m:sty m:val="p"/>
                </m:rPr>
                <m:t>/</m:t>
              </m:r>
              <m:r>
                <m:t>T</m:t>
              </m:r>
              <m:sSub>
                <m:e>
                  <m:r>
                    <m:t>A</m:t>
                  </m:r>
                </m:e>
                <m:sub>
                  <m:r>
                    <m:t>t</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Overall obligations and equity buffer; higher values generally suggest greater risk, subject to industry differences.</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Asset growth, 12 months</w:t>
            </w:r>
          </w:p>
        </w:tc>
        <w:tc>
          <w:tcPr>
            <w:tcW w:type="dxa" w:w="2987"/>
            <w:vAlign w:val="center"/>
            <w:tcMar>
              <w:top w:w="60" w:type="dxa"/>
              <w:start w:w="70" w:type="dxa"/>
              <w:bottom w:w="60" w:type="dxa"/>
              <w:end w:w="70" w:type="dxa"/>
            </w:tcMar>
          </w:tcPr>
          <w:p>
            <w:pPr>
              <w:pStyle w:val="TableParagraph"/>
              <w:spacing w:line="240" w:lineRule="auto" w:before="0" w:after="0"/>
              <w:jc w:val="left"/>
            </w:pPr>
            <m:oMath>
              <m:r>
                <m:rPr>
                  <m:sty m:val="p"/>
                </m:rPr>
                <m:t>(</m:t>
              </m:r>
              <m:r>
                <m:t>T</m:t>
              </m:r>
              <m:sSub>
                <m:e>
                  <m:r>
                    <m:t>A</m:t>
                  </m:r>
                </m:e>
                <m:sub>
                  <m:r>
                    <m:t>t</m:t>
                  </m:r>
                </m:sub>
              </m:sSub>
              <m:r>
                <m:rPr>
                  <m:sty m:val="p"/>
                </m:rPr>
                <m:t>−</m:t>
              </m:r>
              <m:r>
                <m:t>T</m:t>
              </m:r>
              <m:sSub>
                <m:e>
                  <m:r>
                    <m:t>A</m:t>
                  </m:r>
                </m:e>
                <m:sub>
                  <m:r>
                    <m:t>t</m:t>
                  </m:r>
                  <m:r>
                    <m:rPr>
                      <m:sty m:val="p"/>
                    </m:rPr>
                    <m:t>−</m:t>
                  </m:r>
                  <m:r>
                    <m:t>12</m:t>
                  </m:r>
                </m:sub>
              </m:sSub>
              <m:r>
                <m:rPr>
                  <m:sty m:val="p"/>
                </m:rPr>
                <m:t>)</m:t>
              </m:r>
              <m:r>
                <m:rPr>
                  <m:sty m:val="p"/>
                </m:rPr>
                <m:t>/</m:t>
              </m:r>
              <m:r>
                <m:t>T</m:t>
              </m:r>
              <m:sSub>
                <m:e>
                  <m:r>
                    <m:t>A</m:t>
                  </m:r>
                </m:e>
                <m:sub>
                  <m:r>
                    <m:t>t</m:t>
                  </m:r>
                  <m:r>
                    <m:rPr>
                      <m:sty m:val="p"/>
                    </m:rPr>
                    <m:t>−</m:t>
                  </m:r>
                  <m:r>
                    <m:t>12</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Captures expansion, contraction, acquisitions or asset sales. Either rapid growth or contraction can be adverse, so no single direction is assumed.</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Change in liabilities to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sSub>
                <m:e>
                  <m:r>
                    <m:t>L</m:t>
                  </m:r>
                </m:e>
                <m:sub>
                  <m:r>
                    <m:t>t</m:t>
                  </m:r>
                </m:sub>
              </m:sSub>
              <m:r>
                <m:rPr>
                  <m:sty m:val="p"/>
                </m:rPr>
                <m:t>/</m:t>
              </m:r>
              <m:r>
                <m:t>T</m:t>
              </m:r>
              <m:sSub>
                <m:e>
                  <m:r>
                    <m:t>A</m:t>
                  </m:r>
                </m:e>
                <m:sub>
                  <m:r>
                    <m:t>t</m:t>
                  </m:r>
                </m:sub>
              </m:sSub>
              <m:r>
                <m:rPr>
                  <m:sty m:val="p"/>
                </m:rPr>
                <m:t>−</m:t>
              </m:r>
              <m:sSub>
                <m:e>
                  <m:r>
                    <m:t>L</m:t>
                  </m:r>
                </m:e>
                <m:sub>
                  <m:r>
                    <m:t>t</m:t>
                  </m:r>
                  <m:r>
                    <m:rPr>
                      <m:sty m:val="p"/>
                    </m:rPr>
                    <m:t>−</m:t>
                  </m:r>
                  <m:r>
                    <m:t>12</m:t>
                  </m:r>
                </m:sub>
              </m:sSub>
              <m:r>
                <m:rPr>
                  <m:sty m:val="p"/>
                </m:rPr>
                <m:t>/</m:t>
              </m:r>
              <m:r>
                <m:t>T</m:t>
              </m:r>
              <m:sSub>
                <m:e>
                  <m:r>
                    <m:t>A</m:t>
                  </m:r>
                </m:e>
                <m:sub>
                  <m:r>
                    <m:t>t</m:t>
                  </m:r>
                  <m:r>
                    <m:rPr>
                      <m:sty m:val="p"/>
                    </m:rPr>
                    <m:t>−</m:t>
                  </m:r>
                  <m:r>
                    <m:t>12</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Measures the change in leverage; an increase generally suggests higher risk.</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Working capital to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r>
                <m:rPr>
                  <m:sty m:val="p"/>
                </m:rPr>
                <m:t>(</m:t>
              </m:r>
              <m:r>
                <m:t>C</m:t>
              </m:r>
              <m:sSub>
                <m:e>
                  <m:r>
                    <m:t>A</m:t>
                  </m:r>
                </m:e>
                <m:sub>
                  <m:r>
                    <m:t>t</m:t>
                  </m:r>
                </m:sub>
              </m:sSub>
              <m:r>
                <m:rPr>
                  <m:sty m:val="p"/>
                </m:rPr>
                <m:t>−</m:t>
              </m:r>
              <m:r>
                <m:t>C</m:t>
              </m:r>
              <m:sSub>
                <m:e>
                  <m:r>
                    <m:t>L</m:t>
                  </m:r>
                </m:e>
                <m:sub>
                  <m:r>
                    <m:t>t</m:t>
                  </m:r>
                </m:sub>
              </m:sSub>
              <m:r>
                <m:rPr>
                  <m:sty m:val="p"/>
                </m:rPr>
                <m:t>)</m:t>
              </m:r>
              <m:r>
                <m:rPr>
                  <m:sty m:val="p"/>
                </m:rPr>
                <m:t>/</m:t>
              </m:r>
              <m:r>
                <m:t>T</m:t>
              </m:r>
              <m:sSub>
                <m:e>
                  <m:r>
                    <m:t>A</m:t>
                  </m:r>
                </m:e>
                <m:sub>
                  <m:r>
                    <m:t>t</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Short-term surplus or shortage relative to company size; larger positive values generally suggest lower risk.</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Return on average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r>
                <m:t>N</m:t>
              </m:r>
              <m:sSub>
                <m:e>
                  <m:r>
                    <m:t>I</m:t>
                  </m:r>
                </m:e>
                <m:sub>
                  <m:r>
                    <m:t>a</m:t>
                  </m:r>
                </m:sub>
              </m:sSub>
              <m:r>
                <m:rPr>
                  <m:sty m:val="p"/>
                </m:rPr>
                <m:t>/</m:t>
              </m:r>
              <m:sSub>
                <m:e>
                  <m:bar>
                    <m:barPr>
                      <m:pos m:val="top"/>
                    </m:barPr>
                    <m:e>
                      <m:r>
                        <m:t>T</m:t>
                      </m:r>
                      <m:r>
                        <m:t>A</m:t>
                      </m:r>
                    </m:e>
                  </m:bar>
                </m:e>
                <m:sub>
                  <m:r>
                    <m:t>a</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Accounting profitability; low or negative returns generally suggest higher risk, but profit need not imply cash generation.</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Operating cash flow to average assets</w:t>
            </w:r>
          </w:p>
        </w:tc>
        <w:tc>
          <w:tcPr>
            <w:tcW w:type="dxa" w:w="2987"/>
            <w:vAlign w:val="center"/>
            <w:tcMar>
              <w:top w:w="60" w:type="dxa"/>
              <w:start w:w="70" w:type="dxa"/>
              <w:bottom w:w="60" w:type="dxa"/>
              <w:end w:w="70" w:type="dxa"/>
            </w:tcMar>
          </w:tcPr>
          <w:p>
            <w:pPr>
              <w:pStyle w:val="TableParagraph"/>
              <w:spacing w:line="240" w:lineRule="auto" w:before="0" w:after="0"/>
              <w:jc w:val="left"/>
            </w:pPr>
            <m:oMath>
              <m:r>
                <m:t>O</m:t>
              </m:r>
              <m:r>
                <m:t>C</m:t>
              </m:r>
              <m:sSub>
                <m:e>
                  <m:r>
                    <m:t>F</m:t>
                  </m:r>
                </m:e>
                <m:sub>
                  <m:r>
                    <m:t>a</m:t>
                  </m:r>
                </m:sub>
              </m:sSub>
              <m:r>
                <m:rPr>
                  <m:sty m:val="p"/>
                </m:rPr>
                <m:t>/</m:t>
              </m:r>
              <m:sSub>
                <m:e>
                  <m:bar>
                    <m:barPr>
                      <m:pos m:val="top"/>
                    </m:barPr>
                    <m:e>
                      <m:r>
                        <m:t>T</m:t>
                      </m:r>
                      <m:r>
                        <m:t>A</m:t>
                      </m:r>
                    </m:e>
                  </m:bar>
                </m:e>
                <m:sub>
                  <m:r>
                    <m:t>a</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Operating cash generation relative to assets; low or negative values can indicate cash pressure.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Operating cash flow to average liabilities</w:t>
            </w:r>
          </w:p>
        </w:tc>
        <w:tc>
          <w:tcPr>
            <w:tcW w:type="dxa" w:w="2987"/>
            <w:vAlign w:val="center"/>
            <w:tcMar>
              <w:top w:w="60" w:type="dxa"/>
              <w:start w:w="70" w:type="dxa"/>
              <w:bottom w:w="60" w:type="dxa"/>
              <w:end w:w="70" w:type="dxa"/>
            </w:tcMar>
          </w:tcPr>
          <w:p>
            <w:pPr>
              <w:pStyle w:val="TableParagraph"/>
              <w:spacing w:line="240" w:lineRule="auto" w:before="0" w:after="0"/>
              <w:jc w:val="left"/>
            </w:pPr>
            <m:oMath>
              <m:r>
                <m:t>O</m:t>
              </m:r>
              <m:r>
                <m:t>C</m:t>
              </m:r>
              <m:sSub>
                <m:e>
                  <m:r>
                    <m:t>F</m:t>
                  </m:r>
                </m:e>
                <m:sub>
                  <m:r>
                    <m:t>a</m:t>
                  </m:r>
                </m:sub>
              </m:sSub>
              <m:r>
                <m:rPr>
                  <m:sty m:val="p"/>
                </m:rPr>
                <m:t>/</m:t>
              </m:r>
              <m:sSub>
                <m:e>
                  <m:bar>
                    <m:barPr>
                      <m:pos m:val="top"/>
                    </m:barPr>
                    <m:e>
                      <m:r>
                        <m:t>L</m:t>
                      </m:r>
                    </m:e>
                  </m:bar>
                </m:e>
                <m:sub>
                  <m:r>
                    <m:t>a</m:t>
                  </m:r>
                </m:sub>
              </m:sSub>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Cash generation relative to obligations; this is not debt-service coverage because scheduled principal and interest are unavailable.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Negative income</w:t>
            </w:r>
          </w:p>
        </w:tc>
        <w:tc>
          <w:tcPr>
            <w:tcW w:type="dxa" w:w="2987"/>
            <w:vAlign w:val="center"/>
            <w:tcMar>
              <w:top w:w="60" w:type="dxa"/>
              <w:start w:w="70" w:type="dxa"/>
              <w:bottom w:w="60" w:type="dxa"/>
              <w:end w:w="70" w:type="dxa"/>
            </w:tcMar>
          </w:tcPr>
          <w:p>
            <w:pPr>
              <w:pStyle w:val="TableParagraph"/>
              <w:spacing w:line="240" w:lineRule="auto" w:before="0" w:after="0"/>
              <w:jc w:val="left"/>
            </w:pPr>
            <m:oMath>
              <m:r>
                <m:rPr>
                  <m:scr m:val="double-struck"/>
                  <m:sty m:val="p"/>
                </m:rPr>
                <m:t>1</m:t>
              </m:r>
              <m:r>
                <m:rPr>
                  <m:sty m:val="p"/>
                </m:rPr>
                <m:t>(</m:t>
              </m:r>
              <m:r>
                <m:t>N</m:t>
              </m:r>
              <m:sSub>
                <m:e>
                  <m:r>
                    <m:t>I</m:t>
                  </m:r>
                </m:e>
                <m:sub>
                  <m:r>
                    <m:t>a</m:t>
                  </m:r>
                </m:sub>
              </m:sSub>
              <m:r>
                <m:rPr>
                  <m:sty m:val="p"/>
                </m:rPr>
                <m:t>&lt;</m:t>
              </m:r>
              <m:r>
                <m:t>0</m:t>
              </m:r>
              <m:r>
                <m:rPr>
                  <m:sty m:val="p"/>
                </m:rPr>
                <m:t>)</m:t>
              </m:r>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Captures the loss threshold separately from return on assets; a value of one generally suggests higher risk.</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Negative operating cash flow</w:t>
            </w:r>
          </w:p>
        </w:tc>
        <w:tc>
          <w:tcPr>
            <w:tcW w:type="dxa" w:w="2987"/>
            <w:vAlign w:val="center"/>
            <w:tcMar>
              <w:top w:w="60" w:type="dxa"/>
              <w:start w:w="70" w:type="dxa"/>
              <w:bottom w:w="60" w:type="dxa"/>
              <w:end w:w="70" w:type="dxa"/>
            </w:tcMar>
          </w:tcPr>
          <w:p>
            <w:pPr>
              <w:pStyle w:val="TableParagraph"/>
              <w:spacing w:line="240" w:lineRule="auto" w:before="0" w:after="0"/>
              <w:jc w:val="left"/>
            </w:pPr>
            <m:oMath>
              <m:r>
                <m:rPr>
                  <m:scr m:val="double-struck"/>
                  <m:sty m:val="p"/>
                </m:rPr>
                <m:t>1</m:t>
              </m:r>
              <m:r>
                <m:rPr>
                  <m:sty m:val="p"/>
                </m:rPr>
                <m:t>(</m:t>
              </m:r>
              <m:r>
                <m:t>O</m:t>
              </m:r>
              <m:r>
                <m:t>C</m:t>
              </m:r>
              <m:sSub>
                <m:e>
                  <m:r>
                    <m:t>F</m:t>
                  </m:r>
                </m:e>
                <m:sub>
                  <m:r>
                    <m:t>a</m:t>
                  </m:r>
                </m:sub>
              </m:sSub>
              <m:r>
                <m:rPr>
                  <m:sty m:val="p"/>
                </m:rPr>
                <m:t>&lt;</m:t>
              </m:r>
              <m:r>
                <m:t>0</m:t>
              </m:r>
              <m:r>
                <m:rPr>
                  <m:sty m:val="p"/>
                </m:rPr>
                <m:t>)</m:t>
              </m:r>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Identifies operations that consume cash, while allowing that one negative year may reflect temporary working-capital investment.</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Log assets</w:t>
            </w:r>
          </w:p>
        </w:tc>
        <w:tc>
          <w:tcPr>
            <w:tcW w:type="dxa" w:w="2987"/>
            <w:vAlign w:val="center"/>
            <w:tcMar>
              <w:top w:w="60" w:type="dxa"/>
              <w:start w:w="70" w:type="dxa"/>
              <w:bottom w:w="60" w:type="dxa"/>
              <w:end w:w="70" w:type="dxa"/>
            </w:tcMar>
          </w:tcPr>
          <w:p>
            <w:pPr>
              <w:pStyle w:val="TableParagraph"/>
              <w:keepNext/>
              <w:spacing w:line="240" w:lineRule="auto" w:before="0" w:after="0"/>
              <w:jc w:val="left"/>
            </w:pPr>
            <m:oMath>
              <m:r>
                <m:rPr>
                  <m:sty m:val="p"/>
                </m:rPr>
                <m:t>ln</m:t>
              </m:r>
              <m:r>
                <m:rPr>
                  <m:sty m:val="p"/>
                </m:rPr>
                <m:t>(</m:t>
              </m:r>
              <m:r>
                <m:t>T</m:t>
              </m:r>
              <m:sSub>
                <m:e>
                  <m:r>
                    <m:t>A</m:t>
                  </m:r>
                </m:e>
                <m:sub>
                  <m:r>
                    <m:t>t</m:t>
                  </m:r>
                </m:sub>
              </m:sSub>
              <m:r>
                <m:rPr>
                  <m:sty m:val="p"/>
                </m:rPr>
                <m:t>)</m:t>
              </m:r>
            </m:oMath>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Controls for company size on a compressed scale; larger firms may have diversification and funding advantages, but are not necessarily safer.</w:t>
            </w:r>
          </w:p>
        </w:tc>
      </w:tr>
    </w:tbl>
    <w:p>
      <w:pPr>
        <w:pStyle w:val="Caption"/>
        <w:spacing w:line="240" w:lineRule="auto"/>
        <w:jc w:val="center"/>
      </w:pPr>
      <w:r>
        <w:rPr>
          <w:rFonts w:ascii="Times New Roman" w:hAnsi="Times New Roman" w:eastAsia="Times New Roman"/>
          <w:i/>
          <w:iCs/>
          <w:sz w:val="24"/>
        </w:rPr>
        <w:t xml:space="preserve">Table 4. Accounting predictors, definitions and expected relationships with risk.</w:t>
      </w:r>
    </w:p>
    <w:p>
      <w:pPr>
        <w:pStyle w:val="BodyText"/>
        <w:spacing w:before="0" w:after="200" w:line="276" w:lineRule="auto"/>
        <w:jc w:val="both"/>
      </w:pPr>
      <w:r>
        <w:rPr>
          <w:rFonts w:ascii="Times New Roman" w:hAnsi="Times New Roman" w:eastAsia="Times New Roman"/>
          <w:b w:val="0"/>
          <w:sz w:val="24"/>
        </w:rPr>
        <w:t xml:space="preserve">These expected relationships are economic priors rather than causal claims. Models determine whether the features are useful in the study data and can capture combinations that differ from the expected direction.</w:t>
      </w:r>
    </w:p>
    <w:p>
      <w:pPr>
        <w:pStyle w:val="BodyText"/>
        <w:spacing w:before="0" w:after="200" w:line="276" w:lineRule="auto"/>
        <w:jc w:val="both"/>
      </w:pPr>
      <w:r>
        <w:rPr>
          <w:rFonts w:ascii="Times New Roman" w:hAnsi="Times New Roman" w:eastAsia="Times New Roman"/>
          <w:b w:val="0"/>
          <w:sz w:val="24"/>
        </w:rPr>
        <w:t xml:space="preserve">All ratio components are matched to compatible reporting dates and periods. Balance-sheet values refer to the same date, annual flows cover the same period, and change features use the closest comparable balance about one year earlier. Quarterly cumulative values are not added and missing amounts are not treated as zero.</w:t>
      </w:r>
    </w:p>
    <w:p>
      <w:pPr>
        <w:pStyle w:val="BodyText"/>
        <w:spacing w:before="0" w:after="200" w:line="276" w:lineRule="auto"/>
        <w:jc w:val="both"/>
      </w:pPr>
      <w:r>
        <w:rPr>
          <w:rFonts w:ascii="Times New Roman" w:hAnsi="Times New Roman" w:eastAsia="Times New Roman"/>
          <w:b w:val="0"/>
          <w:sz w:val="24"/>
        </w:rPr>
        <w:t xml:space="preserve">Interest coverage is not included because the available SEC tags could not support a sufficiently reliable and consistent calculation. Industry and reporting age are retained for auditing but are not model features.</w:t>
      </w:r>
    </w:p>
    <w:p>
      <w:pPr>
        <w:pStyle w:val="Heading2"/>
      </w:pPr>
      <w:bookmarkStart w:id="117" w:name="_6af82f4e55e03b11700e9e97db6be662f292ee7"/>
      <w:r>
        <w:rPr>
          <w:rFonts w:ascii="Times New Roman" w:hAnsi="Times New Roman" w:eastAsia="Times New Roman"/>
          <w:b/>
          <w:sz w:val="26"/>
        </w:rPr>
        <w:t xml:space="preserve">3.5 Data Quality and Preprocessing</w:t>
      </w:r>
      <w:bookmarkEnd w:id="117"/>
    </w:p>
    <w:p>
      <w:pPr>
        <w:pStyle w:val="FirstParagraph"/>
        <w:spacing w:before="0" w:after="200" w:line="276" w:lineRule="auto"/>
        <w:jc w:val="both"/>
      </w:pPr>
      <w:r>
        <w:rPr>
          <w:rFonts w:ascii="Times New Roman" w:hAnsi="Times New Roman" w:eastAsia="Times New Roman"/>
          <w:b w:val="0"/>
          <w:sz w:val="24"/>
        </w:rPr>
        <w:t xml:space="preserve">SEC filings do not provide every accounting value for every company and period. The study therefore applies clear rules for deciding which monthly observations can be used and how missing feature values are handled.</w:t>
      </w:r>
    </w:p>
    <w:p>
      <w:pPr>
        <w:pStyle w:val="Heading3"/>
      </w:pPr>
      <w:bookmarkStart w:id="118" w:name="_0d7087ead0f4de27cc12fe0c092bdd66f15e9ec"/>
      <w:r>
        <w:rPr>
          <w:rFonts w:ascii="Times New Roman" w:hAnsi="Times New Roman" w:eastAsia="Times New Roman"/>
          <w:b/>
          <w:sz w:val="24"/>
        </w:rPr>
        <w:t xml:space="preserve">3.5.1 Which Company-Months Are Included</w:t>
      </w:r>
      <w:bookmarkEnd w:id="118"/>
    </w:p>
    <w:p>
      <w:pPr>
        <w:pStyle w:val="FirstParagraph"/>
        <w:spacing w:before="0" w:after="200" w:line="276" w:lineRule="auto"/>
        <w:jc w:val="both"/>
      </w:pPr>
      <w:r>
        <w:rPr>
          <w:rFonts w:ascii="Times New Roman" w:hAnsi="Times New Roman" w:eastAsia="Times New Roman"/>
          <w:b w:val="0"/>
          <w:sz w:val="24"/>
        </w:rPr>
        <w:t xml:space="preserve">A company-month enters the labeled dataset only when:</w:t>
      </w:r>
    </w:p>
    <w:p>
      <w:pPr>
        <w:pStyle w:val="Compact"/>
        <w:numPr>
          <w:ilvl w:val="0"/>
          <w:numId w:val="1002"/>
        </w:numPr>
        <w:spacing w:before="0" w:after="200" w:line="276" w:lineRule="auto"/>
        <w:jc w:val="left"/>
      </w:pPr>
      <w:r>
        <w:rPr>
          <w:rFonts w:ascii="Times New Roman" w:hAnsi="Times New Roman" w:eastAsia="Times New Roman"/>
          <w:b w:val="0"/>
          <w:sz w:val="24"/>
        </w:rPr>
        <w:t xml:space="preserve">the company is still within its observed SEC reporting history;</w:t>
      </w:r>
    </w:p>
    <w:p>
      <w:pPr>
        <w:pStyle w:val="Compact"/>
        <w:numPr>
          <w:ilvl w:val="0"/>
          <w:numId w:val="1002"/>
        </w:numPr>
        <w:spacing w:before="0" w:after="200" w:line="276" w:lineRule="auto"/>
        <w:jc w:val="left"/>
      </w:pPr>
      <w:r>
        <w:rPr>
          <w:rFonts w:ascii="Times New Roman" w:hAnsi="Times New Roman" w:eastAsia="Times New Roman"/>
          <w:b w:val="0"/>
          <w:sz w:val="24"/>
        </w:rPr>
        <w:t xml:space="preserve">total assets are available and greater than zero;</w:t>
      </w:r>
    </w:p>
    <w:p>
      <w:pPr>
        <w:pStyle w:val="Compact"/>
        <w:numPr>
          <w:ilvl w:val="0"/>
          <w:numId w:val="1002"/>
        </w:numPr>
        <w:spacing w:before="0" w:after="200" w:line="276" w:lineRule="auto"/>
        <w:jc w:val="left"/>
      </w:pPr>
      <w:r>
        <w:rPr>
          <w:rFonts w:ascii="Times New Roman" w:hAnsi="Times New Roman" w:eastAsia="Times New Roman"/>
          <w:b w:val="0"/>
          <w:sz w:val="24"/>
        </w:rPr>
        <w:t xml:space="preserve">annual operating cash flow is available;</w:t>
      </w:r>
    </w:p>
    <w:p>
      <w:pPr>
        <w:pStyle w:val="Compact"/>
        <w:numPr>
          <w:ilvl w:val="0"/>
          <w:numId w:val="1002"/>
        </w:numPr>
        <w:spacing w:before="0" w:after="200" w:line="276" w:lineRule="auto"/>
        <w:jc w:val="left"/>
      </w:pPr>
      <w:r>
        <w:rPr>
          <w:rFonts w:ascii="Times New Roman" w:hAnsi="Times New Roman" w:eastAsia="Times New Roman"/>
          <w:b w:val="0"/>
          <w:sz w:val="24"/>
        </w:rPr>
        <w:t xml:space="preserve">the latest balance sheet is no more than 180 days old;</w:t>
      </w:r>
    </w:p>
    <w:p>
      <w:pPr>
        <w:pStyle w:val="Compact"/>
        <w:numPr>
          <w:ilvl w:val="0"/>
          <w:numId w:val="1002"/>
        </w:numPr>
        <w:spacing w:before="0" w:after="200" w:line="276" w:lineRule="auto"/>
        <w:jc w:val="left"/>
      </w:pPr>
      <w:r>
        <w:rPr>
          <w:rFonts w:ascii="Times New Roman" w:hAnsi="Times New Roman" w:eastAsia="Times New Roman"/>
          <w:b w:val="0"/>
          <w:sz w:val="24"/>
        </w:rPr>
        <w:t xml:space="preserve">the latest annual cash-flow period ended no more than 540 days earlier; and</w:t>
      </w:r>
    </w:p>
    <w:p>
      <w:pPr>
        <w:pStyle w:val="Compact"/>
        <w:numPr>
          <w:ilvl w:val="0"/>
          <w:numId w:val="1002"/>
        </w:numPr>
        <w:spacing w:before="0" w:after="200" w:line="276" w:lineRule="auto"/>
        <w:jc w:val="left"/>
      </w:pPr>
      <w:r>
        <w:rPr>
          <w:rFonts w:ascii="Times New Roman" w:hAnsi="Times New Roman" w:eastAsia="Times New Roman"/>
          <w:b w:val="0"/>
          <w:sz w:val="24"/>
        </w:rPr>
        <w:t xml:space="preserve">the 60-day outcome can be determined using the rules in Section 3.3.</w:t>
      </w:r>
    </w:p>
    <w:p>
      <w:pPr>
        <w:pStyle w:val="FirstParagraph"/>
        <w:spacing w:before="0" w:after="200" w:line="276" w:lineRule="auto"/>
        <w:jc w:val="both"/>
      </w:pPr>
      <w:r>
        <w:rPr>
          <w:rFonts w:ascii="Times New Roman" w:hAnsi="Times New Roman" w:eastAsia="Times New Roman"/>
          <w:b w:val="0"/>
          <w:sz w:val="24"/>
        </w:rPr>
        <w:t xml:space="preserve">These age limits prevent the model from relying on financial statements that are too old. Whether information was public at the decision date is determined from its filing date, as explained in Section 3.2.</w:t>
      </w:r>
    </w:p>
    <w:p>
      <w:pPr>
        <w:pStyle w:val="BodyText"/>
        <w:spacing w:before="0" w:after="200" w:line="276" w:lineRule="auto"/>
        <w:jc w:val="both"/>
      </w:pPr>
      <w:r>
        <w:rPr>
          <w:rFonts w:ascii="Times New Roman" w:hAnsi="Times New Roman" w:eastAsia="Times New Roman"/>
          <w:b w:val="0"/>
          <w:sz w:val="24"/>
        </w:rPr>
        <w:t xml:space="preserve">The filters reduce the initial monthly grid as follows. They are applied in order, so every removed observation appears in only one row.</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Filter</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Rows removed</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Rows remaining</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Initial company-month grid</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1,958,220</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Remove months outside each company’s observed reporting history</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1,014,086</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944,134</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Remove months without usable and sufficiently recent required financial data</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332,429</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611,705</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Remove months whose 60-day outcome cannot be labeled reliably</w:t>
            </w:r>
          </w:p>
        </w:tc>
        <w:tc>
          <w:tcPr>
            <w:tcW w:type="dxa" w:w="298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46,483</w:t>
            </w:r>
          </w:p>
        </w:tc>
        <w:tc>
          <w:tcPr>
            <w:tcW w:type="dxa" w:w="2636"/>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565,222</w:t>
            </w:r>
          </w:p>
        </w:tc>
      </w:tr>
    </w:tbl>
    <w:p>
      <w:pPr>
        <w:pStyle w:val="Caption"/>
        <w:spacing w:line="240" w:lineRule="auto"/>
        <w:jc w:val="center"/>
      </w:pPr>
      <w:r>
        <w:rPr>
          <w:rFonts w:ascii="Times New Roman" w:hAnsi="Times New Roman" w:eastAsia="Times New Roman"/>
          <w:i/>
          <w:iCs/>
          <w:sz w:val="24"/>
        </w:rPr>
        <w:t xml:space="preserve">Table 5. Sequential company-month filtering.</w:t>
      </w:r>
    </w:p>
    <w:p>
      <w:pPr>
        <w:pStyle w:val="BodyText"/>
        <w:spacing w:before="0" w:after="200" w:line="276" w:lineRule="auto"/>
        <w:jc w:val="both"/>
      </w:pPr>
      <w:r>
        <w:rPr>
          <w:rFonts w:ascii="Times New Roman" w:hAnsi="Times New Roman" w:eastAsia="Times New Roman"/>
          <w:b w:val="0"/>
          <w:i/>
          <w:iCs/>
          <w:sz w:val="24"/>
        </w:rPr>
        <w:t xml:space="preserve">Source: primary model experiment panel audit. These counts are calculated before the later time-based filtering described in Chapter 4.</w:t>
      </w:r>
    </w:p>
    <w:p>
      <w:pPr>
        <w:pStyle w:val="Heading3"/>
      </w:pPr>
      <w:bookmarkStart w:id="119" w:name="_b906e5130a9e38b39b0ed309ba77e57e5e7f3bc"/>
      <w:r>
        <w:rPr>
          <w:rFonts w:ascii="Times New Roman" w:hAnsi="Times New Roman" w:eastAsia="Times New Roman"/>
          <w:b/>
          <w:sz w:val="24"/>
        </w:rPr>
        <w:t xml:space="preserve">3.5.2 Missing Feature Values</w:t>
      </w:r>
      <w:bookmarkEnd w:id="119"/>
    </w:p>
    <w:p>
      <w:pPr>
        <w:pStyle w:val="FirstParagraph"/>
        <w:spacing w:before="0" w:after="200" w:line="276" w:lineRule="auto"/>
        <w:jc w:val="both"/>
      </w:pPr>
      <w:r>
        <w:rPr>
          <w:rFonts w:ascii="Times New Roman" w:hAnsi="Times New Roman" w:eastAsia="Times New Roman"/>
          <w:b w:val="0"/>
          <w:sz w:val="24"/>
        </w:rPr>
        <w:t xml:space="preserve">An included company-month does not need to have all twelve model features. For example, assets and annual operating cash flow may be available while liabilities or a comparable balance from the previous year are missing. A ratio is also missing when its denominator is zero or negative.</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Feature</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Missing rows</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Share of 565,222 labeled rows</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Current ratio</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27,431</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4.85%</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Cash to assets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51,043</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9.03%</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Liabilities to assets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52,646</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9.31%</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Asset growth, 12 months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26,304</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4.65%</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Leverage change, 12 months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87,963</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15.56%</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Working capital to assets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27,296</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4.83%</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Return on average assets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27,207</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4.81%</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Operating cash flow to average assets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5,515</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0.98%</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Operating cash flow to average liabilities</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59,801</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10.58%</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Negative income</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22,284</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3.94%</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Negative operating cash flow</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Log assets</w:t>
            </w:r>
          </w:p>
        </w:tc>
        <w:tc>
          <w:tcPr>
            <w:tcW w:type="dxa" w:w="298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w:t>
            </w:r>
          </w:p>
        </w:tc>
        <w:tc>
          <w:tcPr>
            <w:tcW w:type="dxa" w:w="2636"/>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0.00%</w:t>
            </w:r>
          </w:p>
        </w:tc>
      </w:tr>
    </w:tbl>
    <w:p>
      <w:pPr>
        <w:pStyle w:val="Caption"/>
        <w:spacing w:line="240" w:lineRule="auto"/>
        <w:jc w:val="center"/>
      </w:pPr>
      <w:r>
        <w:rPr>
          <w:rFonts w:ascii="Times New Roman" w:hAnsi="Times New Roman" w:eastAsia="Times New Roman"/>
          <w:i/>
          <w:iCs/>
          <w:sz w:val="24"/>
        </w:rPr>
        <w:t xml:space="preserve">Table 6. Missing values among the twelve model features.</w:t>
      </w:r>
    </w:p>
    <w:p>
      <w:pPr>
        <w:pStyle w:val="BodyText"/>
        <w:spacing w:before="0" w:after="200" w:line="276" w:lineRule="auto"/>
        <w:jc w:val="both"/>
      </w:pPr>
      <w:r>
        <w:rPr>
          <w:rFonts w:ascii="Times New Roman" w:hAnsi="Times New Roman" w:eastAsia="Times New Roman"/>
          <w:b w:val="0"/>
          <w:i/>
          <w:iCs/>
          <w:sz w:val="24"/>
        </w:rPr>
        <w:t xml:space="preserve">A company-month can be missing more than one feature, so these counts must not be added together.</w:t>
      </w:r>
    </w:p>
    <w:p>
      <w:pPr>
        <w:pStyle w:val="BodyText"/>
        <w:spacing w:before="0" w:after="200" w:line="276" w:lineRule="auto"/>
        <w:jc w:val="both"/>
      </w:pPr>
      <w:r>
        <w:rPr>
          <w:rFonts w:ascii="Times New Roman" w:hAnsi="Times New Roman" w:eastAsia="Times New Roman"/>
          <w:b w:val="0"/>
          <w:sz w:val="24"/>
        </w:rPr>
        <w:t xml:space="preserve">Leverage change has the most missing values because it requires both assets and liabilities at two comparable dates about one year apart. Log assets and the negative-operating-cash-flow indicator have no missing values because assets and annual operating cash flow are required before a company-month can enter the dataset.</w:t>
      </w:r>
    </w:p>
    <w:p>
      <w:pPr>
        <w:pStyle w:val="BodyText"/>
        <w:spacing w:before="0" w:after="200" w:line="276" w:lineRule="auto"/>
        <w:jc w:val="both"/>
      </w:pPr>
      <w:r>
        <w:rPr>
          <w:rFonts w:ascii="Times New Roman" w:hAnsi="Times New Roman" w:eastAsia="Times New Roman"/>
          <w:b w:val="0"/>
          <w:sz w:val="24"/>
        </w:rPr>
        <w:t xml:space="preserve">The model pipeline requires a numeric value for every feature. During training, each missing value is therefore replaced with the median observed in the relevant training data. The model also receives a separate yes-or-no indicator showing that the original value was missing. The same training median is then used for later observations, so evaluation data cannot influence preprocessing. This procedure makes modeling possible; it does not estimate the company’s actual missing accounting value.</w:t>
      </w:r>
    </w:p>
    <w:p>
      <w:pPr>
        <w:pStyle w:val="BodyText"/>
        <w:spacing w:before="0" w:after="200" w:line="276" w:lineRule="auto"/>
        <w:jc w:val="both"/>
      </w:pPr>
      <w:r>
        <w:rPr>
          <w:rFonts w:ascii="Times New Roman" w:hAnsi="Times New Roman" w:eastAsia="Times New Roman"/>
          <w:b w:val="0"/>
          <w:sz w:val="24"/>
        </w:rPr>
        <w:t xml:space="preserve">Negative working capital, income and operating cash flow are kept because they can be important warning signs. Very large or small ratios are also kept rather than capped or removed. This preserves reported information but leaves the models, especially logistic regression, more sensitive to unusual values.</w:t>
      </w:r>
    </w:p>
    <w:p>
      <w:pPr>
        <w:pStyle w:val="Heading3"/>
      </w:pPr>
      <w:bookmarkStart w:id="120" w:name="_6d19d87798570e9d1d8d4dd881fee0e6b6927d7"/>
      <w:r>
        <w:rPr>
          <w:rFonts w:ascii="Times New Roman" w:hAnsi="Times New Roman" w:eastAsia="Times New Roman"/>
          <w:b/>
          <w:sz w:val="24"/>
        </w:rPr>
        <w:t xml:space="preserve">3.5.3 Data Required for the Credit-Limit Policy</w:t>
      </w:r>
      <w:bookmarkEnd w:id="120"/>
    </w:p>
    <w:p>
      <w:pPr>
        <w:pStyle w:val="FirstParagraph"/>
        <w:spacing w:before="0" w:after="200" w:line="276" w:lineRule="auto"/>
        <w:jc w:val="both"/>
      </w:pPr>
      <w:r>
        <w:rPr>
          <w:rFonts w:ascii="Times New Roman" w:hAnsi="Times New Roman" w:eastAsia="Times New Roman"/>
          <w:b w:val="0"/>
          <w:sz w:val="24"/>
        </w:rPr>
        <w:t xml:space="preserve">The credit-limit calculation has stricter requirements than the prediction model. It needs observed values for:</w:t>
      </w:r>
    </w:p>
    <w:p>
      <w:pPr>
        <w:pStyle w:val="Compact"/>
        <w:numPr>
          <w:ilvl w:val="0"/>
          <w:numId w:val="1003"/>
        </w:numPr>
        <w:spacing w:before="0" w:after="200" w:line="276" w:lineRule="auto"/>
        <w:jc w:val="left"/>
      </w:pPr>
      <w:r>
        <w:rPr>
          <w:rFonts w:ascii="Times New Roman" w:hAnsi="Times New Roman" w:eastAsia="Times New Roman"/>
          <w:b w:val="0"/>
          <w:sz w:val="24"/>
        </w:rPr>
        <w:t xml:space="preserve">total assets;</w:t>
      </w:r>
    </w:p>
    <w:p>
      <w:pPr>
        <w:pStyle w:val="Compact"/>
        <w:numPr>
          <w:ilvl w:val="0"/>
          <w:numId w:val="1003"/>
        </w:numPr>
        <w:spacing w:before="0" w:after="200" w:line="276" w:lineRule="auto"/>
        <w:jc w:val="left"/>
      </w:pPr>
      <w:r>
        <w:rPr>
          <w:rFonts w:ascii="Times New Roman" w:hAnsi="Times New Roman" w:eastAsia="Times New Roman"/>
          <w:b w:val="0"/>
          <w:sz w:val="24"/>
        </w:rPr>
        <w:t xml:space="preserve">annual revenue;</w:t>
      </w:r>
    </w:p>
    <w:p>
      <w:pPr>
        <w:pStyle w:val="Compact"/>
        <w:numPr>
          <w:ilvl w:val="0"/>
          <w:numId w:val="1003"/>
        </w:numPr>
        <w:spacing w:before="0" w:after="200" w:line="276" w:lineRule="auto"/>
        <w:jc w:val="left"/>
      </w:pPr>
      <w:r>
        <w:rPr>
          <w:rFonts w:ascii="Times New Roman" w:hAnsi="Times New Roman" w:eastAsia="Times New Roman"/>
          <w:b w:val="0"/>
          <w:sz w:val="24"/>
        </w:rPr>
        <w:t xml:space="preserve">annual operating cash flow; and</w:t>
      </w:r>
    </w:p>
    <w:p>
      <w:pPr>
        <w:pStyle w:val="Compact"/>
        <w:numPr>
          <w:ilvl w:val="0"/>
          <w:numId w:val="1003"/>
        </w:numPr>
        <w:spacing w:before="0" w:after="200" w:line="276" w:lineRule="auto"/>
        <w:jc w:val="left"/>
      </w:pPr>
      <w:r>
        <w:rPr>
          <w:rFonts w:ascii="Times New Roman" w:hAnsi="Times New Roman" w:eastAsia="Times New Roman"/>
          <w:b w:val="0"/>
          <w:sz w:val="24"/>
        </w:rPr>
        <w:t xml:space="preserve">cash.</w:t>
      </w:r>
    </w:p>
    <w:p>
      <w:pPr>
        <w:pStyle w:val="FirstParagraph"/>
        <w:spacing w:before="0" w:after="200" w:line="276" w:lineRule="auto"/>
        <w:jc w:val="both"/>
      </w:pPr>
      <w:r>
        <w:rPr>
          <w:rFonts w:ascii="Times New Roman" w:hAnsi="Times New Roman" w:eastAsia="Times New Roman"/>
          <w:b w:val="0"/>
          <w:sz w:val="24"/>
        </w:rPr>
        <w:t xml:space="preserve">These values directly determine a monetary limit, so missing amounts are not replaced with medians or zeros. Assets must be positive, revenue and cash cannot be negative, and all four values must be valid numbers. Operating cash flow may be negative because this can reflect genuine financial weakness.</w:t>
      </w:r>
    </w:p>
    <w:p>
      <w:pPr>
        <w:pStyle w:val="BodyText"/>
        <w:spacing w:before="0" w:after="200" w:line="276" w:lineRule="auto"/>
        <w:jc w:val="both"/>
      </w:pPr>
      <w:r>
        <w:rPr>
          <w:rFonts w:ascii="Times New Roman" w:hAnsi="Times New Roman" w:eastAsia="Times New Roman"/>
          <w:b w:val="0"/>
          <w:sz w:val="24"/>
        </w:rPr>
        <w:t xml:space="preserve">The policy evaluation can also include a company with a disclosure already known at the decision date. Such a case is not used to predict a new event, but the known disclosure activates a rule that prevents the policy from offering credit. The policy sample therefore differs from the labeled model sample; Chapter 7 reports it separately.</w:t>
      </w:r>
    </w:p>
    <w:p>
      <w:pPr>
        <w:pStyle w:val="Heading2"/>
      </w:pPr>
      <w:bookmarkStart w:id="121" w:name="_1dd505245248036eb050a07803add631185bdb8"/>
      <w:r>
        <w:rPr>
          <w:rFonts w:ascii="Times New Roman" w:hAnsi="Times New Roman" w:eastAsia="Times New Roman"/>
          <w:b/>
          <w:sz w:val="26"/>
        </w:rPr>
        <w:t xml:space="preserve">3.6 Data Limitations</w:t>
      </w:r>
      <w:bookmarkEnd w:id="121"/>
    </w:p>
    <w:p>
      <w:pPr>
        <w:pStyle w:val="FirstParagraph"/>
        <w:spacing w:before="0" w:after="200" w:line="276" w:lineRule="auto"/>
        <w:jc w:val="both"/>
      </w:pPr>
      <w:r>
        <w:rPr>
          <w:rFonts w:ascii="Times New Roman" w:hAnsi="Times New Roman" w:eastAsia="Times New Roman"/>
          <w:b w:val="0"/>
          <w:sz w:val="24"/>
        </w:rPr>
        <w:t xml:space="preserve">The panel is monthly, but companies normally report only quarterly or annually. Financial values are therefore repeated until a new filing appears, and the model cannot observe changes occurring between filings.</w:t>
      </w:r>
    </w:p>
    <w:p>
      <w:pPr>
        <w:pStyle w:val="BodyText"/>
        <w:spacing w:before="0" w:after="200" w:line="276" w:lineRule="auto"/>
        <w:jc w:val="both"/>
      </w:pPr>
      <w:r>
        <w:rPr>
          <w:rFonts w:ascii="Times New Roman" w:hAnsi="Times New Roman" w:eastAsia="Times New Roman"/>
          <w:b w:val="0"/>
          <w:sz w:val="24"/>
        </w:rPr>
        <w:t xml:space="preserve">Accounting formats also differ across companies. This thesis combines Company Facts with Financial Statement and Notes data to recover some missing balance-sheet values, but missing, conflicting or incorrectly reported amounts can remain.</w:t>
      </w:r>
    </w:p>
    <w:p>
      <w:pPr>
        <w:pStyle w:val="BodyText"/>
        <w:spacing w:before="0" w:after="200" w:line="276" w:lineRule="auto"/>
        <w:jc w:val="both"/>
      </w:pPr>
      <w:r>
        <w:rPr>
          <w:rFonts w:ascii="Times New Roman" w:hAnsi="Times New Roman" w:eastAsia="Times New Roman"/>
          <w:b w:val="0"/>
          <w:sz w:val="24"/>
        </w:rPr>
        <w:t xml:space="preserve">The outcome is an SEC disclosure proxy, not a verified default. Item 1.03 covers different situations, Item 2.04 reviews were automated without a separate human validation sample, and some cases remain unresolved. Companies with disrupted reporting may also be excluded. The results should therefore be interpreted as predictions of the defined disclosure outcome, not exact default probabilities.</w:t>
      </w:r>
    </w:p>
    <w:p>
      <w:pPr>
        <w:pStyle w:val="Heading1"/>
        <w:pageBreakBefore/>
      </w:pPr>
      <w:bookmarkStart w:id="122" w:name="_94013d99a6c425a8117fa7a9f5aaec32dedfe64"/>
      <w:r>
        <w:rPr>
          <w:rFonts w:ascii="Times New Roman" w:hAnsi="Times New Roman" w:eastAsia="Times New Roman"/>
          <w:b/>
          <w:sz w:val="32"/>
        </w:rPr>
        <w:t xml:space="preserve">4 Risk Modeling and Validation Methodology</w:t>
      </w:r>
      <w:bookmarkEnd w:id="122"/>
    </w:p>
    <w:p>
      <w:pPr>
        <w:pStyle w:val="FirstParagraph"/>
        <w:spacing w:before="0" w:after="200" w:line="276" w:lineRule="auto"/>
        <w:jc w:val="both"/>
      </w:pPr>
      <w:r>
        <w:rPr>
          <w:rFonts w:ascii="Times New Roman" w:hAnsi="Times New Roman" w:eastAsia="Times New Roman"/>
          <w:b w:val="0"/>
          <w:sz w:val="24"/>
        </w:rPr>
        <w:t xml:space="preserve">This chapter explains how the models are trained, compared and evaluated. Every model uses the same accounting features, outcome definition and information-timing rules. Appendix A records the exact software settings and parameter grids.</w:t>
      </w:r>
    </w:p>
    <w:p>
      <w:pPr>
        <w:pStyle w:val="Heading2"/>
      </w:pPr>
      <w:bookmarkStart w:id="123" w:name="_49b7f1c0712cc87c915e6b75714e147d774ae02"/>
      <w:r>
        <w:rPr>
          <w:rFonts w:ascii="Times New Roman" w:hAnsi="Times New Roman" w:eastAsia="Times New Roman"/>
          <w:b/>
          <w:sz w:val="26"/>
        </w:rPr>
        <w:t xml:space="preserve">4.1 Modeling Framework</w:t>
      </w:r>
      <w:bookmarkEnd w:id="123"/>
    </w:p>
    <w:p>
      <w:pPr>
        <w:pStyle w:val="FirstParagraph"/>
        <w:spacing w:before="0" w:after="200" w:line="276" w:lineRule="auto"/>
        <w:jc w:val="both"/>
      </w:pPr>
      <w:r>
        <w:rPr>
          <w:rFonts w:ascii="Times New Roman" w:hAnsi="Times New Roman" w:eastAsia="Times New Roman"/>
          <w:b w:val="0"/>
          <w:sz w:val="24"/>
        </w:rPr>
        <w:t xml:space="preserve">Each observation represents a company at a monthly decision date. Models use the twelve accounting features and 60-day outcome defined in Chapter 3, but not company names, identifiers, industry codes, future information or policy results. Missing features are replaced with fitting-sample medians and accompanied by missingness indicators; logistic inputs are also scaled. These fitted transformations are applied unchanged to later observations.</w:t>
      </w:r>
    </w:p>
    <w:p>
      <w:pPr>
        <w:pStyle w:val="BodyText"/>
        <w:spacing w:before="0" w:after="200" w:line="276" w:lineRule="auto"/>
        <w:jc w:val="both"/>
      </w:pPr>
      <w:r>
        <w:rPr>
          <w:rFonts w:ascii="Times New Roman" w:hAnsi="Times New Roman" w:eastAsia="Times New Roman"/>
          <w:b w:val="0"/>
          <w:sz w:val="24"/>
        </w:rPr>
        <w:t xml:space="preserve">The study does not create synthetic companies or outcomes and does not duplicate rare events through oversampling. Unusually large ratios are retained rather than capped. Missing inputs needed for the monetary credit-limit calculation are handled separately and are never filled with model medians.</w:t>
      </w:r>
    </w:p>
    <w:p>
      <w:pPr>
        <w:pStyle w:val="Heading2"/>
      </w:pPr>
      <w:bookmarkStart w:id="124" w:name="_5690eac97de81b18a7b0021009490c6e736218c"/>
      <w:r>
        <w:rPr>
          <w:rFonts w:ascii="Times New Roman" w:hAnsi="Times New Roman" w:eastAsia="Times New Roman"/>
          <w:b/>
          <w:sz w:val="26"/>
        </w:rPr>
        <w:t xml:space="preserve">4.2 Models and Constant Benchmark</w:t>
      </w:r>
      <w:bookmarkEnd w:id="124"/>
    </w:p>
    <w:p>
      <w:pPr>
        <w:pStyle w:val="FirstParagraph"/>
        <w:spacing w:before="0" w:after="200" w:line="276" w:lineRule="auto"/>
        <w:jc w:val="both"/>
      </w:pPr>
      <w:r>
        <w:rPr>
          <w:rFonts w:ascii="Times New Roman" w:hAnsi="Times New Roman" w:eastAsia="Times New Roman"/>
          <w:b w:val="0"/>
          <w:sz w:val="24"/>
        </w:rPr>
        <w:t xml:space="preserve">The constant benchmark assigns every observation the event rate from the original training period. It does not distinguish between companies. A useful model should provide more information than this simple prediction.</w:t>
      </w:r>
    </w:p>
    <w:p>
      <w:pPr>
        <w:pStyle w:val="BodyText"/>
        <w:spacing w:before="0" w:after="200" w:line="276" w:lineRule="auto"/>
        <w:jc w:val="both"/>
      </w:pPr>
      <w:r>
        <w:rPr>
          <w:rFonts w:ascii="Times New Roman" w:hAnsi="Times New Roman" w:eastAsia="Times New Roman"/>
          <w:b w:val="0"/>
          <w:sz w:val="24"/>
        </w:rPr>
        <w:t xml:space="preserve">Four model families are compared: logistic regression, L2-regularized logistic regression, random forest and XGBoost. The first two provide linear benchmarks; the tree ensembles can capture nonlinearities and interactions.</w:t>
      </w:r>
    </w:p>
    <w:p>
      <w:pPr>
        <w:pStyle w:val="BodyText"/>
        <w:spacing w:before="0" w:after="200" w:line="276" w:lineRule="auto"/>
        <w:jc w:val="both"/>
      </w:pPr>
      <w:r>
        <w:rPr>
          <w:rFonts w:ascii="Times New Roman" w:hAnsi="Times New Roman" w:eastAsia="Times New Roman"/>
          <w:b w:val="0"/>
          <w:sz w:val="24"/>
        </w:rPr>
        <w:t xml:space="preserve">Both logistic models use the same preprocessing. Their scaled, pre-calibration coefficients describe associations, not causal effects or direct percentage-point probability changes. A convergence warning stops fitting.</w:t>
      </w:r>
    </w:p>
    <w:p>
      <w:pPr>
        <w:pStyle w:val="Heading2"/>
      </w:pPr>
      <w:bookmarkStart w:id="125" w:name="_900f192366dcca64ae4a95d001ae892c2cb3da6"/>
      <w:r>
        <w:rPr>
          <w:rFonts w:ascii="Times New Roman" w:hAnsi="Times New Roman" w:eastAsia="Times New Roman"/>
          <w:b/>
          <w:sz w:val="26"/>
        </w:rPr>
        <w:t xml:space="preserve">4.3 Model Tuning</w:t>
      </w:r>
      <w:bookmarkEnd w:id="125"/>
    </w:p>
    <w:p>
      <w:pPr>
        <w:pStyle w:val="FirstParagraph"/>
        <w:spacing w:before="0" w:after="200" w:line="276" w:lineRule="auto"/>
        <w:jc w:val="both"/>
      </w:pPr>
      <w:r>
        <w:rPr>
          <w:rFonts w:ascii="Times New Roman" w:hAnsi="Times New Roman" w:eastAsia="Times New Roman"/>
          <w:b w:val="0"/>
          <w:sz w:val="24"/>
        </w:rPr>
        <w:t xml:space="preserve">Several settings are tested for each model family. Logistic regression contributes two candidates, L2 logistic regression six, random forest eight and XGBoost eight, for 24 candidates in total. These counts include versions fitted with and without balanced class weights. Appendix A lists the exact settings.</w:t>
      </w:r>
    </w:p>
    <w:p>
      <w:pPr>
        <w:pStyle w:val="BodyText"/>
        <w:spacing w:before="0" w:after="200" w:line="276" w:lineRule="auto"/>
        <w:jc w:val="both"/>
      </w:pPr>
      <w:r>
        <w:rPr>
          <w:rFonts w:ascii="Times New Roman" w:hAnsi="Times New Roman" w:eastAsia="Times New Roman"/>
          <w:b w:val="0"/>
          <w:sz w:val="24"/>
        </w:rPr>
        <w:t xml:space="preserve">Candidate settings are compared using two expanding yearly tests:</w:t>
      </w:r>
    </w:p>
    <w:p>
      <w:pPr>
        <w:pStyle w:val="Compact"/>
        <w:numPr>
          <w:ilvl w:val="0"/>
          <w:numId w:val="1004"/>
        </w:numPr>
        <w:spacing w:before="0" w:after="200" w:line="276" w:lineRule="auto"/>
        <w:jc w:val="left"/>
      </w:pPr>
      <w:r>
        <w:rPr>
          <w:rFonts w:ascii="Times New Roman" w:hAnsi="Times New Roman" w:eastAsia="Times New Roman"/>
          <w:b w:val="0"/>
          <w:sz w:val="24"/>
        </w:rPr>
        <w:t xml:space="preserve">Fit on 2011–2016 and evaluate on 2017.</w:t>
      </w:r>
    </w:p>
    <w:p>
      <w:pPr>
        <w:pStyle w:val="Compact"/>
        <w:numPr>
          <w:ilvl w:val="0"/>
          <w:numId w:val="1004"/>
        </w:numPr>
        <w:spacing w:before="0" w:after="200" w:line="276" w:lineRule="auto"/>
        <w:jc w:val="left"/>
      </w:pPr>
      <w:r>
        <w:rPr>
          <w:rFonts w:ascii="Times New Roman" w:hAnsi="Times New Roman" w:eastAsia="Times New Roman"/>
          <w:b w:val="0"/>
          <w:sz w:val="24"/>
        </w:rPr>
        <w:t xml:space="preserve">Add eligible 2017 observations, refit, and evaluate on 2018.</w:t>
      </w:r>
    </w:p>
    <w:p>
      <w:pPr>
        <w:pStyle w:val="FirstParagraph"/>
        <w:spacing w:before="0" w:after="200" w:line="276" w:lineRule="auto"/>
        <w:jc w:val="both"/>
      </w:pPr>
      <w:r>
        <w:rPr>
          <w:rFonts w:ascii="Times New Roman" w:hAnsi="Times New Roman" w:eastAsia="Times New Roman"/>
          <w:b w:val="0"/>
          <w:sz w:val="24"/>
        </w:rPr>
        <w:t xml:space="preserve">Only labels available before the beginning of a yearly evaluation are used for fitting. Missing-value replacement and scaling are also recalculated inside each fold.</w:t>
      </w:r>
    </w:p>
    <w:p>
      <w:pPr>
        <w:pStyle w:val="BodyText"/>
        <w:spacing w:before="0" w:after="200" w:line="276" w:lineRule="auto"/>
        <w:jc w:val="both"/>
      </w:pPr>
      <w:r>
        <w:rPr>
          <w:rFonts w:ascii="Times New Roman" w:hAnsi="Times New Roman" w:eastAsia="Times New Roman"/>
          <w:b w:val="0"/>
          <w:sz w:val="24"/>
        </w:rPr>
        <w:t xml:space="preserve">Candidates are ranked by</w:t>
      </w:r>
      <w:r>
        <w:rPr>
          <w:rFonts w:ascii="Times New Roman" w:hAnsi="Times New Roman" w:eastAsia="Times New Roman"/>
          <w:b w:val="0"/>
          <w:sz w:val="24"/>
        </w:rPr>
        <w:t xml:space="preserve"> </w:t>
      </w:r>
      <w:r>
        <w:rPr>
          <w:rFonts w:ascii="Times New Roman" w:hAnsi="Times New Roman" w:eastAsia="Times New Roman"/>
          <w:b w:val="0"/>
          <w:bCs/>
          <w:sz w:val="24"/>
        </w:rPr>
        <w:t xml:space="preserve">average-precision lift</w:t>
      </w:r>
      <w:r>
        <w:rPr>
          <w:rFonts w:ascii="Times New Roman" w:hAnsi="Times New Roman" w:eastAsia="Times New Roman"/>
          <w:b w:val="0"/>
          <w:sz w:val="24"/>
        </w:rPr>
        <w:t xml:space="preserve"> </w:t>
      </w:r>
      <w:r>
        <w:rPr>
          <w:rFonts w:ascii="Times New Roman" w:hAnsi="Times New Roman" w:eastAsia="Times New Roman"/>
          <w:b w:val="0"/>
          <w:sz w:val="24"/>
        </w:rPr>
        <w:t xml:space="preserve">over the year’s event rate and</w:t>
      </w:r>
      <w:r>
        <w:rPr>
          <w:rFonts w:ascii="Times New Roman" w:hAnsi="Times New Roman" w:eastAsia="Times New Roman"/>
          <w:b w:val="0"/>
          <w:sz w:val="24"/>
        </w:rPr>
        <w:t xml:space="preserve"> </w:t>
      </w:r>
      <w:r>
        <w:rPr>
          <w:rFonts w:ascii="Times New Roman" w:hAnsi="Times New Roman" w:eastAsia="Times New Roman"/>
          <w:b w:val="0"/>
          <w:bCs/>
          <w:sz w:val="24"/>
        </w:rPr>
        <w:t xml:space="preserve">Brier skill</w:t>
      </w:r>
      <w:r>
        <w:rPr>
          <w:rFonts w:ascii="Times New Roman" w:hAnsi="Times New Roman" w:eastAsia="Times New Roman"/>
          <w:b w:val="0"/>
          <w:sz w:val="24"/>
        </w:rPr>
        <w:t xml:space="preserve"> </w:t>
      </w:r>
      <w:r>
        <w:rPr>
          <w:rFonts w:ascii="Times New Roman" w:hAnsi="Times New Roman" w:eastAsia="Times New Roman"/>
          <w:b w:val="0"/>
          <w:sz w:val="24"/>
        </w:rPr>
        <w:t xml:space="preserve">relative to the corresponding fitting-sample event rate. Values above one and zero, respectively, indicate improvement over these baselines.</w:t>
      </w:r>
    </w:p>
    <w:p>
      <w:pPr>
        <w:pStyle w:val="BodyText"/>
        <w:spacing w:before="0" w:after="200" w:line="276" w:lineRule="auto"/>
        <w:jc w:val="both"/>
      </w:pPr>
      <w:r>
        <w:rPr>
          <w:rFonts w:ascii="Times New Roman" w:hAnsi="Times New Roman" w:eastAsia="Times New Roman"/>
          <w:b w:val="0"/>
          <w:sz w:val="24"/>
        </w:rPr>
        <w:t xml:space="preserve">The candidate with the highest mean annual average-precision lift wins within its family. Mean annual Brier skill and a fixed candidate order break ties. The winning setting is then fitted again using the combined training and tuning observations.</w:t>
      </w:r>
    </w:p>
    <w:p>
      <w:pPr>
        <w:pStyle w:val="Heading2"/>
      </w:pPr>
      <w:bookmarkStart w:id="126" w:name="_d230503cfb58defe5907726cd796f3e5720fade"/>
      <w:r>
        <w:rPr>
          <w:rFonts w:ascii="Times New Roman" w:hAnsi="Times New Roman" w:eastAsia="Times New Roman"/>
          <w:b/>
          <w:sz w:val="26"/>
        </w:rPr>
        <w:t xml:space="preserve">4.4 Chronological Validation and Information Timing</w:t>
      </w:r>
      <w:bookmarkEnd w:id="126"/>
    </w:p>
    <w:p>
      <w:pPr>
        <w:pStyle w:val="FirstParagraph"/>
        <w:spacing w:before="0" w:after="200" w:line="276" w:lineRule="auto"/>
        <w:jc w:val="both"/>
      </w:pPr>
      <w:r>
        <w:rPr>
          <w:rFonts w:ascii="Times New Roman" w:hAnsi="Times New Roman" w:eastAsia="Times New Roman"/>
          <w:b w:val="0"/>
          <w:sz w:val="24"/>
        </w:rPr>
        <w:t xml:space="preserve">A random split would mix observations from different dates and could allow future information to influence earlier predictions. The study therefore uses five ordered stages:</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Stage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Nominal decision dates</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Purpose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Training</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January 2011–December 2016</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Fit candidate models</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Tuning</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January 2017–December 2018</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Choose settings within each model family</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Calibration</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January–December 2019</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Fit a possible probability correction</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Selection</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January 2020–December 2022</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Choose raw or corrected probabilities, alert thresholds and the final model</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Later evaluation</w:t>
            </w:r>
          </w:p>
        </w:tc>
        <w:tc>
          <w:tcPr>
            <w:tcW w:type="dxa" w:w="2987"/>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January 2023–December 2025</w:t>
            </w:r>
          </w:p>
        </w:tc>
        <w:tc>
          <w:tcPr>
            <w:tcW w:type="dxa" w:w="263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Evaluate the frozen choices</w:t>
            </w:r>
          </w:p>
        </w:tc>
      </w:tr>
    </w:tbl>
    <w:p>
      <w:pPr>
        <w:pStyle w:val="Caption"/>
        <w:spacing w:line="240" w:lineRule="auto"/>
        <w:jc w:val="center"/>
      </w:pPr>
      <w:r>
        <w:rPr>
          <w:rFonts w:ascii="Times New Roman" w:hAnsi="Times New Roman" w:eastAsia="Times New Roman"/>
          <w:i/>
          <w:iCs/>
          <w:sz w:val="24"/>
        </w:rPr>
        <w:t xml:space="preserve">Table 7. Chronological model-development and evaluation stages.</w:t>
      </w:r>
    </w:p>
    <w:p>
      <w:pPr>
        <w:pStyle w:val="BodyText"/>
        <w:spacing w:before="0" w:after="200" w:line="276" w:lineRule="auto"/>
        <w:jc w:val="both"/>
      </w:pPr>
      <w:r>
        <w:rPr>
          <w:rFonts w:ascii="Times New Roman" w:hAnsi="Times New Roman" w:eastAsia="Times New Roman"/>
          <w:b w:val="0"/>
          <w:sz w:val="24"/>
        </w:rPr>
        <w:t xml:space="preserve">These are nominal date ranges. An observation is removed from an earlier stage when its complete 60-day label was not available before the next stage began. The data cutoff is 7 September 2026. Chapter 3 explains when positive and negative labels become available, and Chapter 6 reports the retained observations.</w:t>
      </w:r>
    </w:p>
    <w:p>
      <w:pPr>
        <w:pStyle w:val="BodyText"/>
        <w:spacing w:before="0" w:after="200" w:line="276" w:lineRule="auto"/>
        <w:jc w:val="both"/>
      </w:pPr>
      <w:r>
        <w:rPr>
          <w:rFonts w:ascii="Times New Roman" w:hAnsi="Times New Roman" w:eastAsia="Times New Roman"/>
          <w:b w:val="0"/>
          <w:sz w:val="24"/>
        </w:rPr>
        <w:t xml:space="preserve">The same company can appear in several stages because the study evaluates continued monitoring, not a separate borrower population. Companies can contribute repeated months based on carried-forward statements, so row-level measures give more influence to issuers with more eligible months. The bootstrap in Section 4.6 keeps each company’s observations together.</w:t>
      </w:r>
    </w:p>
    <w:p>
      <w:pPr>
        <w:pStyle w:val="BodyText"/>
        <w:spacing w:before="0" w:after="200" w:line="276" w:lineRule="auto"/>
        <w:jc w:val="both"/>
      </w:pPr>
      <w:r>
        <w:rPr>
          <w:rFonts w:ascii="Times New Roman" w:hAnsi="Times New Roman" w:eastAsia="Times New Roman"/>
          <w:b w:val="0"/>
          <w:sz w:val="24"/>
        </w:rPr>
        <w:t xml:space="preserve">One disclosure episode can produce positive labels for more than one monthly decision. Results therefore report positive rows, distinct episodes and event companies separately.</w:t>
      </w:r>
    </w:p>
    <w:p>
      <w:pPr>
        <w:pStyle w:val="BodyText"/>
        <w:spacing w:before="0" w:after="200" w:line="276" w:lineRule="auto"/>
        <w:jc w:val="both"/>
      </w:pPr>
      <w:r>
        <w:rPr>
          <w:rFonts w:ascii="Times New Roman" w:hAnsi="Times New Roman" w:eastAsia="Times New Roman"/>
          <w:b w:val="0"/>
          <w:sz w:val="24"/>
        </w:rPr>
        <w:t xml:space="preserve">The 2023–2025 period is excluded from the reported model’s fitting, tuning, calibration and selection. However, these years were examined during earlier project development. The later evaluation is therefore retrospective and is not presented as untouched external validation.</w:t>
      </w:r>
    </w:p>
    <w:p>
      <w:pPr>
        <w:pStyle w:val="Heading2"/>
      </w:pPr>
      <w:bookmarkStart w:id="127" w:name="_f72b839005ca26c3170f6e07a57732d8d6b3833"/>
      <w:r>
        <w:rPr>
          <w:rFonts w:ascii="Times New Roman" w:hAnsi="Times New Roman" w:eastAsia="Times New Roman"/>
          <w:b/>
          <w:sz w:val="26"/>
        </w:rPr>
        <w:t xml:space="preserve">4.5 Rare Outcomes and the Alert Threshold</w:t>
      </w:r>
      <w:bookmarkEnd w:id="127"/>
    </w:p>
    <w:p>
      <w:pPr>
        <w:pStyle w:val="FirstParagraph"/>
        <w:spacing w:before="0" w:after="200" w:line="276" w:lineRule="auto"/>
        <w:jc w:val="both"/>
      </w:pPr>
      <w:r>
        <w:rPr>
          <w:rFonts w:ascii="Times New Roman" w:hAnsi="Times New Roman" w:eastAsia="Times New Roman"/>
          <w:b w:val="0"/>
          <w:sz w:val="24"/>
        </w:rPr>
        <w:t xml:space="preserve">Because the outcome is rare, balanced fitting weights can give the two classes equal total influence:</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
          <m:e>
            <m:r>
              <m:t>w</m:t>
            </m:r>
          </m:e>
          <m:sub>
            <m:r>
              <m:t>c</m:t>
            </m:r>
          </m:sub>
        </m:sSub>
        <m:r>
          <m:rPr>
            <m:sty m:val="p"/>
          </m:rPr>
          <m:t>=</m:t>
        </m:r>
        <m:f>
          <m:fPr>
            <m:type m:val="bar"/>
          </m:fPr>
          <m:num>
            <m:r>
              <m:t>N</m:t>
            </m:r>
          </m:num>
          <m:den>
            <m:r>
              <m:t>2</m:t>
            </m:r>
            <m:sSub>
              <m:e>
                <m:r>
                  <m:t>N</m:t>
                </m:r>
              </m:e>
              <m:sub>
                <m:r>
                  <m:t>c</m:t>
                </m:r>
              </m:sub>
            </m:sSub>
          </m:den>
        </m:f>
        <m:r>
          <m:rPr>
            <m:sty m:val="p"/>
          </m:rPr>
          <m:t>,</m:t>
        </m:r>
      </m:oMath>
      <w:r>
        <w:rPr>
          <w:rFonts w:ascii="Times New Roman" w:hAnsi="Times New Roman" w:eastAsia="Times New Roman"/>
          <w:sz w:val="24"/>
        </w:rPr>
        <w:tab/>
        <w:t>(4)</w:t>
      </w:r>
    </w:p>
    <w:p>
      <w:pPr>
        <w:pStyle w:val="FirstParagraph"/>
        <w:spacing w:before="120" w:after="120" w:line="240" w:lineRule="auto"/>
        <w:jc w:val="center"/>
      </w:pPr>
      <w:r>
        <w:rPr>
          <w:rFonts w:ascii="Times New Roman" w:hAnsi="Times New Roman" w:eastAsia="Times New Roman"/>
          <w:b w:val="0"/>
          <w:sz w:val="24"/>
        </w:rPr>
        <w:t xml:space="preserve">where</w:t>
      </w:r>
      <w:r>
        <w:rPr>
          <w:rFonts w:ascii="Times New Roman" w:hAnsi="Times New Roman" w:eastAsia="Times New Roman"/>
          <w:b w:val="0"/>
          <w:sz w:val="24"/>
        </w:rPr>
        <w:t xml:space="preserve"> </w:t>
      </w:r>
      <m:oMath>
        <m:r>
          <m:t>N</m:t>
        </m:r>
      </m:oMath>
      <w:r>
        <w:rPr>
          <w:rFonts w:ascii="Times New Roman" w:hAnsi="Times New Roman" w:eastAsia="Times New Roman"/>
          <w:b w:val="0"/>
          <w:sz w:val="24"/>
        </w:rPr>
        <w:t xml:space="preserve"> </w:t>
      </w:r>
      <w:r>
        <w:rPr>
          <w:rFonts w:ascii="Times New Roman" w:hAnsi="Times New Roman" w:eastAsia="Times New Roman"/>
          <w:b w:val="0"/>
          <w:sz w:val="24"/>
        </w:rPr>
        <w:t xml:space="preserve">is the number of fitting observations,</w:t>
      </w:r>
      <w:r>
        <w:rPr>
          <w:rFonts w:ascii="Times New Roman" w:hAnsi="Times New Roman" w:eastAsia="Times New Roman"/>
          <w:b w:val="0"/>
          <w:sz w:val="24"/>
        </w:rPr>
        <w:t xml:space="preserve"> </w:t>
      </w:r>
      <m:oMath>
        <m:sSub>
          <m:e>
            <m:r>
              <m:t>N</m:t>
            </m:r>
          </m:e>
          <m:sub>
            <m:r>
              <m:t>c</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is the number in class</w:t>
      </w:r>
      <w:r>
        <w:rPr>
          <w:rFonts w:ascii="Times New Roman" w:hAnsi="Times New Roman" w:eastAsia="Times New Roman"/>
          <w:b w:val="0"/>
          <w:sz w:val="24"/>
        </w:rPr>
        <w:t xml:space="preserve"> </w:t>
      </w:r>
      <m:oMath>
        <m:r>
          <m:t>c</m:t>
        </m:r>
      </m:oMath>
      <w:r>
        <w:rPr>
          <w:rFonts w:ascii="Times New Roman" w:hAnsi="Times New Roman" w:eastAsia="Times New Roman"/>
          <w:b w:val="0"/>
          <w:sz w:val="24"/>
        </w:rPr>
        <w:t xml:space="preserve">, and</w:t>
      </w:r>
      <w:r>
        <w:rPr>
          <w:rFonts w:ascii="Times New Roman" w:hAnsi="Times New Roman" w:eastAsia="Times New Roman"/>
          <w:b w:val="0"/>
          <w:sz w:val="24"/>
        </w:rPr>
        <w:t xml:space="preserve"> </w:t>
      </w:r>
      <m:oMath>
        <m:sSub>
          <m:e>
            <m:r>
              <m:t>w</m:t>
            </m:r>
          </m:e>
          <m:sub>
            <m:r>
              <m:t>c</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is the weight for that class. The weights are calculated separately in each fitting sample. Calibration and evaluation keep the observed event distribution.</w:t>
      </w:r>
    </w:p>
    <w:p>
      <w:pPr>
        <w:pStyle w:val="BodyText"/>
        <w:spacing w:before="0" w:after="200" w:line="276" w:lineRule="auto"/>
        <w:jc w:val="both"/>
      </w:pPr>
      <w:r>
        <w:rPr>
          <w:rFonts w:ascii="Times New Roman" w:hAnsi="Times New Roman" w:eastAsia="Times New Roman"/>
          <w:b w:val="0"/>
          <w:sz w:val="24"/>
        </w:rPr>
        <w:t xml:space="preserve">Weighting is a tuning choice because it may improve event detection while distorting raw probabilities. Raw and corrected probabilities are both evaluated.</w:t>
      </w:r>
    </w:p>
    <w:p>
      <w:pPr>
        <w:pStyle w:val="BodyText"/>
        <w:spacing w:before="0" w:after="200" w:line="276" w:lineRule="auto"/>
        <w:jc w:val="both"/>
      </w:pPr>
      <w:r>
        <w:rPr>
          <w:rFonts w:ascii="Times New Roman" w:hAnsi="Times New Roman" w:eastAsia="Times New Roman"/>
          <w:b w:val="0"/>
          <w:sz w:val="24"/>
        </w:rPr>
        <w:t xml:space="preserve">A threshold converts a probability into a yes-or-no alert. For each model family, the threshold is chosen on the 2020–2022 selection period by maximizing F1. Ties favor higher recall and then the higher threshold. The chosen value is fixed and applied unchanged to 2023–2025, preventing later outcomes from influencing the alert rule.</w:t>
      </w:r>
    </w:p>
    <w:p>
      <w:pPr>
        <w:pStyle w:val="BodyText"/>
        <w:spacing w:before="0" w:after="200" w:line="276" w:lineRule="auto"/>
        <w:jc w:val="both"/>
      </w:pPr>
      <w:r>
        <w:rPr>
          <w:rFonts w:ascii="Times New Roman" w:hAnsi="Times New Roman" w:eastAsia="Times New Roman"/>
          <w:b w:val="0"/>
          <w:sz w:val="24"/>
        </w:rPr>
        <w:t xml:space="preserve">The threshold is used only to report classification performance. It is not based on lending costs and does not determine credit approval. The credit-limit policy uses the continuous predicted probability.</w:t>
      </w:r>
    </w:p>
    <w:p>
      <w:pPr>
        <w:pStyle w:val="Heading2"/>
      </w:pPr>
      <w:bookmarkStart w:id="128" w:name="_1f01cc66d8307f531e23b83a617fd156c994362"/>
      <w:r>
        <w:rPr>
          <w:rFonts w:ascii="Times New Roman" w:hAnsi="Times New Roman" w:eastAsia="Times New Roman"/>
          <w:b/>
          <w:sz w:val="26"/>
        </w:rPr>
        <w:t xml:space="preserve">4.6 Performance Measures and Uncertainty</w:t>
      </w:r>
      <w:bookmarkEnd w:id="128"/>
    </w:p>
    <w:p>
      <w:pPr>
        <w:pStyle w:val="FirstParagraph"/>
        <w:spacing w:before="0" w:after="200" w:line="276" w:lineRule="auto"/>
        <w:jc w:val="both"/>
      </w:pPr>
      <w:r>
        <w:rPr>
          <w:rFonts w:ascii="Times New Roman" w:hAnsi="Times New Roman" w:eastAsia="Times New Roman"/>
          <w:b w:val="0"/>
          <w:sz w:val="24"/>
        </w:rPr>
        <w:t xml:space="preserve">The study evaluates both ranking and probability accuracy.</w:t>
      </w:r>
    </w:p>
    <w:p>
      <w:pPr>
        <w:pStyle w:val="BodyText"/>
        <w:spacing w:before="0" w:after="200" w:line="276" w:lineRule="auto"/>
        <w:jc w:val="both"/>
      </w:pPr>
      <w:r>
        <w:rPr>
          <w:rFonts w:ascii="Times New Roman" w:hAnsi="Times New Roman" w:eastAsia="Times New Roman"/>
          <w:b w:val="0"/>
          <w:bCs/>
          <w:sz w:val="24"/>
        </w:rPr>
        <w:t xml:space="preserve">ROC-AUC</w:t>
      </w:r>
      <w:r>
        <w:rPr>
          <w:rFonts w:ascii="Times New Roman" w:hAnsi="Times New Roman" w:eastAsia="Times New Roman"/>
          <w:b w:val="0"/>
          <w:sz w:val="24"/>
        </w:rPr>
        <w:t xml:space="preserve"> </w:t>
      </w:r>
      <w:r>
        <w:rPr>
          <w:rFonts w:ascii="Times New Roman" w:hAnsi="Times New Roman" w:eastAsia="Times New Roman"/>
          <w:b w:val="0"/>
          <w:sz w:val="24"/>
        </w:rPr>
        <w:t xml:space="preserve">measures how often an event observation ranks above a non-event observation; 0.5 indicates no useful ranking and 1 perfect ranking.</w:t>
      </w:r>
      <w:r>
        <w:rPr>
          <w:rFonts w:ascii="Times New Roman" w:hAnsi="Times New Roman" w:eastAsia="Times New Roman"/>
          <w:b w:val="0"/>
          <w:sz w:val="24"/>
        </w:rPr>
        <w:t xml:space="preserve"> </w:t>
      </w:r>
      <w:r>
        <w:rPr>
          <w:rFonts w:ascii="Times New Roman" w:hAnsi="Times New Roman" w:eastAsia="Times New Roman"/>
          <w:b w:val="0"/>
          <w:bCs/>
          <w:sz w:val="24"/>
        </w:rPr>
        <w:t xml:space="preserve">Average precision</w:t>
      </w:r>
      <w:r>
        <w:rPr>
          <w:rFonts w:ascii="Times New Roman" w:hAnsi="Times New Roman" w:eastAsia="Times New Roman"/>
          <w:b w:val="0"/>
          <w:sz w:val="24"/>
        </w:rPr>
        <w:t xml:space="preserve"> </w:t>
      </w:r>
      <w:r>
        <w:rPr>
          <w:rFonts w:ascii="Times New Roman" w:hAnsi="Times New Roman" w:eastAsia="Times New Roman"/>
          <w:b w:val="0"/>
          <w:sz w:val="24"/>
        </w:rPr>
        <w:t xml:space="preserve">summarizes precision and recall across thresholds and is compared with the event share, its no-skill baseline.</w:t>
      </w:r>
    </w:p>
    <w:p>
      <w:pPr>
        <w:pStyle w:val="BodyText"/>
        <w:spacing w:before="0" w:after="200" w:line="276" w:lineRule="auto"/>
        <w:jc w:val="both"/>
      </w:pPr>
      <w:r>
        <w:rPr>
          <w:rFonts w:ascii="Times New Roman" w:hAnsi="Times New Roman" w:eastAsia="Times New Roman"/>
          <w:b w:val="0"/>
          <w:bCs/>
          <w:sz w:val="24"/>
        </w:rPr>
        <w:t xml:space="preserve">Brier score</w:t>
      </w:r>
      <w:r>
        <w:rPr>
          <w:rFonts w:ascii="Times New Roman" w:hAnsi="Times New Roman" w:eastAsia="Times New Roman"/>
          <w:b w:val="0"/>
          <w:sz w:val="24"/>
        </w:rPr>
        <w:t xml:space="preserve"> </w:t>
      </w:r>
      <w:r>
        <w:rPr>
          <w:rFonts w:ascii="Times New Roman" w:hAnsi="Times New Roman" w:eastAsia="Times New Roman"/>
          <w:b w:val="0"/>
          <w:sz w:val="24"/>
        </w:rPr>
        <w:t xml:space="preserve">measures the squared difference between predicted probabilities and observed outcomes: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r>
          <m:t>B</m:t>
        </m:r>
        <m:r>
          <m:t>S</m:t>
        </m:r>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rPr>
                <m:sty m:val="p"/>
              </m:rPr>
              <m:t>(</m:t>
            </m:r>
          </m:e>
        </m:nary>
        <m:sSub>
          <m:e>
            <m:r>
              <m:t>q</m:t>
            </m:r>
          </m:e>
          <m:sub>
            <m:r>
              <m:t>n</m:t>
            </m:r>
          </m:sub>
        </m:sSub>
        <m:r>
          <m:rPr>
            <m:sty m:val="p"/>
          </m:rPr>
          <m:t>−</m:t>
        </m:r>
        <m:sSub>
          <m:e>
            <m:r>
              <m:t>y</m:t>
            </m:r>
          </m:e>
          <m:sub>
            <m:r>
              <m:t>n</m:t>
            </m:r>
          </m:sub>
        </m:sSub>
        <m:sSup>
          <m:e>
            <m:r>
              <m:rPr>
                <m:sty m:val="p"/>
              </m:rPr>
              <m:t>)</m:t>
            </m:r>
          </m:e>
          <m:sup>
            <m:r>
              <m:t>2</m:t>
            </m:r>
          </m:sup>
        </m:sSup>
        <m:r>
          <m:rPr>
            <m:sty m:val="p"/>
          </m:rPr>
          <m:t>.</m:t>
        </m:r>
      </m:oMath>
      <w:r>
        <w:rPr>
          <w:rFonts w:ascii="Times New Roman" w:hAnsi="Times New Roman" w:eastAsia="Times New Roman"/>
          <w:sz w:val="24"/>
        </w:rPr>
        <w:tab/>
        <w:t>(5)</w:t>
      </w:r>
    </w:p>
    <w:p>
      <w:pPr>
        <w:pStyle w:val="FirstParagraph"/>
        <w:spacing w:before="0" w:after="200" w:line="276" w:lineRule="auto"/>
        <w:jc w:val="both"/>
      </w:pPr>
      <w:r>
        <w:rPr>
          <w:rFonts w:ascii="Times New Roman" w:hAnsi="Times New Roman" w:eastAsia="Times New Roman"/>
          <w:b w:val="0"/>
          <w:sz w:val="24"/>
        </w:rPr>
        <w:t xml:space="preserve">Lower values are better. Because a constant low probability can score well on a rare outcome, models are compared with the training-rate benchmark.</w:t>
      </w:r>
    </w:p>
    <w:p>
      <w:pPr>
        <w:pStyle w:val="BodyText"/>
        <w:spacing w:before="0" w:after="200" w:line="276" w:lineRule="auto"/>
        <w:jc w:val="both"/>
      </w:pPr>
      <w:r>
        <w:rPr>
          <w:rFonts w:ascii="Times New Roman" w:hAnsi="Times New Roman" w:eastAsia="Times New Roman"/>
          <w:b w:val="0"/>
          <w:sz w:val="24"/>
        </w:rPr>
        <w:t xml:space="preserve">At the frozen alert threshold,</w:t>
      </w:r>
      <w:r>
        <w:rPr>
          <w:rFonts w:ascii="Times New Roman" w:hAnsi="Times New Roman" w:eastAsia="Times New Roman"/>
          <w:b w:val="0"/>
          <w:sz w:val="24"/>
        </w:rPr>
        <w:t xml:space="preserve"> </w:t>
      </w:r>
      <w:r>
        <w:rPr>
          <w:rFonts w:ascii="Times New Roman" w:hAnsi="Times New Roman" w:eastAsia="Times New Roman"/>
          <w:b w:val="0"/>
          <w:bCs/>
          <w:sz w:val="24"/>
        </w:rPr>
        <w:t xml:space="preserve">precision</w:t>
      </w:r>
      <w:r>
        <w:rPr>
          <w:rFonts w:ascii="Times New Roman" w:hAnsi="Times New Roman" w:eastAsia="Times New Roman"/>
          <w:b w:val="0"/>
          <w:sz w:val="24"/>
        </w:rPr>
        <w:t xml:space="preserve"> </w:t>
      </w:r>
      <w:r>
        <w:rPr>
          <w:rFonts w:ascii="Times New Roman" w:hAnsi="Times New Roman" w:eastAsia="Times New Roman"/>
          <w:b w:val="0"/>
          <w:sz w:val="24"/>
        </w:rPr>
        <w:t xml:space="preserve">is the share of alerts followed by an event, while</w:t>
      </w:r>
      <w:r>
        <w:rPr>
          <w:rFonts w:ascii="Times New Roman" w:hAnsi="Times New Roman" w:eastAsia="Times New Roman"/>
          <w:b w:val="0"/>
          <w:sz w:val="24"/>
        </w:rPr>
        <w:t xml:space="preserve"> </w:t>
      </w:r>
      <w:r>
        <w:rPr>
          <w:rFonts w:ascii="Times New Roman" w:hAnsi="Times New Roman" w:eastAsia="Times New Roman"/>
          <w:b w:val="0"/>
          <w:bCs/>
          <w:sz w:val="24"/>
        </w:rPr>
        <w:t xml:space="preserve">recall</w:t>
      </w:r>
      <w:r>
        <w:rPr>
          <w:rFonts w:ascii="Times New Roman" w:hAnsi="Times New Roman" w:eastAsia="Times New Roman"/>
          <w:b w:val="0"/>
          <w:sz w:val="24"/>
        </w:rPr>
        <w:t xml:space="preserve"> </w:t>
      </w:r>
      <w:r>
        <w:rPr>
          <w:rFonts w:ascii="Times New Roman" w:hAnsi="Times New Roman" w:eastAsia="Times New Roman"/>
          <w:b w:val="0"/>
          <w:sz w:val="24"/>
        </w:rPr>
        <w:t xml:space="preserve">is the share of actual positive observations detected by the alerts: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r>
          <m:rPr>
            <m:sty m:val="p"/>
          </m:rPr>
          <m:t>Precision</m:t>
        </m:r>
        <m:r>
          <m:rPr>
            <m:sty m:val="p"/>
          </m:rPr>
          <m:t>=</m:t>
        </m:r>
        <m:f>
          <m:fPr>
            <m:type m:val="bar"/>
          </m:fPr>
          <m:num>
            <m:r>
              <m:t>T</m:t>
            </m:r>
            <m:r>
              <m:t>P</m:t>
            </m:r>
          </m:num>
          <m:den>
            <m:r>
              <m:t>T</m:t>
            </m:r>
            <m:r>
              <m:t>P</m:t>
            </m:r>
            <m:r>
              <m:rPr>
                <m:sty m:val="p"/>
              </m:rPr>
              <m:t>+</m:t>
            </m:r>
            <m:r>
              <m:t>F</m:t>
            </m:r>
            <m:r>
              <m:t>P</m:t>
            </m:r>
          </m:den>
        </m:f>
        <m:r>
          <m:rPr>
            <m:sty m:val="p"/>
          </m:rPr>
          <m:t>,</m:t>
        </m:r>
        <m:r>
          <m:t>  </m:t>
        </m:r>
        <m:r>
          <m:rPr>
            <m:sty m:val="p"/>
          </m:rPr>
          <m:t>Recall</m:t>
        </m:r>
        <m:r>
          <m:rPr>
            <m:sty m:val="p"/>
          </m:rPr>
          <m:t>=</m:t>
        </m:r>
        <m:f>
          <m:fPr>
            <m:type m:val="bar"/>
          </m:fPr>
          <m:num>
            <m:r>
              <m:t>T</m:t>
            </m:r>
            <m:r>
              <m:t>P</m:t>
            </m:r>
          </m:num>
          <m:den>
            <m:r>
              <m:t>T</m:t>
            </m:r>
            <m:r>
              <m:t>P</m:t>
            </m:r>
            <m:r>
              <m:rPr>
                <m:sty m:val="p"/>
              </m:rPr>
              <m:t>+</m:t>
            </m:r>
            <m:r>
              <m:t>F</m:t>
            </m:r>
            <m:r>
              <m:t>N</m:t>
            </m:r>
          </m:den>
        </m:f>
        <m:r>
          <m:rPr>
            <m:sty m:val="p"/>
          </m:rPr>
          <m:t>.</m:t>
        </m:r>
      </m:oMath>
      <w:r>
        <w:rPr>
          <w:rFonts w:ascii="Times New Roman" w:hAnsi="Times New Roman" w:eastAsia="Times New Roman"/>
          <w:sz w:val="24"/>
        </w:rPr>
        <w:tab/>
        <w:t>(6)</w:t>
      </w:r>
    </w:p>
    <w:p>
      <w:pPr>
        <w:pStyle w:val="FirstParagraph"/>
        <w:spacing w:before="0" w:after="200" w:line="276" w:lineRule="auto"/>
        <w:jc w:val="both"/>
      </w:pPr>
      <w:r>
        <w:rPr>
          <w:rFonts w:ascii="Times New Roman" w:hAnsi="Times New Roman" w:eastAsia="Times New Roman"/>
          <w:b w:val="0"/>
          <w:bCs/>
          <w:sz w:val="24"/>
        </w:rPr>
        <w:t xml:space="preserve">F1</w:t>
      </w:r>
      <w:r>
        <w:rPr>
          <w:rFonts w:ascii="Times New Roman" w:hAnsi="Times New Roman" w:eastAsia="Times New Roman"/>
          <w:b w:val="0"/>
          <w:sz w:val="24"/>
        </w:rPr>
        <w:t xml:space="preserve"> </w:t>
      </w:r>
      <w:r>
        <w:rPr>
          <w:rFonts w:ascii="Times New Roman" w:hAnsi="Times New Roman" w:eastAsia="Times New Roman"/>
          <w:b w:val="0"/>
          <w:sz w:val="24"/>
        </w:rPr>
        <w:t xml:space="preserve">combines precision and recall into one value:</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
          <m:e>
            <m:r>
              <m:t>F</m:t>
            </m:r>
          </m:e>
          <m:sub>
            <m:r>
              <m:t>1</m:t>
            </m:r>
          </m:sub>
        </m:sSub>
        <m:r>
          <m:rPr>
            <m:sty m:val="p"/>
          </m:rPr>
          <m:t>=</m:t>
        </m:r>
        <m:f>
          <m:fPr>
            <m:type m:val="bar"/>
          </m:fPr>
          <m:num>
            <m:r>
              <m:t>2</m:t>
            </m:r>
            <m:r>
              <m:t> </m:t>
            </m:r>
            <m:r>
              <m:rPr>
                <m:sty m:val="p"/>
              </m:rPr>
              <m:t>Precision</m:t>
            </m:r>
            <m:r>
              <m:t> </m:t>
            </m:r>
            <m:r>
              <m:rPr>
                <m:sty m:val="p"/>
              </m:rPr>
              <m:t>Recall</m:t>
            </m:r>
          </m:num>
          <m:den>
            <m:r>
              <m:rPr>
                <m:sty m:val="p"/>
              </m:rPr>
              <m:t>Precision</m:t>
            </m:r>
            <m:r>
              <m:rPr>
                <m:sty m:val="p"/>
              </m:rPr>
              <m:t>+</m:t>
            </m:r>
            <m:r>
              <m:rPr>
                <m:sty m:val="p"/>
              </m:rPr>
              <m:t>Recall</m:t>
            </m:r>
          </m:den>
        </m:f>
        <m:r>
          <m:rPr>
            <m:sty m:val="p"/>
          </m:rPr>
          <m:t>.</m:t>
        </m:r>
      </m:oMath>
      <w:r>
        <w:rPr>
          <w:rFonts w:ascii="Times New Roman" w:hAnsi="Times New Roman" w:eastAsia="Times New Roman"/>
          <w:sz w:val="24"/>
        </w:rPr>
        <w:tab/>
        <w:t>(7)</w:t>
      </w:r>
    </w:p>
    <w:p>
      <w:pPr>
        <w:pStyle w:val="FirstParagraph"/>
        <w:spacing w:before="0" w:after="200" w:line="276" w:lineRule="auto"/>
        <w:jc w:val="both"/>
      </w:pPr>
      <w:r>
        <w:rPr>
          <w:rFonts w:ascii="Times New Roman" w:hAnsi="Times New Roman" w:eastAsia="Times New Roman"/>
          <w:b w:val="0"/>
          <w:sz w:val="24"/>
        </w:rPr>
        <w:t xml:space="preserve">The study also reports the confusion matrix, event share, number of observations and number of distinct episodes detected. Precision or recall is set to zero when its denominator is zero.</w:t>
      </w:r>
    </w:p>
    <w:p>
      <w:pPr>
        <w:pStyle w:val="BodyText"/>
        <w:spacing w:before="0" w:after="200" w:line="276" w:lineRule="auto"/>
        <w:jc w:val="both"/>
      </w:pPr>
      <w:r>
        <w:rPr>
          <w:rFonts w:ascii="Times New Roman" w:hAnsi="Times New Roman" w:eastAsia="Times New Roman"/>
          <w:b w:val="0"/>
          <w:sz w:val="24"/>
        </w:rPr>
        <w:t xml:space="preserve">Uncertainty is estimated with 500 company-cluster bootstrap repetitions. Companies are sampled with replacement, and all monthly observations for each sampled company remain together. The 2.5th and 97.5th percentiles form the reported 95% interval. Repetitions containing only one outcome class are excluded and counted.</w:t>
      </w:r>
    </w:p>
    <w:p>
      <w:pPr>
        <w:pStyle w:val="BodyText"/>
        <w:spacing w:before="0" w:after="200" w:line="276" w:lineRule="auto"/>
        <w:jc w:val="both"/>
      </w:pPr>
      <w:r>
        <w:rPr>
          <w:rFonts w:ascii="Times New Roman" w:hAnsi="Times New Roman" w:eastAsia="Times New Roman"/>
          <w:b w:val="0"/>
          <w:sz w:val="24"/>
        </w:rPr>
        <w:t xml:space="preserve">These intervals preserve dependence within a company but do not capture shared economic shocks, model-selection uncertainty, changes in sample construction or errors in the disclosure labels. They are conditional on the fitted models and the constructed dataset.</w:t>
      </w:r>
    </w:p>
    <w:p>
      <w:pPr>
        <w:pStyle w:val="Heading2"/>
      </w:pPr>
      <w:bookmarkStart w:id="129" w:name="_cdfe77d7836f79f31b35a4084374c4f8e3f3e10"/>
      <w:r>
        <w:rPr>
          <w:rFonts w:ascii="Times New Roman" w:hAnsi="Times New Roman" w:eastAsia="Times New Roman"/>
          <w:b/>
          <w:sz w:val="26"/>
        </w:rPr>
        <w:t xml:space="preserve">4.7 Probability Calibration</w:t>
      </w:r>
      <w:bookmarkEnd w:id="129"/>
    </w:p>
    <w:p>
      <w:pPr>
        <w:pStyle w:val="FirstParagraph"/>
        <w:spacing w:before="0" w:after="200" w:line="276" w:lineRule="auto"/>
        <w:jc w:val="both"/>
      </w:pPr>
      <w:r>
        <w:rPr>
          <w:rFonts w:ascii="Times New Roman" w:hAnsi="Times New Roman" w:eastAsia="Times New Roman"/>
          <w:b w:val="0"/>
          <w:sz w:val="24"/>
        </w:rPr>
        <w:t xml:space="preserve">Calibration asks whether predicted probabilities match observed event rates.</w:t>
      </w:r>
    </w:p>
    <w:p>
      <w:pPr>
        <w:pStyle w:val="BodyText"/>
        <w:spacing w:before="0" w:after="200" w:line="276" w:lineRule="auto"/>
        <w:jc w:val="both"/>
      </w:pPr>
      <w:r>
        <w:rPr>
          <w:rFonts w:ascii="Times New Roman" w:hAnsi="Times New Roman" w:eastAsia="Times New Roman"/>
          <w:b w:val="0"/>
          <w:sz w:val="24"/>
        </w:rPr>
        <w:t xml:space="preserve">Each family first produces a</w:t>
      </w:r>
      <w:r>
        <w:rPr>
          <w:rFonts w:ascii="Times New Roman" w:hAnsi="Times New Roman" w:eastAsia="Times New Roman"/>
          <w:b w:val="0"/>
          <w:sz w:val="24"/>
        </w:rPr>
        <w:t xml:space="preserve"> </w:t>
      </w:r>
      <w:r>
        <w:rPr>
          <w:rFonts w:ascii="Times New Roman" w:hAnsi="Times New Roman" w:eastAsia="Times New Roman"/>
          <w:b w:val="0"/>
          <w:bCs/>
          <w:sz w:val="24"/>
        </w:rPr>
        <w:t xml:space="preserve">raw probability</w:t>
      </w:r>
      <w:r>
        <w:rPr>
          <w:rFonts w:ascii="Times New Roman" w:hAnsi="Times New Roman" w:eastAsia="Times New Roman"/>
          <w:b w:val="0"/>
          <w:sz w:val="24"/>
        </w:rPr>
        <w:t xml:space="preserve">. The fitted model is then frozen, and a sigmoid correction is learned from the 2019 calibration observations. This correction changes the probability scale but does not refit the underlying logistic coefficients or decision trees.</w:t>
      </w:r>
    </w:p>
    <w:p>
      <w:pPr>
        <w:pStyle w:val="BodyText"/>
        <w:spacing w:before="0" w:after="200" w:line="276" w:lineRule="auto"/>
        <w:jc w:val="both"/>
      </w:pPr>
      <w:r>
        <w:rPr>
          <w:rFonts w:ascii="Times New Roman" w:hAnsi="Times New Roman" w:eastAsia="Times New Roman"/>
          <w:b w:val="0"/>
          <w:sz w:val="24"/>
        </w:rPr>
        <w:t xml:space="preserve">The raw and corrected probabilities are compared on the 2020–2022 selection period. The version with the lower Brier score is retained; an exact tie favors the raw probability. This allows calibration to help when needed without forcing an unnecessary adjustment.</w:t>
      </w:r>
    </w:p>
    <w:p>
      <w:pPr>
        <w:pStyle w:val="BodyText"/>
        <w:spacing w:before="0" w:after="200" w:line="276" w:lineRule="auto"/>
        <w:jc w:val="both"/>
      </w:pPr>
      <w:r>
        <w:rPr>
          <w:rFonts w:ascii="Times New Roman" w:hAnsi="Times New Roman" w:eastAsia="Times New Roman"/>
          <w:b w:val="0"/>
          <w:sz w:val="24"/>
        </w:rPr>
        <w:t xml:space="preserve">Later evaluation compares predicted probabilities with observed rates using ten equal-width groups and probability quantiles, which help when rare-event estimates occupy a narrow range. These diagnostics do not change the model.</w:t>
      </w:r>
    </w:p>
    <w:p>
      <w:pPr>
        <w:pStyle w:val="Heading2"/>
      </w:pPr>
      <w:bookmarkStart w:id="130" w:name="_bbddf986a26b2b9e5dfdaaab41a77d410302710"/>
      <w:r>
        <w:rPr>
          <w:rFonts w:ascii="Times New Roman" w:hAnsi="Times New Roman" w:eastAsia="Times New Roman"/>
          <w:b/>
          <w:sz w:val="26"/>
        </w:rPr>
        <w:t xml:space="preserve">4.8 Model Interpretation and Error Analysis</w:t>
      </w:r>
      <w:bookmarkEnd w:id="130"/>
    </w:p>
    <w:p>
      <w:pPr>
        <w:pStyle w:val="FirstParagraph"/>
        <w:spacing w:before="0" w:after="200" w:line="276" w:lineRule="auto"/>
        <w:jc w:val="both"/>
      </w:pPr>
      <w:r>
        <w:rPr>
          <w:rFonts w:ascii="Times New Roman" w:hAnsi="Times New Roman" w:eastAsia="Times New Roman"/>
          <w:b w:val="0"/>
          <w:sz w:val="24"/>
        </w:rPr>
        <w:t xml:space="preserve">Logistic coefficients show associations after feature scaling, not causal effects. Missing-value indicators are reported separately because missing accounting data may reflect reporting coverage rather than the company’s financial condition.</w:t>
      </w:r>
    </w:p>
    <w:p>
      <w:pPr>
        <w:pStyle w:val="BodyText"/>
        <w:spacing w:before="0" w:after="200" w:line="276" w:lineRule="auto"/>
        <w:jc w:val="both"/>
      </w:pPr>
      <w:r>
        <w:rPr>
          <w:rFonts w:ascii="Times New Roman" w:hAnsi="Times New Roman" w:eastAsia="Times New Roman"/>
          <w:b w:val="0"/>
          <w:sz w:val="24"/>
        </w:rPr>
        <w:t xml:space="preserve">For the selected model, each original feature is randomly rearranged 20 times in the selection period. The increase in Brier score shows how much the model relied on that feature during that period. Features can contain overlapping information, so a low importance value does not prove that the underlying financial concept is irrelevant.</w:t>
      </w:r>
    </w:p>
    <w:p>
      <w:pPr>
        <w:pStyle w:val="BodyText"/>
        <w:spacing w:before="0" w:after="200" w:line="276" w:lineRule="auto"/>
        <w:jc w:val="both"/>
      </w:pPr>
      <w:r>
        <w:rPr>
          <w:rFonts w:ascii="Times New Roman" w:hAnsi="Times New Roman" w:eastAsia="Times New Roman"/>
          <w:b w:val="0"/>
          <w:sz w:val="24"/>
        </w:rPr>
        <w:t xml:space="preserve">Later error analysis reports false alerts, missed events, annual performance and distinct episode detection. It describes the frozen model’s limitations and is not used to redesign the model after seeing later outcomes.</w:t>
      </w:r>
    </w:p>
    <w:p>
      <w:pPr>
        <w:pStyle w:val="Heading2"/>
      </w:pPr>
      <w:bookmarkStart w:id="131" w:name="_79220f616a884fe0afa9bb8eec6191dfe0924df"/>
      <w:r>
        <w:rPr>
          <w:rFonts w:ascii="Times New Roman" w:hAnsi="Times New Roman" w:eastAsia="Times New Roman"/>
          <w:b/>
          <w:sz w:val="26"/>
        </w:rPr>
        <w:t xml:space="preserve">4.9 Final Model Selection and Connection to the Policy</w:t>
      </w:r>
      <w:bookmarkEnd w:id="131"/>
    </w:p>
    <w:p>
      <w:pPr>
        <w:pStyle w:val="FirstParagraph"/>
        <w:spacing w:before="0" w:after="200" w:line="276" w:lineRule="auto"/>
        <w:jc w:val="both"/>
      </w:pPr>
      <w:r>
        <w:rPr>
          <w:rFonts w:ascii="Times New Roman" w:hAnsi="Times New Roman" w:eastAsia="Times New Roman"/>
          <w:b w:val="0"/>
          <w:sz w:val="24"/>
        </w:rPr>
        <w:t xml:space="preserve">A model family can qualify only when, on the 2020–2022 selection period:</w:t>
      </w:r>
    </w:p>
    <w:p>
      <w:pPr>
        <w:pStyle w:val="Compact"/>
        <w:numPr>
          <w:ilvl w:val="0"/>
          <w:numId w:val="1005"/>
        </w:numPr>
        <w:spacing w:before="0" w:after="200" w:line="276" w:lineRule="auto"/>
        <w:jc w:val="left"/>
      </w:pPr>
      <w:r>
        <w:rPr>
          <w:rFonts w:ascii="Times New Roman" w:hAnsi="Times New Roman" w:eastAsia="Times New Roman"/>
          <w:b w:val="0"/>
          <w:sz w:val="24"/>
        </w:rPr>
        <w:t xml:space="preserve">its average precision is higher than the observed event share; and</w:t>
      </w:r>
    </w:p>
    <w:p>
      <w:pPr>
        <w:pStyle w:val="Compact"/>
        <w:numPr>
          <w:ilvl w:val="0"/>
          <w:numId w:val="1005"/>
        </w:numPr>
        <w:spacing w:before="0" w:after="200" w:line="276" w:lineRule="auto"/>
        <w:jc w:val="left"/>
      </w:pPr>
      <w:r>
        <w:rPr>
          <w:rFonts w:ascii="Times New Roman" w:hAnsi="Times New Roman" w:eastAsia="Times New Roman"/>
          <w:b w:val="0"/>
          <w:sz w:val="24"/>
        </w:rPr>
        <w:t xml:space="preserve">its Brier score is lower than the constant prediction based on the original training event rate.</w:t>
      </w:r>
    </w:p>
    <w:p>
      <w:pPr>
        <w:pStyle w:val="FirstParagraph"/>
        <w:spacing w:before="0" w:after="200" w:line="276" w:lineRule="auto"/>
        <w:jc w:val="both"/>
      </w:pPr>
      <w:r>
        <w:rPr>
          <w:rFonts w:ascii="Times New Roman" w:hAnsi="Times New Roman" w:eastAsia="Times New Roman"/>
          <w:b w:val="0"/>
          <w:sz w:val="24"/>
        </w:rPr>
        <w:t xml:space="preserve">These requirements demand improvement in both ranking and probability error. Among qualifying families, the model with the lowest Brier score is selected. An exact tie favors the simpler family in this order: logistic regression, L2 logistic regression, random forest and XGBoost.</w:t>
      </w:r>
    </w:p>
    <w:p>
      <w:pPr>
        <w:pStyle w:val="BodyText"/>
        <w:spacing w:before="0" w:after="200" w:line="276" w:lineRule="auto"/>
        <w:jc w:val="both"/>
      </w:pPr>
      <w:r>
        <w:rPr>
          <w:rFonts w:ascii="Times New Roman" w:hAnsi="Times New Roman" w:eastAsia="Times New Roman"/>
          <w:b w:val="0"/>
          <w:sz w:val="24"/>
        </w:rPr>
        <w:t xml:space="preserve">The final choice is saved before predictions for 2023–2025 are generated. The rule does not require the highest average precision and does not prove that the selected family is statistically superior. Chapter 6 therefore reports all model families.</w:t>
      </w:r>
    </w:p>
    <w:p>
      <w:pPr>
        <w:pStyle w:val="BodyText"/>
        <w:spacing w:before="0" w:after="200" w:line="276" w:lineRule="auto"/>
        <w:jc w:val="both"/>
      </w:pPr>
      <w:r>
        <w:rPr>
          <w:rFonts w:ascii="Times New Roman" w:hAnsi="Times New Roman" w:eastAsia="Times New Roman"/>
          <w:b w:val="0"/>
          <w:sz w:val="24"/>
        </w:rPr>
        <w:t xml:space="preserve">The selected probability enters the credit-limit rule in Chapter 5 without refitting on later outcomes. Credit-policy coefficients are separate scenario assumptions and are not optimized using the later evaluation results.</w:t>
      </w:r>
    </w:p>
    <w:p>
      <w:pPr>
        <w:pStyle w:val="Heading1"/>
        <w:pageBreakBefore/>
      </w:pPr>
      <w:bookmarkStart w:id="132" w:name="_b3f9ecc519ac69a0df3ad2908ac67f3b82b0e19"/>
      <w:r>
        <w:rPr>
          <w:rFonts w:ascii="Times New Roman" w:hAnsi="Times New Roman" w:eastAsia="Times New Roman"/>
          <w:b/>
          <w:sz w:val="32"/>
        </w:rPr>
        <w:t xml:space="preserve">5 Credit Limit Methodology</w:t>
      </w:r>
      <w:bookmarkEnd w:id="132"/>
    </w:p>
    <w:p>
      <w:pPr>
        <w:pStyle w:val="FirstParagraph"/>
        <w:spacing w:before="0" w:after="200" w:line="276" w:lineRule="auto"/>
        <w:jc w:val="both"/>
      </w:pPr>
      <w:r>
        <w:rPr>
          <w:rFonts w:ascii="Times New Roman" w:hAnsi="Times New Roman" w:eastAsia="Times New Roman"/>
          <w:b w:val="0"/>
          <w:sz w:val="24"/>
        </w:rPr>
        <w:t xml:space="preserve">The proposed policy translates financial data and the estimated 60-day disclosure probability into a hypothetical credit limit. It combines capacity, a risk reduction, an exposure cap and monthly update rules, including an immediate zero limit for a known qualifying disclosure. Chapter 7 replays it on historical SEC data.</w:t>
      </w:r>
    </w:p>
    <w:p>
      <w:pPr>
        <w:pStyle w:val="Heading2"/>
      </w:pPr>
      <w:bookmarkStart w:id="133" w:name="_cb3bf3c1af5828e277b5eb0501e9be1e10f1bb6"/>
      <w:r>
        <w:rPr>
          <w:rFonts w:ascii="Times New Roman" w:hAnsi="Times New Roman" w:eastAsia="Times New Roman"/>
          <w:b/>
          <w:sz w:val="26"/>
        </w:rPr>
        <w:t xml:space="preserve">5.1 Design Principles</w:t>
      </w:r>
      <w:bookmarkEnd w:id="133"/>
    </w:p>
    <w:p>
      <w:pPr>
        <w:pStyle w:val="FirstParagraph"/>
        <w:spacing w:before="0" w:after="200" w:line="276" w:lineRule="auto"/>
        <w:jc w:val="both"/>
      </w:pPr>
      <w:r>
        <w:rPr>
          <w:rFonts w:ascii="Times New Roman" w:hAnsi="Times New Roman" w:eastAsia="Times New Roman"/>
          <w:b w:val="0"/>
          <w:sz w:val="24"/>
        </w:rPr>
        <w:t xml:space="preserve">The limit is the maximum total facility balance, including unpaid amounts from earlier periods. Available new credit equals the assigned limit less the outstanding balance.</w:t>
      </w:r>
    </w:p>
    <w:p>
      <w:pPr>
        <w:pStyle w:val="BodyText"/>
        <w:spacing w:before="0" w:after="200" w:line="276" w:lineRule="auto"/>
        <w:jc w:val="both"/>
      </w:pPr>
      <w:r>
        <w:rPr>
          <w:rFonts w:ascii="Times New Roman" w:hAnsi="Times New Roman" w:eastAsia="Times New Roman"/>
          <w:b w:val="0"/>
          <w:sz w:val="24"/>
        </w:rPr>
        <w:t xml:space="preserve">The model estimates the Chapter 3 disclosure probability; the policy converts it and financial inputs into an amount. Low estimated risk alone cannot justify a large limit without sufficient capacity.</w:t>
      </w:r>
    </w:p>
    <w:p>
      <w:pPr>
        <w:pStyle w:val="BodyText"/>
        <w:spacing w:before="0" w:after="200" w:line="276" w:lineRule="auto"/>
        <w:jc w:val="both"/>
      </w:pPr>
      <w:r>
        <w:rPr>
          <w:rFonts w:ascii="Times New Roman" w:hAnsi="Times New Roman" w:eastAsia="Times New Roman"/>
          <w:b w:val="0"/>
          <w:sz w:val="24"/>
        </w:rPr>
        <w:t xml:space="preserve">All inputs must be available on the review date and monetary values must use the same currency. The policy coefficients are research assumptions tested through sensitivity analysis. They are not fitted lending standards.</w:t>
      </w:r>
    </w:p>
    <w:p>
      <w:pPr>
        <w:pStyle w:val="Heading2"/>
      </w:pPr>
      <w:bookmarkStart w:id="134" w:name="_5a035dc8d6e42c113b520c30c0494db2c629425"/>
      <w:r>
        <w:rPr>
          <w:rFonts w:ascii="Times New Roman" w:hAnsi="Times New Roman" w:eastAsia="Times New Roman"/>
          <w:b/>
          <w:sz w:val="26"/>
        </w:rPr>
        <w:t xml:space="preserve">5.2 Capacity Proxy and Input Assumptions</w:t>
      </w:r>
      <w:bookmarkEnd w:id="134"/>
    </w:p>
    <w:p>
      <w:pPr>
        <w:pStyle w:val="FirstParagraph"/>
        <w:spacing w:before="0" w:after="200" w:line="276" w:lineRule="auto"/>
        <w:jc w:val="both"/>
      </w:pPr>
      <w:r>
        <w:rPr>
          <w:rFonts w:ascii="Times New Roman" w:hAnsi="Times New Roman" w:eastAsia="Times New Roman"/>
          <w:b w:val="0"/>
          <w:sz w:val="24"/>
        </w:rPr>
        <w:t xml:space="preserve">The historical replay combines reported SEC values, model outputs and assumptions about a hypothetical lending facility. This distinction is important because SEC filings do not report whether cash is available to a lender, the company’s exact debt payments over the next 60 days or the balance on the studied facility.</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Input</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Value used in the replay</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Type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Annual revenue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Latest eligible SEC annual value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Observed accounting data</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Annual operating cash flow</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Latest eligible SEC annual value for the same period</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Observed accounting data</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Reported cash</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Latest eligible SEC balance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Observed accounting data</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Total assets</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Latest eligible SEC balance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Observed accounting data</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60-day disclosure probability</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Output from the selected prediction model</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Model estimate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Known qualifying disclosure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Derived from SEC filings available by the review date</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SEC-derived indicator</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Eligible cash</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100% of reported cash in the base scenario</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Scenario assumption</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Additional external debt payments due within 60 days</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Zero in the base scenario</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Scenario assumption</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Maximum exposure</w:t>
            </w:r>
          </w:p>
        </w:tc>
        <w:tc>
          <w:tcPr>
            <w:tcW w:type="dxa" w:w="2987"/>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1% of reported assets in the base scenario</w:t>
            </w:r>
          </w:p>
        </w:tc>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Scenario assumption</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Outstanding facility exposure</w:t>
            </w:r>
          </w:p>
        </w:tc>
        <w:tc>
          <w:tcPr>
            <w:tcW w:type="dxa" w:w="2987"/>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Zero in the base scenario</w:t>
            </w:r>
          </w:p>
        </w:tc>
        <w:tc>
          <w:tcPr>
            <w:tcW w:type="dxa" w:w="263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Scenario assumption</w:t>
            </w:r>
          </w:p>
        </w:tc>
      </w:tr>
    </w:tbl>
    <w:p>
      <w:pPr>
        <w:pStyle w:val="Caption"/>
        <w:spacing w:line="240" w:lineRule="auto"/>
        <w:jc w:val="center"/>
      </w:pPr>
      <w:r>
        <w:rPr>
          <w:rFonts w:ascii="Times New Roman" w:hAnsi="Times New Roman" w:eastAsia="Times New Roman"/>
          <w:i/>
          <w:iCs/>
          <w:sz w:val="24"/>
        </w:rPr>
        <w:t xml:space="preserve">Table 8. Observed and assumed inputs to the policy replay.</w:t>
      </w:r>
    </w:p>
    <w:p>
      <w:pPr>
        <w:pStyle w:val="BodyText"/>
        <w:spacing w:before="120" w:after="120" w:line="240" w:lineRule="auto"/>
        <w:jc w:val="center"/>
      </w:pPr>
      <w:r>
        <w:rPr>
          <w:rFonts w:ascii="Times New Roman" w:hAnsi="Times New Roman" w:eastAsia="Times New Roman"/>
          <w:b w:val="0"/>
          <w:sz w:val="24"/>
        </w:rPr>
        <w:t xml:space="preserve">For company</w:t>
      </w:r>
      <w:r>
        <w:rPr>
          <w:rFonts w:ascii="Times New Roman" w:hAnsi="Times New Roman" w:eastAsia="Times New Roman"/>
          <w:b w:val="0"/>
          <w:sz w:val="24"/>
        </w:rPr>
        <w:t xml:space="preserve"> </w:t>
      </w:r>
      <m:oMath>
        <m:r>
          <m:t>i</m:t>
        </m:r>
      </m:oMath>
      <w:r>
        <w:rPr>
          <w:rFonts w:ascii="Times New Roman" w:hAnsi="Times New Roman" w:eastAsia="Times New Roman"/>
          <w:b w:val="0"/>
          <w:sz w:val="24"/>
        </w:rPr>
        <w:t xml:space="preserve"> </w:t>
      </w:r>
      <w:r>
        <w:rPr>
          <w:rFonts w:ascii="Times New Roman" w:hAnsi="Times New Roman" w:eastAsia="Times New Roman"/>
          <w:b w:val="0"/>
          <w:sz w:val="24"/>
        </w:rPr>
        <w:t xml:space="preserve">at review date</w:t>
      </w:r>
      <w:r>
        <w:rPr>
          <w:rFonts w:ascii="Times New Roman" w:hAnsi="Times New Roman" w:eastAsia="Times New Roman"/>
          <w:b w:val="0"/>
          <w:sz w:val="24"/>
        </w:rPr>
        <w:t xml:space="preserve"> </w:t>
      </w:r>
      <m:oMath>
        <m:r>
          <m:t>t</m:t>
        </m:r>
      </m:oMath>
      <w:r>
        <w:rPr>
          <w:rFonts w:ascii="Times New Roman" w:hAnsi="Times New Roman" w:eastAsia="Times New Roman"/>
          <w:b w:val="0"/>
          <w:sz w:val="24"/>
        </w:rPr>
        <w:t xml:space="preserve">, define:</w:t>
      </w:r>
    </w:p>
    <w:p>
      <w:pPr>
        <w:pStyle w:val="Compact"/>
        <w:numPr>
          <w:ilvl w:val="0"/>
          <w:numId w:val="1006"/>
        </w:numPr>
        <w:spacing w:before="120" w:after="120" w:line="240" w:lineRule="auto"/>
        <w:jc w:val="center"/>
      </w:pPr>
      <m:oMath>
        <m:sSub>
          <m:e>
            <m:r>
              <m:t>R</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as annual revenue;</w:t>
      </w:r>
    </w:p>
    <w:p>
      <w:pPr>
        <w:pStyle w:val="Compact"/>
        <w:numPr>
          <w:ilvl w:val="0"/>
          <w:numId w:val="1006"/>
        </w:numPr>
        <w:spacing w:before="120" w:after="120" w:line="240" w:lineRule="auto"/>
        <w:jc w:val="center"/>
      </w:pPr>
      <m:oMath>
        <m:sSub>
          <m:e>
            <m:r>
              <m:t>F</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as annual operating cash flow for the same period;</w:t>
      </w:r>
    </w:p>
    <w:p>
      <w:pPr>
        <w:pStyle w:val="Compact"/>
        <w:numPr>
          <w:ilvl w:val="0"/>
          <w:numId w:val="1006"/>
        </w:numPr>
        <w:spacing w:before="120" w:after="120" w:line="240" w:lineRule="auto"/>
        <w:jc w:val="center"/>
      </w:pPr>
      <m:oMath>
        <m:sSub>
          <m:e>
            <m:r>
              <m:t>B</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as cash considered eligible to support repayment;</w:t>
      </w:r>
    </w:p>
    <w:p>
      <w:pPr>
        <w:pStyle w:val="Compact"/>
        <w:numPr>
          <w:ilvl w:val="0"/>
          <w:numId w:val="1006"/>
        </w:numPr>
        <w:spacing w:before="120" w:after="120" w:line="240" w:lineRule="auto"/>
        <w:jc w:val="center"/>
      </w:pPr>
      <m:oMath>
        <m:sSubSup>
          <m:e>
            <m:r>
              <m:t>D</m:t>
            </m:r>
          </m:e>
          <m:sub>
            <m:r>
              <m:t>i</m:t>
            </m:r>
            <m:r>
              <m:rPr>
                <m:sty m:val="p"/>
              </m:rPr>
              <m:t>,</m:t>
            </m:r>
            <m:r>
              <m:t>t</m:t>
            </m:r>
          </m:sub>
          <m:sup>
            <m:r>
              <m:t>60</m:t>
            </m:r>
          </m:sup>
        </m:sSubSup>
      </m:oMath>
      <w:r>
        <w:rPr>
          <w:rFonts w:ascii="Times New Roman" w:hAnsi="Times New Roman" w:eastAsia="Times New Roman"/>
          <w:b w:val="0"/>
          <w:sz w:val="24"/>
        </w:rPr>
        <w:t xml:space="preserve"> </w:t>
      </w:r>
      <w:r>
        <w:rPr>
          <w:rFonts w:ascii="Times New Roman" w:hAnsi="Times New Roman" w:eastAsia="Times New Roman"/>
          <w:b w:val="0"/>
          <w:sz w:val="24"/>
        </w:rPr>
        <w:t xml:space="preserve">as additional external debt payments due within the next 60 days.</w:t>
      </w:r>
    </w:p>
    <w:p>
      <w:pPr>
        <w:pStyle w:val="FirstParagraph"/>
        <w:spacing w:before="0" w:after="200" w:line="276" w:lineRule="auto"/>
        <w:jc w:val="both"/>
      </w:pPr>
      <w:r>
        <w:rPr>
          <w:rFonts w:ascii="Times New Roman" w:hAnsi="Times New Roman" w:eastAsia="Times New Roman"/>
          <w:b w:val="0"/>
          <w:sz w:val="24"/>
        </w:rPr>
        <w:t xml:space="preserve">The policy first calculates a revenue-based amount:</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C</m:t>
            </m:r>
          </m:e>
          <m:sub>
            <m:r>
              <m:t>i</m:t>
            </m:r>
            <m:r>
              <m:rPr>
                <m:sty m:val="p"/>
              </m:rPr>
              <m:t>,</m:t>
            </m:r>
            <m:r>
              <m:t>t</m:t>
            </m:r>
          </m:sub>
          <m:sup>
            <m:r>
              <m:t>R</m:t>
            </m:r>
          </m:sup>
        </m:sSubSup>
        <m:r>
          <m:rPr>
            <m:sty m:val="p"/>
          </m:rPr>
          <m:t>=</m:t>
        </m:r>
        <m:r>
          <m:t>a</m:t>
        </m:r>
        <m:f>
          <m:fPr>
            <m:type m:val="bar"/>
          </m:fPr>
          <m:num>
            <m:sSub>
              <m:e>
                <m:r>
                  <m:t>R</m:t>
                </m:r>
              </m:e>
              <m:sub>
                <m:r>
                  <m:t>i</m:t>
                </m:r>
                <m:r>
                  <m:rPr>
                    <m:sty m:val="p"/>
                  </m:rPr>
                  <m:t>,</m:t>
                </m:r>
                <m:r>
                  <m:t>t</m:t>
                </m:r>
              </m:sub>
            </m:sSub>
          </m:num>
          <m:den>
            <m:r>
              <m:t>6</m:t>
            </m:r>
          </m:den>
        </m:f>
        <m:r>
          <m:rPr>
            <m:sty m:val="p"/>
          </m:rPr>
          <m:t>.</m:t>
        </m:r>
      </m:oMath>
      <w:r>
        <w:rPr>
          <w:rFonts w:ascii="Times New Roman" w:hAnsi="Times New Roman" w:eastAsia="Times New Roman"/>
          <w:sz w:val="24"/>
        </w:rPr>
        <w:tab/>
        <w:t>(8)</w:t>
      </w:r>
    </w:p>
    <w:p>
      <w:pPr>
        <w:pStyle w:val="FirstParagraph"/>
        <w:spacing w:before="0" w:after="200" w:line="276" w:lineRule="auto"/>
        <w:jc w:val="both"/>
      </w:pPr>
      <w:r>
        <w:rPr>
          <w:rFonts w:ascii="Times New Roman" w:hAnsi="Times New Roman" w:eastAsia="Times New Roman"/>
          <w:b w:val="0"/>
          <w:sz w:val="24"/>
        </w:rPr>
        <w:t xml:space="preserve">It also calculates an amount based on operating cash flow and eligible cash:</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C</m:t>
            </m:r>
          </m:e>
          <m:sub>
            <m:r>
              <m:t>i</m:t>
            </m:r>
            <m:r>
              <m:rPr>
                <m:sty m:val="p"/>
              </m:rPr>
              <m:t>,</m:t>
            </m:r>
            <m:r>
              <m:t>t</m:t>
            </m:r>
          </m:sub>
          <m:sup>
            <m:r>
              <m:t>F</m:t>
            </m:r>
          </m:sup>
        </m:sSubSup>
        <m:r>
          <m:rPr>
            <m:sty m:val="p"/>
          </m:rPr>
          <m:t>=</m:t>
        </m:r>
        <m:r>
          <m:t>b</m:t>
        </m:r>
        <m:f>
          <m:fPr>
            <m:type m:val="bar"/>
          </m:fPr>
          <m:num>
            <m:r>
              <m:rPr>
                <m:sty m:val="p"/>
              </m:rPr>
              <m:t>max</m:t>
            </m:r>
            <m:r>
              <m:rPr>
                <m:sty m:val="p"/>
              </m:rPr>
              <m:t>(</m:t>
            </m:r>
            <m:sSub>
              <m:e>
                <m:r>
                  <m:t>F</m:t>
                </m:r>
              </m:e>
              <m:sub>
                <m:r>
                  <m:t>i</m:t>
                </m:r>
                <m:r>
                  <m:rPr>
                    <m:sty m:val="p"/>
                  </m:rPr>
                  <m:t>,</m:t>
                </m:r>
                <m:r>
                  <m:t>t</m:t>
                </m:r>
              </m:sub>
            </m:sSub>
            <m:r>
              <m:rPr>
                <m:sty m:val="p"/>
              </m:rPr>
              <m:t>,</m:t>
            </m:r>
            <m:r>
              <m:t>0</m:t>
            </m:r>
            <m:r>
              <m:rPr>
                <m:sty m:val="p"/>
              </m:rPr>
              <m:t>)</m:t>
            </m:r>
          </m:num>
          <m:den>
            <m:r>
              <m:t>6</m:t>
            </m:r>
          </m:den>
        </m:f>
        <m:r>
          <m:rPr>
            <m:sty m:val="p"/>
          </m:rPr>
          <m:t>+</m:t>
        </m:r>
        <m:r>
          <m:t>c</m:t>
        </m:r>
        <m:sSub>
          <m:e>
            <m:r>
              <m:t>B</m:t>
            </m:r>
          </m:e>
          <m:sub>
            <m:r>
              <m:t>i</m:t>
            </m:r>
            <m:r>
              <m:rPr>
                <m:sty m:val="p"/>
              </m:rPr>
              <m:t>,</m:t>
            </m:r>
            <m:r>
              <m:t>t</m:t>
            </m:r>
          </m:sub>
        </m:sSub>
        <m:r>
          <m:rPr>
            <m:sty m:val="p"/>
          </m:rPr>
          <m:t>.</m:t>
        </m:r>
      </m:oMath>
      <w:r>
        <w:rPr>
          <w:rFonts w:ascii="Times New Roman" w:hAnsi="Times New Roman" w:eastAsia="Times New Roman"/>
          <w:sz w:val="24"/>
        </w:rPr>
        <w:tab/>
        <w:t>(9)</w:t>
      </w:r>
    </w:p>
    <w:p>
      <w:pPr>
        <w:pStyle w:val="FirstParagraph"/>
        <w:spacing w:before="0" w:after="200" w:line="276" w:lineRule="auto"/>
        <w:jc w:val="both"/>
      </w:pPr>
      <w:r>
        <w:rPr>
          <w:rFonts w:ascii="Times New Roman" w:hAnsi="Times New Roman" w:eastAsia="Times New Roman"/>
          <w:b w:val="0"/>
          <w:sz w:val="24"/>
        </w:rPr>
        <w:t xml:space="preserve">The capacity proxy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
          <m:e>
            <m:r>
              <m:t>C</m:t>
            </m:r>
          </m:e>
          <m:sub>
            <m:r>
              <m:t>i</m:t>
            </m:r>
            <m:r>
              <m:rPr>
                <m:sty m:val="p"/>
              </m:rPr>
              <m:t>,</m:t>
            </m:r>
            <m:r>
              <m:t>t</m:t>
            </m:r>
          </m:sub>
        </m:sSub>
        <m:r>
          <m:rPr>
            <m:sty m:val="p"/>
          </m:rPr>
          <m:t>=</m:t>
        </m:r>
        <m:r>
          <m:rPr>
            <m:sty m:val="p"/>
          </m:rPr>
          <m:t>max</m:t>
        </m:r>
        <m:d>
          <m:dPr>
            <m:begChr m:val="("/>
            <m:sepChr m:val=""/>
            <m:endChr m:val=")"/>
            <m:grow/>
          </m:dPr>
          <m:e>
            <m:r>
              <m:t>0</m:t>
            </m:r>
            <m:r>
              <m:rPr>
                <m:sty m:val="p"/>
              </m:rPr>
              <m:t>,</m:t>
            </m:r>
            <m:r>
              <m:rPr>
                <m:sty m:val="p"/>
              </m:rPr>
              <m:t>min</m:t>
            </m:r>
            <m:r>
              <m:rPr>
                <m:sty m:val="p"/>
              </m:rPr>
              <m:t>(</m:t>
            </m:r>
            <m:sSubSup>
              <m:e>
                <m:r>
                  <m:t>C</m:t>
                </m:r>
              </m:e>
              <m:sub>
                <m:r>
                  <m:t>i</m:t>
                </m:r>
                <m:r>
                  <m:rPr>
                    <m:sty m:val="p"/>
                  </m:rPr>
                  <m:t>,</m:t>
                </m:r>
                <m:r>
                  <m:t>t</m:t>
                </m:r>
              </m:sub>
              <m:sup>
                <m:r>
                  <m:t>R</m:t>
                </m:r>
              </m:sup>
            </m:sSubSup>
            <m:r>
              <m:rPr>
                <m:sty m:val="p"/>
              </m:rPr>
              <m:t>,</m:t>
            </m:r>
            <m:sSubSup>
              <m:e>
                <m:r>
                  <m:t>C</m:t>
                </m:r>
              </m:e>
              <m:sub>
                <m:r>
                  <m:t>i</m:t>
                </m:r>
                <m:r>
                  <m:rPr>
                    <m:sty m:val="p"/>
                  </m:rPr>
                  <m:t>,</m:t>
                </m:r>
                <m:r>
                  <m:t>t</m:t>
                </m:r>
              </m:sub>
              <m:sup>
                <m:r>
                  <m:t>F</m:t>
                </m:r>
              </m:sup>
            </m:sSubSup>
            <m:r>
              <m:rPr>
                <m:sty m:val="p"/>
              </m:rPr>
              <m:t>)</m:t>
            </m:r>
            <m:r>
              <m:rPr>
                <m:sty m:val="p"/>
              </m:rPr>
              <m:t>−</m:t>
            </m:r>
            <m:sSubSup>
              <m:e>
                <m:r>
                  <m:t>D</m:t>
                </m:r>
              </m:e>
              <m:sub>
                <m:r>
                  <m:t>i</m:t>
                </m:r>
                <m:r>
                  <m:rPr>
                    <m:sty m:val="p"/>
                  </m:rPr>
                  <m:t>,</m:t>
                </m:r>
                <m:r>
                  <m:t>t</m:t>
                </m:r>
              </m:sub>
              <m:sup>
                <m:r>
                  <m:t>60</m:t>
                </m:r>
              </m:sup>
            </m:sSubSup>
          </m:e>
        </m:d>
        <m:r>
          <m:rPr>
            <m:sty m:val="p"/>
          </m:rPr>
          <m:t>.</m:t>
        </m:r>
      </m:oMath>
      <w:r>
        <w:rPr>
          <w:rFonts w:ascii="Times New Roman" w:hAnsi="Times New Roman" w:eastAsia="Times New Roman"/>
          <w:sz w:val="24"/>
        </w:rPr>
        <w:tab/>
        <w:t>(10)</w:t>
      </w:r>
    </w:p>
    <w:p>
      <w:pPr>
        <w:pStyle w:val="FirstParagraph"/>
        <w:spacing w:before="0" w:after="200" w:line="276" w:lineRule="auto"/>
        <w:jc w:val="both"/>
      </w:pPr>
      <w:r>
        <w:rPr>
          <w:rFonts w:ascii="Times New Roman" w:hAnsi="Times New Roman" w:eastAsia="Times New Roman"/>
          <w:b w:val="0"/>
          <w:sz w:val="24"/>
        </w:rPr>
        <w:t xml:space="preserve">The policy uses the smaller of the two amounts. This prevents high revenue from supporting a large limit when cash generation is weak. Additional external payments due during the 60-day horizon then reduce the result.</w:t>
      </w:r>
    </w:p>
    <w:p>
      <w:pPr>
        <w:pStyle w:val="BodyText"/>
        <w:spacing w:before="0" w:after="200" w:line="276" w:lineRule="auto"/>
        <w:jc w:val="both"/>
      </w:pPr>
      <w:r>
        <w:rPr>
          <w:rFonts w:ascii="Times New Roman" w:hAnsi="Times New Roman" w:eastAsia="Times New Roman"/>
          <w:b w:val="0"/>
          <w:sz w:val="24"/>
        </w:rPr>
        <w:t xml:space="preserve">Revenue and operating cash flow are divided by six because 60 days are approximately one-sixth of a year, an approximation that ignores seasonality. Cash is a balance and is not divided. Negative operating cash flow contributes nothing, although eligible cash can still support capacity.</w:t>
      </w:r>
    </w:p>
    <w:p>
      <w:pPr>
        <w:pStyle w:val="BodyText"/>
        <w:spacing w:before="120" w:after="120" w:line="240" w:lineRule="auto"/>
        <w:jc w:val="center"/>
      </w:pPr>
      <w:r>
        <w:rPr>
          <w:rFonts w:ascii="Times New Roman" w:hAnsi="Times New Roman" w:eastAsia="Times New Roman"/>
          <w:b w:val="0"/>
          <w:sz w:val="24"/>
        </w:rPr>
        <w:t xml:space="preserve">The starting values are</w:t>
      </w:r>
      <w:r>
        <w:rPr>
          <w:rFonts w:ascii="Times New Roman" w:hAnsi="Times New Roman" w:eastAsia="Times New Roman"/>
          <w:b w:val="0"/>
          <w:sz w:val="24"/>
        </w:rPr>
        <w:t xml:space="preserve"> </w:t>
      </w:r>
      <m:oMath>
        <m:r>
          <m:t>a</m:t>
        </m:r>
        <m:r>
          <m:rPr>
            <m:sty m:val="p"/>
          </m:rPr>
          <m:t>=</m:t>
        </m:r>
        <m:r>
          <m:t>0.20</m:t>
        </m:r>
      </m:oMath>
      <w:r>
        <w:rPr>
          <w:rFonts w:ascii="Times New Roman" w:hAnsi="Times New Roman" w:eastAsia="Times New Roman"/>
          <w:b w:val="0"/>
          <w:sz w:val="24"/>
        </w:rPr>
        <w:t xml:space="preserve">,</w:t>
      </w:r>
      <w:r>
        <w:rPr>
          <w:rFonts w:ascii="Times New Roman" w:hAnsi="Times New Roman" w:eastAsia="Times New Roman"/>
          <w:b w:val="0"/>
          <w:sz w:val="24"/>
        </w:rPr>
        <w:t xml:space="preserve"> </w:t>
      </w:r>
      <m:oMath>
        <m:r>
          <m:t>b</m:t>
        </m:r>
        <m:r>
          <m:rPr>
            <m:sty m:val="p"/>
          </m:rPr>
          <m:t>=</m:t>
        </m:r>
        <m:r>
          <m:t>0.50</m:t>
        </m:r>
      </m:oMath>
      <w:r>
        <w:rPr>
          <w:rFonts w:ascii="Times New Roman" w:hAnsi="Times New Roman" w:eastAsia="Times New Roman"/>
          <w:b w:val="0"/>
          <w:sz w:val="24"/>
        </w:rPr>
        <w:t xml:space="preserve"> </w:t>
      </w:r>
      <w:r>
        <w:rPr>
          <w:rFonts w:ascii="Times New Roman" w:hAnsi="Times New Roman" w:eastAsia="Times New Roman"/>
          <w:b w:val="0"/>
          <w:sz w:val="24"/>
        </w:rPr>
        <w:t xml:space="preserve">and</w:t>
      </w:r>
      <w:r>
        <w:rPr>
          <w:rFonts w:ascii="Times New Roman" w:hAnsi="Times New Roman" w:eastAsia="Times New Roman"/>
          <w:b w:val="0"/>
          <w:sz w:val="24"/>
        </w:rPr>
        <w:t xml:space="preserve"> </w:t>
      </w:r>
      <m:oMath>
        <m:r>
          <m:t>c</m:t>
        </m:r>
        <m:r>
          <m:rPr>
            <m:sty m:val="p"/>
          </m:rPr>
          <m:t>=</m:t>
        </m:r>
        <m:r>
          <m:t>0.10</m:t>
        </m:r>
      </m:oMath>
      <w:r>
        <w:rPr>
          <w:rFonts w:ascii="Times New Roman" w:hAnsi="Times New Roman" w:eastAsia="Times New Roman"/>
          <w:b w:val="0"/>
          <w:sz w:val="24"/>
        </w:rPr>
        <w:t xml:space="preserve">. They are illustrative policy choices. Revenue and operating cash flow use the same annual period, and cumulative year-to-date values are not treated as separate quarters.</w:t>
      </w:r>
    </w:p>
    <w:p>
      <w:pPr>
        <w:pStyle w:val="BodyText"/>
        <w:spacing w:before="120" w:after="120" w:line="240" w:lineRule="auto"/>
        <w:jc w:val="center"/>
      </w:pPr>
      <w:r>
        <w:rPr>
          <w:rFonts w:ascii="Times New Roman" w:hAnsi="Times New Roman" w:eastAsia="Times New Roman"/>
          <w:b w:val="0"/>
          <w:sz w:val="24"/>
        </w:rPr>
        <w:t xml:space="preserve">Because eligible cash and exact external debt payments due within 60 days are unobserved, the base replay assumes all reported cash is eligible and</w:t>
      </w:r>
      <w:r>
        <w:rPr>
          <w:rFonts w:ascii="Times New Roman" w:hAnsi="Times New Roman" w:eastAsia="Times New Roman"/>
          <w:b w:val="0"/>
          <w:sz w:val="24"/>
        </w:rPr>
        <w:t xml:space="preserve"> </w:t>
      </w:r>
      <m:oMath>
        <m:sSubSup>
          <m:e>
            <m:r>
              <m:t>D</m:t>
            </m:r>
          </m:e>
          <m:sub>
            <m:r>
              <m:t>i</m:t>
            </m:r>
            <m:r>
              <m:rPr>
                <m:sty m:val="p"/>
              </m:rPr>
              <m:t>,</m:t>
            </m:r>
            <m:r>
              <m:t>t</m:t>
            </m:r>
          </m:sub>
          <m:sup>
            <m:r>
              <m:t>60</m:t>
            </m:r>
          </m:sup>
        </m:sSubSup>
        <m:r>
          <m:rPr>
            <m:sty m:val="p"/>
          </m:rPr>
          <m:t>=</m:t>
        </m:r>
        <m:r>
          <m:t>0</m:t>
        </m:r>
      </m:oMath>
      <w:r>
        <w:rPr>
          <w:rFonts w:ascii="Times New Roman" w:hAnsi="Times New Roman" w:eastAsia="Times New Roman"/>
          <w:b w:val="0"/>
          <w:sz w:val="24"/>
        </w:rPr>
        <w:t xml:space="preserve">. Chapter 7 tests alternatives.</w:t>
      </w:r>
    </w:p>
    <w:p>
      <w:pPr>
        <w:pStyle w:val="Heading2"/>
      </w:pPr>
      <w:bookmarkStart w:id="135" w:name="_9b1bdd14198f10dc607cdc6ccc7f6df7d2471de"/>
      <w:r>
        <w:rPr>
          <w:rFonts w:ascii="Times New Roman" w:hAnsi="Times New Roman" w:eastAsia="Times New Roman"/>
          <w:b/>
          <w:sz w:val="26"/>
        </w:rPr>
        <w:t xml:space="preserve">5.3 Risk Adjustment</w:t>
      </w:r>
      <w:bookmarkEnd w:id="135"/>
    </w:p>
    <w:p>
      <w:pPr>
        <w:pStyle w:val="FirstParagraph"/>
        <w:spacing w:before="120" w:after="120" w:line="240" w:lineRule="auto"/>
        <w:jc w:val="center"/>
      </w:pPr>
      <w:r>
        <w:rPr>
          <w:rFonts w:ascii="Times New Roman" w:hAnsi="Times New Roman" w:eastAsia="Times New Roman"/>
          <w:b w:val="0"/>
          <w:sz w:val="24"/>
        </w:rPr>
        <w:t xml:space="preserve">Let</w:t>
      </w:r>
      <w:r>
        <w:rPr>
          <w:rFonts w:ascii="Times New Roman" w:hAnsi="Times New Roman" w:eastAsia="Times New Roman"/>
          <w:b w:val="0"/>
          <w:sz w:val="24"/>
        </w:rPr>
        <w:t xml:space="preserve"> </w:t>
      </w:r>
      <m:oMath>
        <m:sSub>
          <m:e>
            <m:r>
              <m:t>q</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be the selected model’s estimated probability of a qualifying disclosure within 60 days. The proposed risk multiplier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r>
          <m:t>g</m:t>
        </m:r>
        <m:r>
          <m:rPr>
            <m:sty m:val="p"/>
          </m:rPr>
          <m:t>(</m:t>
        </m:r>
        <m:sSub>
          <m:e>
            <m:r>
              <m:t>q</m:t>
            </m:r>
          </m:e>
          <m:sub>
            <m:r>
              <m:t>i</m:t>
            </m:r>
            <m:r>
              <m:rPr>
                <m:sty m:val="p"/>
              </m:rPr>
              <m:t>,</m:t>
            </m:r>
            <m:r>
              <m:t>t</m:t>
            </m:r>
          </m:sub>
        </m:sSub>
        <m:r>
          <m:rPr>
            <m:sty m:val="p"/>
          </m:rPr>
          <m:t>)</m:t>
        </m:r>
        <m:r>
          <m:rPr>
            <m:sty m:val="p"/>
          </m:rPr>
          <m:t>=</m:t>
        </m:r>
        <m:r>
          <m:rPr>
            <m:sty m:val="p"/>
          </m:rPr>
          <m:t>exp</m:t>
        </m:r>
        <m:r>
          <m:rPr>
            <m:sty m:val="p"/>
          </m:rPr>
          <m:t>(</m:t>
        </m:r>
        <m:r>
          <m:rPr>
            <m:sty m:val="p"/>
          </m:rPr>
          <m:t>−</m:t>
        </m:r>
        <m:r>
          <m:t>k</m:t>
        </m:r>
        <m:sSub>
          <m:e>
            <m:r>
              <m:t>q</m:t>
            </m:r>
          </m:e>
          <m:sub>
            <m:r>
              <m:t>i</m:t>
            </m:r>
            <m:r>
              <m:rPr>
                <m:sty m:val="p"/>
              </m:rPr>
              <m:t>,</m:t>
            </m:r>
            <m:r>
              <m:t>t</m:t>
            </m:r>
          </m:sub>
        </m:sSub>
        <m:r>
          <m:rPr>
            <m:sty m:val="p"/>
          </m:rPr>
          <m:t>)</m:t>
        </m:r>
        <m:r>
          <m:rPr>
            <m:sty m:val="p"/>
          </m:rPr>
          <m:t>,</m:t>
        </m:r>
        <m:r>
          <m:t>  </m:t>
        </m:r>
        <m:r>
          <m:t>k</m:t>
        </m:r>
        <m:r>
          <m:rPr>
            <m:sty m:val="p"/>
          </m:rPr>
          <m:t>≥</m:t>
        </m:r>
        <m:r>
          <m:t>0</m:t>
        </m:r>
        <m:r>
          <m:rPr>
            <m:sty m:val="p"/>
          </m:rPr>
          <m:t>.</m:t>
        </m:r>
      </m:oMath>
      <w:r>
        <w:rPr>
          <w:rFonts w:ascii="Times New Roman" w:hAnsi="Times New Roman" w:eastAsia="Times New Roman"/>
          <w:sz w:val="24"/>
        </w:rPr>
        <w:tab/>
        <w:t>(11)</w:t>
      </w:r>
    </w:p>
    <w:p>
      <w:pPr>
        <w:pStyle w:val="FirstParagraph"/>
        <w:spacing w:before="0" w:after="200" w:line="276" w:lineRule="auto"/>
        <w:jc w:val="both"/>
      </w:pPr>
      <w:r>
        <w:rPr>
          <w:rFonts w:ascii="Times New Roman" w:hAnsi="Times New Roman" w:eastAsia="Times New Roman"/>
          <w:b w:val="0"/>
          <w:sz w:val="24"/>
        </w:rPr>
        <w:t xml:space="preserve">The risk-adjusted capacity proxy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C</m:t>
            </m:r>
          </m:e>
          <m:sub>
            <m:r>
              <m:t>i</m:t>
            </m:r>
            <m:r>
              <m:rPr>
                <m:sty m:val="p"/>
              </m:rPr>
              <m:t>,</m:t>
            </m:r>
            <m:r>
              <m:t>t</m:t>
            </m:r>
          </m:sub>
          <m:sup>
            <m:r>
              <m:t>r</m:t>
            </m:r>
            <m:r>
              <m:t>i</m:t>
            </m:r>
            <m:r>
              <m:t>s</m:t>
            </m:r>
            <m:r>
              <m:t>k</m:t>
            </m:r>
          </m:sup>
        </m:sSubSup>
        <m:r>
          <m:rPr>
            <m:sty m:val="p"/>
          </m:rPr>
          <m:t>=</m:t>
        </m:r>
        <m:sSub>
          <m:e>
            <m:r>
              <m:t>C</m:t>
            </m:r>
          </m:e>
          <m:sub>
            <m:r>
              <m:t>i</m:t>
            </m:r>
            <m:r>
              <m:rPr>
                <m:sty m:val="p"/>
              </m:rPr>
              <m:t>,</m:t>
            </m:r>
            <m:r>
              <m:t>t</m:t>
            </m:r>
          </m:sub>
        </m:sSub>
        <m:r>
          <m:rPr>
            <m:sty m:val="p"/>
          </m:rPr>
          <m:t>exp</m:t>
        </m:r>
        <m:r>
          <m:rPr>
            <m:sty m:val="p"/>
          </m:rPr>
          <m:t>(</m:t>
        </m:r>
        <m:r>
          <m:rPr>
            <m:sty m:val="p"/>
          </m:rPr>
          <m:t>−</m:t>
        </m:r>
        <m:r>
          <m:t>k</m:t>
        </m:r>
        <m:sSub>
          <m:e>
            <m:r>
              <m:t>q</m:t>
            </m:r>
          </m:e>
          <m:sub>
            <m:r>
              <m:t>i</m:t>
            </m:r>
            <m:r>
              <m:rPr>
                <m:sty m:val="p"/>
              </m:rPr>
              <m:t>,</m:t>
            </m:r>
            <m:r>
              <m:t>t</m:t>
            </m:r>
          </m:sub>
        </m:sSub>
        <m:r>
          <m:rPr>
            <m:sty m:val="p"/>
          </m:rPr>
          <m:t>)</m:t>
        </m:r>
        <m:r>
          <m:rPr>
            <m:sty m:val="p"/>
          </m:rPr>
          <m:t>.</m:t>
        </m:r>
      </m:oMath>
      <w:r>
        <w:rPr>
          <w:rFonts w:ascii="Times New Roman" w:hAnsi="Times New Roman" w:eastAsia="Times New Roman"/>
          <w:sz w:val="24"/>
        </w:rPr>
        <w:tab/>
        <w:t>(12)</w:t>
      </w:r>
    </w:p>
    <w:p>
      <w:pPr>
        <w:pStyle w:val="FirstParagraph"/>
        <w:spacing w:before="120" w:after="120" w:line="240" w:lineRule="auto"/>
        <w:jc w:val="center"/>
      </w:pPr>
      <w:r>
        <w:rPr>
          <w:rFonts w:ascii="Times New Roman" w:hAnsi="Times New Roman" w:eastAsia="Times New Roman"/>
          <w:b w:val="0"/>
          <w:sz w:val="24"/>
        </w:rPr>
        <w:t xml:space="preserve">The multiplier satisfies</w:t>
      </w:r>
      <w:r>
        <w:rPr>
          <w:rFonts w:ascii="Times New Roman" w:hAnsi="Times New Roman" w:eastAsia="Times New Roman"/>
          <w:b w:val="0"/>
          <w:sz w:val="24"/>
        </w:rPr>
        <w:t xml:space="preserve"> </w:t>
      </w:r>
      <m:oMath>
        <m:r>
          <m:t>0</m:t>
        </m:r>
        <m:r>
          <m:rPr>
            <m:sty m:val="p"/>
          </m:rPr>
          <m:t>&lt;</m:t>
        </m:r>
        <m:sSup>
          <m:e>
            <m:r>
              <m:t>e</m:t>
            </m:r>
          </m:e>
          <m:sup>
            <m:r>
              <m:rPr>
                <m:sty m:val="p"/>
              </m:rPr>
              <m:t>−</m:t>
            </m:r>
            <m:r>
              <m:t>k</m:t>
            </m:r>
            <m:r>
              <m:t>q</m:t>
            </m:r>
          </m:sup>
        </m:sSup>
        <m:r>
          <m:rPr>
            <m:sty m:val="p"/>
          </m:rPr>
          <m:t>≤</m:t>
        </m:r>
        <m:r>
          <m:t>1</m:t>
        </m:r>
      </m:oMath>
      <w:r>
        <w:rPr>
          <w:rFonts w:ascii="Times New Roman" w:hAnsi="Times New Roman" w:eastAsia="Times New Roman"/>
          <w:b w:val="0"/>
          <w:sz w:val="24"/>
        </w:rPr>
        <w:t xml:space="preserve">. A larger</w:t>
      </w:r>
      <w:r>
        <w:rPr>
          <w:rFonts w:ascii="Times New Roman" w:hAnsi="Times New Roman" w:eastAsia="Times New Roman"/>
          <w:b w:val="0"/>
          <w:sz w:val="24"/>
        </w:rPr>
        <w:t xml:space="preserve"> </w:t>
      </w:r>
      <m:oMath>
        <m:r>
          <m:t>k</m:t>
        </m:r>
      </m:oMath>
      <w:r>
        <w:rPr>
          <w:rFonts w:ascii="Times New Roman" w:hAnsi="Times New Roman" w:eastAsia="Times New Roman"/>
          <w:b w:val="0"/>
          <w:sz w:val="24"/>
        </w:rPr>
        <w:t xml:space="preserve"> </w:t>
      </w:r>
      <w:r>
        <w:rPr>
          <w:rFonts w:ascii="Times New Roman" w:hAnsi="Times New Roman" w:eastAsia="Times New Roman"/>
          <w:b w:val="0"/>
          <w:sz w:val="24"/>
        </w:rPr>
        <w:t xml:space="preserve">strengthens the reduction, while</w:t>
      </w:r>
      <w:r>
        <w:rPr>
          <w:rFonts w:ascii="Times New Roman" w:hAnsi="Times New Roman" w:eastAsia="Times New Roman"/>
          <w:b w:val="0"/>
          <w:sz w:val="24"/>
        </w:rPr>
        <w:t xml:space="preserve"> </w:t>
      </w:r>
      <m:oMath>
        <m:r>
          <m:t>k</m:t>
        </m:r>
        <m:r>
          <m:rPr>
            <m:sty m:val="p"/>
          </m:rPr>
          <m:t>=</m:t>
        </m:r>
        <m:r>
          <m:t>0</m:t>
        </m:r>
      </m:oMath>
      <w:r>
        <w:rPr>
          <w:rFonts w:ascii="Times New Roman" w:hAnsi="Times New Roman" w:eastAsia="Times New Roman"/>
          <w:b w:val="0"/>
          <w:sz w:val="24"/>
        </w:rPr>
        <w:t xml:space="preserve"> </w:t>
      </w:r>
      <w:r>
        <w:rPr>
          <w:rFonts w:ascii="Times New Roman" w:hAnsi="Times New Roman" w:eastAsia="Times New Roman"/>
          <w:b w:val="0"/>
          <w:sz w:val="24"/>
        </w:rPr>
        <w:t xml:space="preserve">removes it. The illustrative starting value is</w:t>
      </w:r>
      <w:r>
        <w:rPr>
          <w:rFonts w:ascii="Times New Roman" w:hAnsi="Times New Roman" w:eastAsia="Times New Roman"/>
          <w:b w:val="0"/>
          <w:sz w:val="24"/>
        </w:rPr>
        <w:t xml:space="preserve"> </w:t>
      </w:r>
      <m:oMath>
        <m:r>
          <m:t>k</m:t>
        </m:r>
        <m:r>
          <m:rPr>
            <m:sty m:val="p"/>
          </m:rPr>
          <m:t>=</m:t>
        </m:r>
        <m:r>
          <m:t>10</m:t>
        </m:r>
      </m:oMath>
      <w:r>
        <w:rPr>
          <w:rFonts w:ascii="Times New Roman" w:hAnsi="Times New Roman" w:eastAsia="Times New Roman"/>
          <w:b w:val="0"/>
          <w:sz w:val="24"/>
        </w:rPr>
        <w:t xml:space="preserve">: at</w:t>
      </w:r>
      <w:r>
        <w:rPr>
          <w:rFonts w:ascii="Times New Roman" w:hAnsi="Times New Roman" w:eastAsia="Times New Roman"/>
          <w:b w:val="0"/>
          <w:sz w:val="24"/>
        </w:rPr>
        <w:t xml:space="preserve"> </w:t>
      </w:r>
      <m:oMath>
        <m:r>
          <m:t>q</m:t>
        </m:r>
        <m:r>
          <m:rPr>
            <m:sty m:val="p"/>
          </m:rPr>
          <m:t>=</m:t>
        </m:r>
        <m:r>
          <m:t>5</m:t>
        </m:r>
        <m:r>
          <m:rPr>
            <m:sty m:val="p"/>
          </m:rPr>
          <m:t>%</m:t>
        </m:r>
      </m:oMath>
      <w:r>
        <w:rPr>
          <w:rFonts w:ascii="Times New Roman" w:hAnsi="Times New Roman" w:eastAsia="Times New Roman"/>
          <w:b w:val="0"/>
          <w:sz w:val="24"/>
        </w:rPr>
        <w:t xml:space="preserve">, about 61% of capacity remains. Sensitivity cases use 5 and 20; no value is claimed to be optimal.</w:t>
      </w:r>
    </w:p>
    <w:p>
      <w:pPr>
        <w:pStyle w:val="BodyText"/>
        <w:spacing w:before="0" w:after="200" w:line="276" w:lineRule="auto"/>
        <w:jc w:val="both"/>
      </w:pPr>
      <w:r>
        <w:rPr>
          <w:rFonts w:ascii="Times New Roman" w:hAnsi="Times New Roman" w:eastAsia="Times New Roman"/>
          <w:b w:val="0"/>
          <w:sz w:val="24"/>
        </w:rPr>
        <w:t xml:space="preserve">The estimated probability concerns the SEC disclosure outcome defined in Chapter 3. It is not a probability of default on the hypothetical facility. The exponential reduction is a proposed policy rule, not an estimate of an optimal or safe exposure.</w:t>
      </w:r>
    </w:p>
    <w:p>
      <w:pPr>
        <w:pStyle w:val="Heading2"/>
      </w:pPr>
      <w:bookmarkStart w:id="136" w:name="_07fcbdebaa7b6409725404b0eb8ad4641b08ac0"/>
      <w:r>
        <w:rPr>
          <w:rFonts w:ascii="Times New Roman" w:hAnsi="Times New Roman" w:eastAsia="Times New Roman"/>
          <w:b/>
          <w:sz w:val="26"/>
        </w:rPr>
        <w:t xml:space="preserve">5.4 Exposure Cap and Existing Exposure</w:t>
      </w:r>
      <w:bookmarkEnd w:id="136"/>
    </w:p>
    <w:p>
      <w:pPr>
        <w:pStyle w:val="FirstParagraph"/>
        <w:spacing w:before="120" w:after="120" w:line="240" w:lineRule="auto"/>
        <w:jc w:val="center"/>
      </w:pPr>
      <w:r>
        <w:rPr>
          <w:rFonts w:ascii="Times New Roman" w:hAnsi="Times New Roman" w:eastAsia="Times New Roman"/>
          <w:b w:val="0"/>
          <w:sz w:val="24"/>
        </w:rPr>
        <w:t xml:space="preserve">Let</w:t>
      </w:r>
      <w:r>
        <w:rPr>
          <w:rFonts w:ascii="Times New Roman" w:hAnsi="Times New Roman" w:eastAsia="Times New Roman"/>
          <w:b w:val="0"/>
          <w:sz w:val="24"/>
        </w:rPr>
        <w:t xml:space="preserve"> </w:t>
      </w:r>
      <m:oMath>
        <m:sSub>
          <m:e>
            <m:r>
              <m:t>K</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be the maximum exposure permitted by the research policy. The preliminary limit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L</m:t>
            </m:r>
          </m:e>
          <m:sub>
            <m:r>
              <m:t>i</m:t>
            </m:r>
            <m:r>
              <m:rPr>
                <m:sty m:val="p"/>
              </m:rPr>
              <m:t>,</m:t>
            </m:r>
            <m:r>
              <m:t>t</m:t>
            </m:r>
          </m:sub>
          <m:sup>
            <m:r>
              <m:rPr>
                <m:sty m:val="p"/>
              </m:rPr>
              <m:t>*</m:t>
            </m:r>
          </m:sup>
        </m:sSubSup>
        <m:r>
          <m:rPr>
            <m:sty m:val="p"/>
          </m:rPr>
          <m:t>=</m:t>
        </m:r>
        <m:r>
          <m:rPr>
            <m:sty m:val="p"/>
          </m:rPr>
          <m:t>min</m:t>
        </m:r>
        <m:d>
          <m:dPr>
            <m:begChr m:val="("/>
            <m:sepChr m:val=""/>
            <m:endChr m:val=")"/>
            <m:grow/>
          </m:dPr>
          <m:e>
            <m:sSub>
              <m:e>
                <m:r>
                  <m:t>K</m:t>
                </m:r>
              </m:e>
              <m:sub>
                <m:r>
                  <m:t>i</m:t>
                </m:r>
                <m:r>
                  <m:rPr>
                    <m:sty m:val="p"/>
                  </m:rPr>
                  <m:t>,</m:t>
                </m:r>
                <m:r>
                  <m:t>t</m:t>
                </m:r>
              </m:sub>
            </m:sSub>
            <m:r>
              <m:rPr>
                <m:sty m:val="p"/>
              </m:rPr>
              <m:t>,</m:t>
            </m:r>
            <m:sSubSup>
              <m:e>
                <m:r>
                  <m:t>C</m:t>
                </m:r>
              </m:e>
              <m:sub>
                <m:r>
                  <m:t>i</m:t>
                </m:r>
                <m:r>
                  <m:rPr>
                    <m:sty m:val="p"/>
                  </m:rPr>
                  <m:t>,</m:t>
                </m:r>
                <m:r>
                  <m:t>t</m:t>
                </m:r>
              </m:sub>
              <m:sup>
                <m:r>
                  <m:t>r</m:t>
                </m:r>
                <m:r>
                  <m:t>i</m:t>
                </m:r>
                <m:r>
                  <m:t>s</m:t>
                </m:r>
                <m:r>
                  <m:t>k</m:t>
                </m:r>
              </m:sup>
            </m:sSubSup>
          </m:e>
        </m:d>
        <m:r>
          <m:rPr>
            <m:sty m:val="p"/>
          </m:rPr>
          <m:t>.</m:t>
        </m:r>
      </m:oMath>
      <w:r>
        <w:rPr>
          <w:rFonts w:ascii="Times New Roman" w:hAnsi="Times New Roman" w:eastAsia="Times New Roman"/>
          <w:sz w:val="24"/>
        </w:rPr>
        <w:tab/>
        <w:t>(13)</w:t>
      </w:r>
    </w:p>
    <w:p>
      <w:pPr>
        <w:pStyle w:val="FirstParagraph"/>
        <w:spacing w:before="0" w:after="200" w:line="276" w:lineRule="auto"/>
        <w:jc w:val="both"/>
      </w:pPr>
      <w:r>
        <w:rPr>
          <w:rFonts w:ascii="Times New Roman" w:hAnsi="Times New Roman" w:eastAsia="Times New Roman"/>
          <w:b w:val="0"/>
          <w:sz w:val="24"/>
        </w:rPr>
        <w:t xml:space="preserve">The worked example uses a cap of USD 150,000. The historical base scenario assumes a cap equal to 1% of reported assets, with 0.5% and 2% tested as alternatives. These values are scenario assumptions. The policy has no positive minimum because a minimum could exceed both the capacity proxy and the cap.</w:t>
      </w:r>
    </w:p>
    <w:p>
      <w:pPr>
        <w:pStyle w:val="BodyText"/>
        <w:spacing w:before="120" w:after="120" w:line="240" w:lineRule="auto"/>
        <w:jc w:val="center"/>
      </w:pPr>
      <w:r>
        <w:rPr>
          <w:rFonts w:ascii="Times New Roman" w:hAnsi="Times New Roman" w:eastAsia="Times New Roman"/>
          <w:b w:val="0"/>
          <w:sz w:val="24"/>
        </w:rPr>
        <w:t xml:space="preserve">Total liabilities affect model predictors, while only additional external payments due within 60 days reduce capacity through</w:t>
      </w:r>
      <w:r>
        <w:rPr>
          <w:rFonts w:ascii="Times New Roman" w:hAnsi="Times New Roman" w:eastAsia="Times New Roman"/>
          <w:b w:val="0"/>
          <w:sz w:val="24"/>
        </w:rPr>
        <w:t xml:space="preserve"> </w:t>
      </w:r>
      <m:oMath>
        <m:sSubSup>
          <m:e>
            <m:r>
              <m:t>D</m:t>
            </m:r>
          </m:e>
          <m:sub>
            <m:r>
              <m:t>i</m:t>
            </m:r>
            <m:r>
              <m:rPr>
                <m:sty m:val="p"/>
              </m:rPr>
              <m:t>,</m:t>
            </m:r>
            <m:r>
              <m:t>t</m:t>
            </m:r>
          </m:sub>
          <m:sup>
            <m:r>
              <m:t>60</m:t>
            </m:r>
          </m:sup>
        </m:sSubSup>
      </m:oMath>
      <w:r>
        <w:rPr>
          <w:rFonts w:ascii="Times New Roman" w:hAnsi="Times New Roman" w:eastAsia="Times New Roman"/>
          <w:b w:val="0"/>
          <w:sz w:val="24"/>
        </w:rPr>
        <w:t xml:space="preserve">. The full liability balance is not deducted.</w:t>
      </w:r>
    </w:p>
    <w:p>
      <w:pPr>
        <w:pStyle w:val="BodyText"/>
        <w:spacing w:before="120" w:after="120" w:line="240" w:lineRule="auto"/>
        <w:jc w:val="center"/>
      </w:pPr>
      <w:r>
        <w:rPr>
          <w:rFonts w:ascii="Times New Roman" w:hAnsi="Times New Roman" w:eastAsia="Times New Roman"/>
          <w:b w:val="0"/>
          <w:sz w:val="24"/>
        </w:rPr>
        <w:t xml:space="preserve">Let</w:t>
      </w:r>
      <w:r>
        <w:rPr>
          <w:rFonts w:ascii="Times New Roman" w:hAnsi="Times New Roman" w:eastAsia="Times New Roman"/>
          <w:b w:val="0"/>
          <w:sz w:val="24"/>
        </w:rPr>
        <w:t xml:space="preserve"> </w:t>
      </w:r>
      <m:oMath>
        <m:sSub>
          <m:e>
            <m:r>
              <m:t>E</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be the current outstanding balance on the hypothetical facility and</w:t>
      </w:r>
      <w:r>
        <w:rPr>
          <w:rFonts w:ascii="Times New Roman" w:hAnsi="Times New Roman" w:eastAsia="Times New Roman"/>
          <w:b w:val="0"/>
          <w:sz w:val="24"/>
        </w:rPr>
        <w:t xml:space="preserve"> </w:t>
      </w:r>
      <m:oMath>
        <m:sSub>
          <m:e>
            <m:r>
              <m:t>L</m:t>
            </m:r>
          </m:e>
          <m:sub>
            <m:r>
              <m:t>i</m:t>
            </m:r>
            <m:r>
              <m:rPr>
                <m:sty m:val="p"/>
              </m:rPr>
              <m:t>,</m:t>
            </m:r>
            <m:r>
              <m:t>t</m:t>
            </m:r>
          </m:sub>
        </m:sSub>
      </m:oMath>
      <w:r>
        <w:rPr>
          <w:rFonts w:ascii="Times New Roman" w:hAnsi="Times New Roman" w:eastAsia="Times New Roman"/>
          <w:b w:val="0"/>
          <w:sz w:val="24"/>
        </w:rPr>
        <w:t xml:space="preserve"> </w:t>
      </w:r>
      <w:r>
        <w:rPr>
          <w:rFonts w:ascii="Times New Roman" w:hAnsi="Times New Roman" w:eastAsia="Times New Roman"/>
          <w:b w:val="0"/>
          <w:sz w:val="24"/>
        </w:rPr>
        <w:t xml:space="preserve">the assigned limit after the monthly rules. New available credit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
          <m:e>
            <m:r>
              <m:t>A</m:t>
            </m:r>
          </m:e>
          <m:sub>
            <m:r>
              <m:t>i</m:t>
            </m:r>
            <m:r>
              <m:rPr>
                <m:sty m:val="p"/>
              </m:rPr>
              <m:t>,</m:t>
            </m:r>
            <m:r>
              <m:t>t</m:t>
            </m:r>
          </m:sub>
        </m:sSub>
        <m:r>
          <m:rPr>
            <m:sty m:val="p"/>
          </m:rPr>
          <m:t>=</m:t>
        </m:r>
        <m:r>
          <m:rPr>
            <m:sty m:val="p"/>
          </m:rPr>
          <m:t>max</m:t>
        </m:r>
        <m:r>
          <m:rPr>
            <m:sty m:val="p"/>
          </m:rPr>
          <m:t>(</m:t>
        </m:r>
        <m:r>
          <m:t>0</m:t>
        </m:r>
        <m:r>
          <m:rPr>
            <m:sty m:val="p"/>
          </m:rPr>
          <m:t>,</m:t>
        </m:r>
        <m:sSub>
          <m:e>
            <m:r>
              <m:t>L</m:t>
            </m:r>
          </m:e>
          <m:sub>
            <m:r>
              <m:t>i</m:t>
            </m:r>
            <m:r>
              <m:rPr>
                <m:sty m:val="p"/>
              </m:rPr>
              <m:t>,</m:t>
            </m:r>
            <m:r>
              <m:t>t</m:t>
            </m:r>
          </m:sub>
        </m:sSub>
        <m:r>
          <m:rPr>
            <m:sty m:val="p"/>
          </m:rPr>
          <m:t>−</m:t>
        </m:r>
        <m:sSub>
          <m:e>
            <m:r>
              <m:t>E</m:t>
            </m:r>
          </m:e>
          <m:sub>
            <m:r>
              <m:t>i</m:t>
            </m:r>
            <m:r>
              <m:rPr>
                <m:sty m:val="p"/>
              </m:rPr>
              <m:t>,</m:t>
            </m:r>
            <m:r>
              <m:t>t</m:t>
            </m:r>
          </m:sub>
        </m:sSub>
        <m:r>
          <m:rPr>
            <m:sty m:val="p"/>
          </m:rPr>
          <m:t>)</m:t>
        </m:r>
        <m:r>
          <m:rPr>
            <m:sty m:val="p"/>
          </m:rPr>
          <m:t>.</m:t>
        </m:r>
      </m:oMath>
      <w:r>
        <w:rPr>
          <w:rFonts w:ascii="Times New Roman" w:hAnsi="Times New Roman" w:eastAsia="Times New Roman"/>
          <w:sz w:val="24"/>
        </w:rPr>
        <w:tab/>
        <w:t>(14)</w:t>
      </w:r>
    </w:p>
    <w:p>
      <w:pPr>
        <w:pStyle w:val="FirstParagraph"/>
        <w:spacing w:before="120" w:after="120" w:line="240" w:lineRule="auto"/>
        <w:jc w:val="center"/>
      </w:pPr>
      <w:r>
        <w:rPr>
          <w:rFonts w:ascii="Times New Roman" w:hAnsi="Times New Roman" w:eastAsia="Times New Roman"/>
          <w:b w:val="0"/>
          <w:sz w:val="24"/>
        </w:rPr>
        <w:t xml:space="preserve">If the limit is below the outstanding balance, excess exposure is</w:t>
      </w:r>
      <w:r>
        <w:rPr>
          <w:rFonts w:ascii="Times New Roman" w:hAnsi="Times New Roman" w:eastAsia="Times New Roman"/>
          <w:b w:val="0"/>
          <w:sz w:val="24"/>
        </w:rPr>
        <w:t xml:space="preserve"> </w:t>
      </w:r>
      <m:oMath>
        <m:r>
          <m:rPr>
            <m:sty m:val="p"/>
          </m:rPr>
          <m:t>max</m:t>
        </m:r>
        <m:r>
          <m:rPr>
            <m:sty m:val="p"/>
          </m:rPr>
          <m:t>(</m:t>
        </m:r>
        <m:r>
          <m:t>0</m:t>
        </m:r>
        <m:r>
          <m:rPr>
            <m:sty m:val="p"/>
          </m:rPr>
          <m:t>,</m:t>
        </m:r>
        <m:sSub>
          <m:e>
            <m:r>
              <m:t>E</m:t>
            </m:r>
          </m:e>
          <m:sub>
            <m:r>
              <m:t>i</m:t>
            </m:r>
            <m:r>
              <m:rPr>
                <m:sty m:val="p"/>
              </m:rPr>
              <m:t>,</m:t>
            </m:r>
            <m:r>
              <m:t>t</m:t>
            </m:r>
          </m:sub>
        </m:sSub>
        <m:r>
          <m:rPr>
            <m:sty m:val="p"/>
          </m:rPr>
          <m:t>−</m:t>
        </m:r>
        <m:sSub>
          <m:e>
            <m:r>
              <m:t>L</m:t>
            </m:r>
          </m:e>
          <m:sub>
            <m:r>
              <m:t>i</m:t>
            </m:r>
            <m:r>
              <m:rPr>
                <m:sty m:val="p"/>
              </m:rPr>
              <m:t>,</m:t>
            </m:r>
            <m:r>
              <m:t>t</m:t>
            </m:r>
          </m:sub>
        </m:sSub>
        <m:r>
          <m:rPr>
            <m:sty m:val="p"/>
          </m:rPr>
          <m:t>)</m:t>
        </m:r>
      </m:oMath>
      <w:r>
        <w:rPr>
          <w:rFonts w:ascii="Times New Roman" w:hAnsi="Times New Roman" w:eastAsia="Times New Roman"/>
          <w:b w:val="0"/>
          <w:sz w:val="24"/>
        </w:rPr>
        <w:t xml:space="preserve">. Reducing the limit prevents further use under the policy. It does not remove an existing balance or show that the borrower can repay it.</w:t>
      </w:r>
    </w:p>
    <w:p>
      <w:pPr>
        <w:pStyle w:val="Heading2"/>
      </w:pPr>
      <w:bookmarkStart w:id="137" w:name="_3cc22c81381b3542277d9013ee51f724637e192"/>
      <w:r>
        <w:rPr>
          <w:rFonts w:ascii="Times New Roman" w:hAnsi="Times New Roman" w:eastAsia="Times New Roman"/>
          <w:b/>
          <w:sz w:val="26"/>
        </w:rPr>
        <w:t xml:space="preserve">5.5 Monthly Update Rules and Safeguards</w:t>
      </w:r>
      <w:bookmarkEnd w:id="137"/>
    </w:p>
    <w:p>
      <w:pPr>
        <w:pStyle w:val="FirstParagraph"/>
        <w:spacing w:before="0" w:after="200" w:line="276" w:lineRule="auto"/>
        <w:jc w:val="both"/>
      </w:pPr>
      <w:r>
        <w:rPr>
          <w:rFonts w:ascii="Times New Roman" w:hAnsi="Times New Roman" w:eastAsia="Times New Roman"/>
          <w:b w:val="0"/>
          <w:sz w:val="24"/>
        </w:rPr>
        <w:t xml:space="preserve">The policy is reviewed monthly using information available on each decision date. Accounting values usually remain unchanged between SEC reports, so a new month does not necessarily provide new financial information.</w:t>
      </w:r>
    </w:p>
    <w:p>
      <w:pPr>
        <w:pStyle w:val="BodyText"/>
        <w:spacing w:before="120" w:after="120" w:line="240" w:lineRule="auto"/>
        <w:jc w:val="center"/>
      </w:pPr>
      <w:r>
        <w:rPr>
          <w:rFonts w:ascii="Times New Roman" w:hAnsi="Times New Roman" w:eastAsia="Times New Roman"/>
          <w:b w:val="0"/>
          <w:sz w:val="24"/>
        </w:rPr>
        <w:t xml:space="preserve">For an existing positive limit, the policy uses a 2% deadband</w:t>
      </w:r>
      <w:r>
        <w:rPr>
          <w:rFonts w:ascii="Times New Roman" w:hAnsi="Times New Roman" w:eastAsia="Times New Roman"/>
          <w:b w:val="0"/>
          <w:sz w:val="24"/>
        </w:rPr>
        <w:t xml:space="preserve"> </w:t>
      </w:r>
      <m:oMath>
        <m:r>
          <m:t>δ</m:t>
        </m:r>
      </m:oMath>
      <w:r>
        <w:rPr>
          <w:rFonts w:ascii="Times New Roman" w:hAnsi="Times New Roman" w:eastAsia="Times New Roman"/>
          <w:b w:val="0"/>
          <w:sz w:val="24"/>
        </w:rPr>
        <w:t xml:space="preserve">, a 50% smoothing factor</w:t>
      </w:r>
      <w:r>
        <w:rPr>
          <w:rFonts w:ascii="Times New Roman" w:hAnsi="Times New Roman" w:eastAsia="Times New Roman"/>
          <w:b w:val="0"/>
          <w:sz w:val="24"/>
        </w:rPr>
        <w:t xml:space="preserve"> </w:t>
      </w:r>
      <m:oMath>
        <m:r>
          <m:t>α</m:t>
        </m:r>
      </m:oMath>
      <w:r>
        <w:rPr>
          <w:rFonts w:ascii="Times New Roman" w:hAnsi="Times New Roman" w:eastAsia="Times New Roman"/>
          <w:b w:val="0"/>
          <w:sz w:val="24"/>
        </w:rPr>
        <w:t xml:space="preserve"> </w:t>
      </w:r>
      <w:r>
        <w:rPr>
          <w:rFonts w:ascii="Times New Roman" w:hAnsi="Times New Roman" w:eastAsia="Times New Roman"/>
          <w:b w:val="0"/>
          <w:sz w:val="24"/>
        </w:rPr>
        <w:t xml:space="preserve">and a 10% maximum monthly increase</w:t>
      </w:r>
      <w:r>
        <w:rPr>
          <w:rFonts w:ascii="Times New Roman" w:hAnsi="Times New Roman" w:eastAsia="Times New Roman"/>
          <w:b w:val="0"/>
          <w:sz w:val="24"/>
        </w:rPr>
        <w:t xml:space="preserve"> </w:t>
      </w:r>
      <m:oMath>
        <m:r>
          <m:t>u</m:t>
        </m:r>
      </m:oMath>
      <w:r>
        <w:rPr>
          <w:rFonts w:ascii="Times New Roman" w:hAnsi="Times New Roman" w:eastAsia="Times New Roman"/>
          <w:b w:val="0"/>
          <w:sz w:val="24"/>
        </w:rPr>
        <w:t xml:space="preserve">. The rules are applied as follows: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Situation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Policy action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 qualifying disclosure is already known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Set the limit to zero immediately</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 previous limit exists</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Assign the preliminary limit as an initial assessment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The preliminary limit is lower than the previous limit</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Apply the reduction immediately</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The preliminary and previous limits are equal</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Keep the previous limit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The preliminary limit is higher but no relevant input changed</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Keep the previous limit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The supported increase is no more than 2%</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Keep the previous limit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 larger increase is supported by new information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Apply smoothing and the monthly increase ceiling</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The previous limit is zero</w:t>
            </w:r>
          </w:p>
        </w:tc>
        <w:tc>
          <w:tcPr>
            <w:tcW w:type="dxa" w:w="2284"/>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Keep it at zero until a new initial assessment is documented</w:t>
            </w:r>
          </w:p>
        </w:tc>
      </w:tr>
    </w:tbl>
    <w:p>
      <w:pPr>
        <w:pStyle w:val="Caption"/>
        <w:spacing w:line="240" w:lineRule="auto"/>
        <w:jc w:val="center"/>
      </w:pPr>
      <w:r>
        <w:rPr>
          <w:rFonts w:ascii="Times New Roman" w:hAnsi="Times New Roman" w:eastAsia="Times New Roman"/>
          <w:i/>
          <w:iCs/>
          <w:sz w:val="24"/>
        </w:rPr>
        <w:t xml:space="preserve">Table 9. Monthly credit-limit update rules.</w:t>
      </w:r>
    </w:p>
    <w:p>
      <w:pPr>
        <w:pStyle w:val="BodyText"/>
        <w:spacing w:before="0" w:after="200" w:line="276" w:lineRule="auto"/>
        <w:jc w:val="both"/>
      </w:pPr>
      <w:r>
        <w:rPr>
          <w:rFonts w:ascii="Times New Roman" w:hAnsi="Times New Roman" w:eastAsia="Times New Roman"/>
          <w:b w:val="0"/>
          <w:sz w:val="24"/>
        </w:rPr>
        <w:t xml:space="preserve">For a supported increase, the assigned limit is: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
          <m:e>
            <m:r>
              <m:t>L</m:t>
            </m:r>
          </m:e>
          <m:sub>
            <m:r>
              <m:t>i</m:t>
            </m:r>
            <m:r>
              <m:rPr>
                <m:sty m:val="p"/>
              </m:rPr>
              <m:t>,</m:t>
            </m:r>
            <m:r>
              <m:t>t</m:t>
            </m:r>
          </m:sub>
        </m:sSub>
        <m:r>
          <m:rPr>
            <m:sty m:val="p"/>
          </m:rPr>
          <m:t>=</m:t>
        </m:r>
        <m:r>
          <m:rPr>
            <m:sty m:val="p"/>
          </m:rPr>
          <m:t>min</m:t>
        </m:r>
        <m:d>
          <m:dPr>
            <m:begChr m:val="{"/>
            <m:sepChr m:val=""/>
            <m:endChr m:val="}"/>
            <m:grow/>
          </m:dPr>
          <m:e>
            <m:sSubSup>
              <m:e>
                <m:r>
                  <m:t>L</m:t>
                </m:r>
              </m:e>
              <m:sub>
                <m:r>
                  <m:t>i</m:t>
                </m:r>
                <m:r>
                  <m:rPr>
                    <m:sty m:val="p"/>
                  </m:rPr>
                  <m:t>,</m:t>
                </m:r>
                <m:r>
                  <m:t>t</m:t>
                </m:r>
              </m:sub>
              <m:sup>
                <m:r>
                  <m:rPr>
                    <m:sty m:val="p"/>
                  </m:rPr>
                  <m:t>*</m:t>
                </m:r>
              </m:sup>
            </m:sSubSup>
            <m:r>
              <m:rPr>
                <m:sty m:val="p"/>
              </m:rPr>
              <m:t>,</m:t>
            </m:r>
            <m:r>
              <m:t> </m:t>
            </m:r>
            <m:sSub>
              <m:e>
                <m:r>
                  <m:t>L</m:t>
                </m:r>
              </m:e>
              <m:sub>
                <m:r>
                  <m:t>i</m:t>
                </m:r>
                <m:r>
                  <m:rPr>
                    <m:sty m:val="p"/>
                  </m:rPr>
                  <m:t>,</m:t>
                </m:r>
                <m:r>
                  <m:t>t</m:t>
                </m:r>
                <m:r>
                  <m:rPr>
                    <m:sty m:val="p"/>
                  </m:rPr>
                  <m:t>−</m:t>
                </m:r>
                <m:r>
                  <m:t>1</m:t>
                </m:r>
              </m:sub>
            </m:sSub>
            <m:r>
              <m:rPr>
                <m:sty m:val="p"/>
              </m:rPr>
              <m:t>+</m:t>
            </m:r>
            <m:r>
              <m:t>α</m:t>
            </m:r>
            <m:r>
              <m:rPr>
                <m:sty m:val="p"/>
              </m:rPr>
              <m:t>(</m:t>
            </m:r>
            <m:sSubSup>
              <m:e>
                <m:r>
                  <m:t>L</m:t>
                </m:r>
              </m:e>
              <m:sub>
                <m:r>
                  <m:t>i</m:t>
                </m:r>
                <m:r>
                  <m:rPr>
                    <m:sty m:val="p"/>
                  </m:rPr>
                  <m:t>,</m:t>
                </m:r>
                <m:r>
                  <m:t>t</m:t>
                </m:r>
              </m:sub>
              <m:sup>
                <m:r>
                  <m:rPr>
                    <m:sty m:val="p"/>
                  </m:rPr>
                  <m:t>*</m:t>
                </m:r>
              </m:sup>
            </m:sSubSup>
            <m:r>
              <m:rPr>
                <m:sty m:val="p"/>
              </m:rPr>
              <m:t>−</m:t>
            </m:r>
            <m:sSub>
              <m:e>
                <m:r>
                  <m:t>L</m:t>
                </m:r>
              </m:e>
              <m:sub>
                <m:r>
                  <m:t>i</m:t>
                </m:r>
                <m:r>
                  <m:rPr>
                    <m:sty m:val="p"/>
                  </m:rPr>
                  <m:t>,</m:t>
                </m:r>
                <m:r>
                  <m:t>t</m:t>
                </m:r>
                <m:r>
                  <m:rPr>
                    <m:sty m:val="p"/>
                  </m:rPr>
                  <m:t>−</m:t>
                </m:r>
                <m:r>
                  <m:t>1</m:t>
                </m:r>
              </m:sub>
            </m:sSub>
            <m:r>
              <m:rPr>
                <m:sty m:val="p"/>
              </m:rPr>
              <m:t>)</m:t>
            </m:r>
            <m:r>
              <m:rPr>
                <m:sty m:val="p"/>
              </m:rPr>
              <m:t>,</m:t>
            </m:r>
            <m:r>
              <m:t> </m:t>
            </m:r>
            <m:r>
              <m:rPr>
                <m:sty m:val="p"/>
              </m:rPr>
              <m:t>(</m:t>
            </m:r>
            <m:r>
              <m:t>1</m:t>
            </m:r>
            <m:r>
              <m:rPr>
                <m:sty m:val="p"/>
              </m:rPr>
              <m:t>+</m:t>
            </m:r>
            <m:r>
              <m:t>u</m:t>
            </m:r>
            <m:r>
              <m:rPr>
                <m:sty m:val="p"/>
              </m:rPr>
              <m:t>)</m:t>
            </m:r>
            <m:sSub>
              <m:e>
                <m:r>
                  <m:t>L</m:t>
                </m:r>
              </m:e>
              <m:sub>
                <m:r>
                  <m:t>i</m:t>
                </m:r>
                <m:r>
                  <m:rPr>
                    <m:sty m:val="p"/>
                  </m:rPr>
                  <m:t>,</m:t>
                </m:r>
                <m:r>
                  <m:t>t</m:t>
                </m:r>
                <m:r>
                  <m:rPr>
                    <m:sty m:val="p"/>
                  </m:rPr>
                  <m:t>−</m:t>
                </m:r>
                <m:r>
                  <m:t>1</m:t>
                </m:r>
              </m:sub>
            </m:sSub>
          </m:e>
        </m:d>
        <m:r>
          <m:rPr>
            <m:sty m:val="p"/>
          </m:rPr>
          <m:t>.</m:t>
        </m:r>
      </m:oMath>
      <w:r>
        <w:rPr>
          <w:rFonts w:ascii="Times New Roman" w:hAnsi="Times New Roman" w:eastAsia="Times New Roman"/>
          <w:sz w:val="24"/>
        </w:rPr>
        <w:tab/>
        <w:t>(15)</w:t>
      </w:r>
    </w:p>
    <w:p>
      <w:pPr>
        <w:pStyle w:val="FirstParagraph"/>
        <w:spacing w:before="0" w:after="200" w:line="276" w:lineRule="auto"/>
        <w:jc w:val="both"/>
      </w:pPr>
      <w:r>
        <w:rPr>
          <w:rFonts w:ascii="Times New Roman" w:hAnsi="Times New Roman" w:eastAsia="Times New Roman"/>
          <w:b w:val="0"/>
          <w:sz w:val="24"/>
        </w:rPr>
        <w:t xml:space="preserve">The deadband avoids changes caused by rounding or minor input movements.</w:t>
      </w:r>
    </w:p>
    <w:p>
      <w:pPr>
        <w:pStyle w:val="BodyText"/>
        <w:spacing w:before="0" w:after="200" w:line="276" w:lineRule="auto"/>
        <w:jc w:val="both"/>
      </w:pPr>
      <w:r>
        <w:rPr>
          <w:rFonts w:ascii="Times New Roman" w:hAnsi="Times New Roman" w:eastAsia="Times New Roman"/>
          <w:b w:val="0"/>
          <w:sz w:val="24"/>
        </w:rPr>
        <w:t xml:space="preserve">Increase controls never delay a reduction and never permit a limit above the current cap. Missing required inputs, unresolved accounting conflicts or stale information require review rather than replacement with zero. The freshness limits are 180 days from the balance-sheet period end and 540 days from the annual-flow period end.</w:t>
      </w:r>
    </w:p>
    <w:p>
      <w:pPr>
        <w:pStyle w:val="BodyText"/>
        <w:spacing w:before="0" w:after="200" w:line="276" w:lineRule="auto"/>
        <w:jc w:val="both"/>
      </w:pPr>
      <w:r>
        <w:rPr>
          <w:rFonts w:ascii="Times New Roman" w:hAnsi="Times New Roman" w:eastAsia="Times New Roman"/>
          <w:b w:val="0"/>
          <w:sz w:val="24"/>
        </w:rPr>
        <w:t xml:space="preserve">A known qualifying disclosure produces an immediate hard stop. When the disclosure’s quiet-gap period ends, the hard-stop indicator can end, but the previous zero limit still prevents automatic reopening. In the historical replay, the limit therefore remains zero within the same continuous company segment. A missing-month gap starts a new hypothetical segment and is treated as a new initial assessment. This reset is a replay convention, not evidence that a real lender would reopen the facility.</w:t>
      </w:r>
    </w:p>
    <w:p>
      <w:pPr>
        <w:pStyle w:val="Heading2"/>
      </w:pPr>
      <w:bookmarkStart w:id="138" w:name="_9c372369ec8edd02673153e1b901306b509bcc3"/>
      <w:r>
        <w:rPr>
          <w:rFonts w:ascii="Times New Roman" w:hAnsi="Times New Roman" w:eastAsia="Times New Roman"/>
          <w:b/>
          <w:sz w:val="26"/>
        </w:rPr>
        <w:t xml:space="preserve">5.6 Worked Example</w:t>
      </w:r>
      <w:bookmarkEnd w:id="138"/>
    </w:p>
    <w:p>
      <w:pPr>
        <w:pStyle w:val="FirstParagraph"/>
        <w:spacing w:before="0" w:after="200" w:line="276" w:lineRule="auto"/>
        <w:jc w:val="both"/>
      </w:pPr>
      <w:r>
        <w:rPr>
          <w:rFonts w:ascii="Times New Roman" w:hAnsi="Times New Roman" w:eastAsia="Times New Roman"/>
          <w:b w:val="0"/>
          <w:sz w:val="24"/>
        </w:rPr>
        <w:t xml:space="preserve">Combining the capacity proxy, risk reduction and exposure cap gives:</w:t>
      </w:r>
    </w:p>
    <w:p>
      <w:pPr>
        <w:pStyle w:val="BodyText"/>
        <w:keepLines/>
        <w:tabs>
          <w:tab w:pos="4677" w:val="center"/>
          <w:tab w:pos="9354" w:val="right"/>
        </w:tabs>
        <w:spacing w:line="240" w:lineRule="auto" w:before="120" w:after="120"/>
        <w:jc w:val="left"/>
      </w:pPr>
      <w:r>
        <w:rPr>
          <w:rFonts w:ascii="Times New Roman" w:hAnsi="Times New Roman" w:eastAsia="Times New Roman"/>
          <w:sz w:val="24"/>
        </w:rPr>
        <w:tab/>
      </w:r>
      <m:oMath>
        <m:sSubSup>
          <m:e>
            <m:r>
              <m:t>L</m:t>
            </m:r>
          </m:e>
          <m:sub>
            <m:r>
              <m:t>i</m:t>
            </m:r>
            <m:r>
              <m:rPr>
                <m:sty m:val="p"/>
              </m:rPr>
              <m:t>,</m:t>
            </m:r>
            <m:r>
              <m:t>t</m:t>
            </m:r>
          </m:sub>
          <m:sup>
            <m:r>
              <m:rPr>
                <m:sty m:val="p"/>
              </m:rPr>
              <m:t>*</m:t>
            </m:r>
          </m:sup>
        </m:sSubSup>
        <m:r>
          <m:rPr>
            <m:sty m:val="p"/>
          </m:rPr>
          <m:t>=</m:t>
        </m:r>
        <m:r>
          <m:rPr>
            <m:sty m:val="p"/>
          </m:rPr>
          <m:t>min</m:t>
        </m:r>
        <m:d>
          <m:dPr>
            <m:begChr m:val="{"/>
            <m:sepChr m:val=""/>
            <m:endChr m:val="}"/>
            <m:grow/>
          </m:dPr>
          <m:e>
            <m:sSub>
              <m:e>
                <m:r>
                  <m:t>K</m:t>
                </m:r>
              </m:e>
              <m:sub>
                <m:r>
                  <m:t>i</m:t>
                </m:r>
                <m:r>
                  <m:rPr>
                    <m:sty m:val="p"/>
                  </m:rPr>
                  <m:t>,</m:t>
                </m:r>
                <m:r>
                  <m:t>t</m:t>
                </m:r>
              </m:sub>
            </m:sSub>
            <m:r>
              <m:rPr>
                <m:sty m:val="p"/>
              </m:rPr>
              <m:t>,</m:t>
            </m:r>
            <m:r>
              <m:t> </m:t>
            </m:r>
            <m:r>
              <m:rPr>
                <m:sty m:val="p"/>
              </m:rPr>
              <m:t>max</m:t>
            </m:r>
            <m:d>
              <m:dPr>
                <m:begChr m:val="["/>
                <m:sepChr m:val=""/>
                <m:endChr m:val="]"/>
                <m:grow/>
              </m:dPr>
              <m:e>
                <m:r>
                  <m:t>0</m:t>
                </m:r>
                <m:r>
                  <m:rPr>
                    <m:sty m:val="p"/>
                  </m:rPr>
                  <m:t>,</m:t>
                </m:r>
                <m:r>
                  <m:rPr>
                    <m:sty m:val="p"/>
                  </m:rPr>
                  <m:t>min</m:t>
                </m:r>
                <m:d>
                  <m:dPr>
                    <m:begChr m:val="("/>
                    <m:sepChr m:val=""/>
                    <m:endChr m:val=")"/>
                    <m:grow/>
                  </m:dPr>
                  <m:e>
                    <m:r>
                      <m:t>a</m:t>
                    </m:r>
                    <m:f>
                      <m:fPr>
                        <m:type m:val="bar"/>
                      </m:fPr>
                      <m:num>
                        <m:sSub>
                          <m:e>
                            <m:r>
                              <m:t>R</m:t>
                            </m:r>
                          </m:e>
                          <m:sub>
                            <m:r>
                              <m:t>i</m:t>
                            </m:r>
                            <m:r>
                              <m:rPr>
                                <m:sty m:val="p"/>
                              </m:rPr>
                              <m:t>,</m:t>
                            </m:r>
                            <m:r>
                              <m:t>t</m:t>
                            </m:r>
                          </m:sub>
                        </m:sSub>
                      </m:num>
                      <m:den>
                        <m:r>
                          <m:t>6</m:t>
                        </m:r>
                      </m:den>
                    </m:f>
                    <m:r>
                      <m:rPr>
                        <m:sty m:val="p"/>
                      </m:rPr>
                      <m:t>,</m:t>
                    </m:r>
                    <m:r>
                      <m:t>b</m:t>
                    </m:r>
                    <m:f>
                      <m:fPr>
                        <m:type m:val="bar"/>
                      </m:fPr>
                      <m:num>
                        <m:r>
                          <m:rPr>
                            <m:sty m:val="p"/>
                          </m:rPr>
                          <m:t>max</m:t>
                        </m:r>
                        <m:r>
                          <m:rPr>
                            <m:sty m:val="p"/>
                          </m:rPr>
                          <m:t>(</m:t>
                        </m:r>
                        <m:sSub>
                          <m:e>
                            <m:r>
                              <m:t>F</m:t>
                            </m:r>
                          </m:e>
                          <m:sub>
                            <m:r>
                              <m:t>i</m:t>
                            </m:r>
                            <m:r>
                              <m:rPr>
                                <m:sty m:val="p"/>
                              </m:rPr>
                              <m:t>,</m:t>
                            </m:r>
                            <m:r>
                              <m:t>t</m:t>
                            </m:r>
                          </m:sub>
                        </m:sSub>
                        <m:r>
                          <m:rPr>
                            <m:sty m:val="p"/>
                          </m:rPr>
                          <m:t>,</m:t>
                        </m:r>
                        <m:r>
                          <m:t>0</m:t>
                        </m:r>
                        <m:r>
                          <m:rPr>
                            <m:sty m:val="p"/>
                          </m:rPr>
                          <m:t>)</m:t>
                        </m:r>
                      </m:num>
                      <m:den>
                        <m:r>
                          <m:t>6</m:t>
                        </m:r>
                      </m:den>
                    </m:f>
                    <m:r>
                      <m:rPr>
                        <m:sty m:val="p"/>
                      </m:rPr>
                      <m:t>+</m:t>
                    </m:r>
                    <m:r>
                      <m:t>c</m:t>
                    </m:r>
                    <m:sSub>
                      <m:e>
                        <m:r>
                          <m:t>B</m:t>
                        </m:r>
                      </m:e>
                      <m:sub>
                        <m:r>
                          <m:t>i</m:t>
                        </m:r>
                        <m:r>
                          <m:rPr>
                            <m:sty m:val="p"/>
                          </m:rPr>
                          <m:t>,</m:t>
                        </m:r>
                        <m:r>
                          <m:t>t</m:t>
                        </m:r>
                      </m:sub>
                    </m:sSub>
                  </m:e>
                </m:d>
                <m:r>
                  <m:rPr>
                    <m:sty m:val="p"/>
                  </m:rPr>
                  <m:t>−</m:t>
                </m:r>
                <m:sSubSup>
                  <m:e>
                    <m:r>
                      <m:t>D</m:t>
                    </m:r>
                  </m:e>
                  <m:sub>
                    <m:r>
                      <m:t>i</m:t>
                    </m:r>
                    <m:r>
                      <m:rPr>
                        <m:sty m:val="p"/>
                      </m:rPr>
                      <m:t>,</m:t>
                    </m:r>
                    <m:r>
                      <m:t>t</m:t>
                    </m:r>
                  </m:sub>
                  <m:sup>
                    <m:r>
                      <m:t>60</m:t>
                    </m:r>
                  </m:sup>
                </m:sSubSup>
              </m:e>
            </m:d>
            <m:r>
              <m:rPr>
                <m:sty m:val="p"/>
              </m:rPr>
              <m:t>exp</m:t>
            </m:r>
            <m:r>
              <m:rPr>
                <m:sty m:val="p"/>
              </m:rPr>
              <m:t>(</m:t>
            </m:r>
            <m:r>
              <m:rPr>
                <m:sty m:val="p"/>
              </m:rPr>
              <m:t>−</m:t>
            </m:r>
            <m:r>
              <m:t>k</m:t>
            </m:r>
            <m:sSub>
              <m:e>
                <m:r>
                  <m:t>q</m:t>
                </m:r>
              </m:e>
              <m:sub>
                <m:r>
                  <m:t>i</m:t>
                </m:r>
                <m:r>
                  <m:rPr>
                    <m:sty m:val="p"/>
                  </m:rPr>
                  <m:t>,</m:t>
                </m:r>
                <m:r>
                  <m:t>t</m:t>
                </m:r>
              </m:sub>
            </m:sSub>
            <m:r>
              <m:rPr>
                <m:sty m:val="p"/>
              </m:rPr>
              <m:t>)</m:t>
            </m:r>
          </m:e>
        </m:d>
        <m:r>
          <m:rPr>
            <m:sty m:val="p"/>
          </m:rPr>
          <m:t>.</m:t>
        </m:r>
      </m:oMath>
      <w:r>
        <w:rPr>
          <w:rFonts w:ascii="Times New Roman" w:hAnsi="Times New Roman" w:eastAsia="Times New Roman"/>
          <w:sz w:val="24"/>
        </w:rPr>
        <w:tab/>
        <w:t>(16)</w:t>
      </w:r>
    </w:p>
    <w:p>
      <w:pPr>
        <w:pStyle w:val="FirstParagraph"/>
        <w:spacing w:before="0" w:after="200" w:line="276" w:lineRule="auto"/>
        <w:jc w:val="both"/>
      </w:pPr>
      <w:r>
        <w:rPr>
          <w:rFonts w:ascii="Times New Roman" w:hAnsi="Times New Roman" w:eastAsia="Times New Roman"/>
          <w:b w:val="0"/>
          <w:sz w:val="24"/>
        </w:rPr>
        <w:t xml:space="preserve">Consider a hypothetical borrower with the following inputs: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Input</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Illustrative value</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Annual revenue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12,000,000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Annual operating cash flow</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1,200,000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Eligible cash</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500,000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Additional external principal due within 60 days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50,000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Estimated disclosure probability</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Exposure cap</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150,000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Previous assigned limit</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70,000</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Outstanding facility exposure</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USD 60,000</w:t>
            </w:r>
          </w:p>
        </w:tc>
      </w:tr>
    </w:tbl>
    <w:p>
      <w:pPr>
        <w:pStyle w:val="Caption"/>
        <w:spacing w:line="240" w:lineRule="auto"/>
        <w:jc w:val="center"/>
      </w:pPr>
      <w:r>
        <w:rPr>
          <w:rFonts w:ascii="Times New Roman" w:hAnsi="Times New Roman" w:eastAsia="Times New Roman"/>
          <w:i/>
          <w:iCs/>
          <w:sz w:val="24"/>
        </w:rPr>
        <w:t xml:space="preserve">Table 10. Inputs to the worked credit-limit example.</w:t>
      </w:r>
    </w:p>
    <w:p>
      <w:pPr>
        <w:pStyle w:val="BodyText"/>
        <w:spacing w:before="0" w:after="200" w:line="276" w:lineRule="auto"/>
        <w:jc w:val="both"/>
      </w:pPr>
      <w:r>
        <w:rPr>
          <w:rFonts w:ascii="Times New Roman" w:hAnsi="Times New Roman" w:eastAsia="Times New Roman"/>
          <w:b w:val="0"/>
          <w:sz w:val="24"/>
        </w:rPr>
        <w:t xml:space="preserve">The calculation is:</w:t>
      </w:r>
    </w:p>
    <w:tbl>
      <w:tblPr>
        <w:tblStyle w:val="TableGrid0"/>
        <w:tblW w:type="pct" w:w="5000"/>
        <w:jc w:val="center"/>
        <w:tblLayout w:type="fixed"/>
        <w:tblLook w:firstRow="1" w:lastRow="0" w:firstColumn="0" w:lastColumn="0" w:noHBand="0" w:noVBand="0" w:val="0020"/>
      </w:tblPr>
      <w:tblGrid>
        <w:gridCol w:w="2636"/>
        <w:gridCol w:w="4393"/>
        <w:gridCol w:w="1757"/>
      </w:tblGrid>
      <w:tr>
        <w:trPr>
          <w:tblHeader w:val="on"/>
          <w:tblHeader w:val="true"/>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Step</w:t>
            </w:r>
          </w:p>
        </w:tc>
        <w:tc>
          <w:tcPr>
            <w:tcW w:type="dxa" w:w="439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Calculation</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Result</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1. Revenue-based amount</w:t>
            </w:r>
          </w:p>
        </w:tc>
        <w:tc>
          <w:tcPr>
            <w:tcW w:type="dxa" w:w="4393"/>
            <w:vAlign w:val="center"/>
            <w:tcMar>
              <w:top w:w="60" w:type="dxa"/>
              <w:start w:w="70" w:type="dxa"/>
              <w:bottom w:w="60" w:type="dxa"/>
              <w:end w:w="70" w:type="dxa"/>
            </w:tcMar>
          </w:tcPr>
          <w:p>
            <w:pPr>
              <w:pStyle w:val="TableParagraph"/>
              <w:spacing w:line="240" w:lineRule="auto" w:before="0" w:after="0"/>
              <w:jc w:val="left"/>
            </w:pPr>
            <m:oMath>
              <m:r>
                <m:t>0.20</m:t>
              </m:r>
              <m:r>
                <m:rPr>
                  <m:sty m:val="p"/>
                </m:rPr>
                <m:t>×</m:t>
              </m:r>
              <m:r>
                <m:rPr>
                  <m:nor/>
                </m:rPr>
                <m:t>USD </m:t>
              </m:r>
              <m:r>
                <m:t>12</m:t>
              </m:r>
              <m:r>
                <m:rPr>
                  <m:sty m:val="p"/>
                </m:rPr>
                <m:t>,</m:t>
              </m:r>
              <m:r>
                <m:t>000</m:t>
              </m:r>
              <m:r>
                <m:rPr>
                  <m:sty m:val="p"/>
                </m:rPr>
                <m:t>,</m:t>
              </m:r>
              <m:r>
                <m:t>000</m:t>
              </m:r>
              <m:r>
                <m:rPr>
                  <m:sty m:val="p"/>
                </m:rPr>
                <m:t>/</m:t>
              </m:r>
              <m:r>
                <m:t>6</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400,000.00</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 Cash-flow-and-cash amount</w:t>
            </w:r>
          </w:p>
        </w:tc>
        <w:tc>
          <w:tcPr>
            <w:tcW w:type="dxa" w:w="4393"/>
            <w:vAlign w:val="center"/>
            <w:tcMar>
              <w:top w:w="60" w:type="dxa"/>
              <w:start w:w="70" w:type="dxa"/>
              <w:bottom w:w="60" w:type="dxa"/>
              <w:end w:w="70" w:type="dxa"/>
            </w:tcMar>
          </w:tcPr>
          <w:p>
            <w:pPr>
              <w:pStyle w:val="TableParagraph"/>
              <w:spacing w:line="240" w:lineRule="auto" w:before="0" w:after="0"/>
              <w:jc w:val="left"/>
            </w:pPr>
            <m:oMath>
              <m:r>
                <m:t>0.50</m:t>
              </m:r>
              <m:r>
                <m:rPr>
                  <m:sty m:val="p"/>
                </m:rPr>
                <m:t>×</m:t>
              </m:r>
              <m:r>
                <m:rPr>
                  <m:nor/>
                </m:rPr>
                <m:t>USD </m:t>
              </m:r>
              <m:r>
                <m:t>1</m:t>
              </m:r>
              <m:r>
                <m:rPr>
                  <m:sty m:val="p"/>
                </m:rPr>
                <m:t>,</m:t>
              </m:r>
              <m:r>
                <m:t>200</m:t>
              </m:r>
              <m:r>
                <m:rPr>
                  <m:sty m:val="p"/>
                </m:rPr>
                <m:t>,</m:t>
              </m:r>
              <m:r>
                <m:t>000</m:t>
              </m:r>
              <m:r>
                <m:rPr>
                  <m:sty m:val="p"/>
                </m:rPr>
                <m:t>/</m:t>
              </m:r>
              <m:r>
                <m:t>6</m:t>
              </m:r>
              <m:r>
                <m:rPr>
                  <m:sty m:val="p"/>
                </m:rPr>
                <m:t>+</m:t>
              </m:r>
              <m:r>
                <m:t>0.10</m:t>
              </m:r>
              <m:r>
                <m:rPr>
                  <m:sty m:val="p"/>
                </m:rPr>
                <m:t>×</m:t>
              </m:r>
              <m:r>
                <m:rPr>
                  <m:nor/>
                </m:rPr>
                <m:t>USD </m:t>
              </m:r>
              <m:r>
                <m:t>500</m:t>
              </m:r>
              <m:r>
                <m:rPr>
                  <m:sty m:val="p"/>
                </m:rPr>
                <m:t>,</m:t>
              </m:r>
              <m:r>
                <m:t>000</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150,000.00</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3. Capacity proxy</w:t>
            </w:r>
          </w:p>
        </w:tc>
        <w:tc>
          <w:tcPr>
            <w:tcW w:type="dxa" w:w="4393"/>
            <w:vAlign w:val="center"/>
            <w:tcMar>
              <w:top w:w="60" w:type="dxa"/>
              <w:start w:w="70" w:type="dxa"/>
              <w:bottom w:w="60" w:type="dxa"/>
              <w:end w:w="70" w:type="dxa"/>
            </w:tcMar>
          </w:tcPr>
          <w:p>
            <w:pPr>
              <w:pStyle w:val="TableParagraph"/>
              <w:spacing w:line="240" w:lineRule="auto" w:before="0" w:after="0"/>
              <w:jc w:val="left"/>
            </w:pPr>
            <m:oMath>
              <m:r>
                <m:rPr>
                  <m:sty m:val="p"/>
                </m:rPr>
                <m:t>min</m:t>
              </m:r>
              <m:r>
                <m:rPr>
                  <m:sty m:val="p"/>
                </m:rPr>
                <m:t>(</m:t>
              </m:r>
              <m:r>
                <m:t>400</m:t>
              </m:r>
              <m:r>
                <m:rPr>
                  <m:sty m:val="p"/>
                </m:rPr>
                <m:t>,</m:t>
              </m:r>
              <m:r>
                <m:t>000</m:t>
              </m:r>
              <m:r>
                <m:rPr>
                  <m:sty m:val="p"/>
                </m:rPr>
                <m:t>,</m:t>
              </m:r>
              <m:r>
                <m:t>150</m:t>
              </m:r>
              <m:r>
                <m:rPr>
                  <m:sty m:val="p"/>
                </m:rPr>
                <m:t>,</m:t>
              </m:r>
              <m:r>
                <m:t>000</m:t>
              </m:r>
              <m:r>
                <m:rPr>
                  <m:sty m:val="p"/>
                </m:rPr>
                <m:t>)</m:t>
              </m:r>
              <m:r>
                <m:rPr>
                  <m:sty m:val="p"/>
                </m:rPr>
                <m:t>−</m:t>
              </m:r>
              <m:r>
                <m:t>50</m:t>
              </m:r>
              <m:r>
                <m:rPr>
                  <m:sty m:val="p"/>
                </m:rPr>
                <m:t>,</m:t>
              </m:r>
              <m:r>
                <m:t>000</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100,000.00</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4. Risk multiplier</w:t>
            </w:r>
          </w:p>
        </w:tc>
        <w:tc>
          <w:tcPr>
            <w:tcW w:type="dxa" w:w="4393"/>
            <w:vAlign w:val="center"/>
            <w:tcMar>
              <w:top w:w="60" w:type="dxa"/>
              <w:start w:w="70" w:type="dxa"/>
              <w:bottom w:w="60" w:type="dxa"/>
              <w:end w:w="70" w:type="dxa"/>
            </w:tcMar>
          </w:tcPr>
          <w:p>
            <w:pPr>
              <w:pStyle w:val="TableParagraph"/>
              <w:spacing w:line="240" w:lineRule="auto" w:before="0" w:after="0"/>
              <w:jc w:val="left"/>
            </w:pPr>
            <m:oMath>
              <m:sSup>
                <m:e>
                  <m:r>
                    <m:t>e</m:t>
                  </m:r>
                </m:e>
                <m:sup>
                  <m:r>
                    <m:rPr>
                      <m:sty m:val="p"/>
                    </m:rPr>
                    <m:t>−</m:t>
                  </m:r>
                  <m:r>
                    <m:t>10</m:t>
                  </m:r>
                  <m:r>
                    <m:rPr>
                      <m:sty m:val="p"/>
                    </m:rPr>
                    <m:t>×</m:t>
                  </m:r>
                  <m:r>
                    <m:t>0.02</m:t>
                  </m:r>
                </m:sup>
              </m:sSup>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0.8187</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5. Risk-adjusted amount</w:t>
            </w:r>
          </w:p>
        </w:tc>
        <w:tc>
          <w:tcPr>
            <w:tcW w:type="dxa" w:w="4393"/>
            <w:vAlign w:val="center"/>
            <w:tcMar>
              <w:top w:w="60" w:type="dxa"/>
              <w:start w:w="70" w:type="dxa"/>
              <w:bottom w:w="60" w:type="dxa"/>
              <w:end w:w="70" w:type="dxa"/>
            </w:tcMar>
          </w:tcPr>
          <w:p>
            <w:pPr>
              <w:pStyle w:val="TableParagraph"/>
              <w:spacing w:line="240" w:lineRule="auto" w:before="0" w:after="0"/>
              <w:jc w:val="left"/>
            </w:pPr>
            <m:oMath>
              <m:r>
                <m:t>100</m:t>
              </m:r>
              <m:r>
                <m:rPr>
                  <m:sty m:val="p"/>
                </m:rPr>
                <m:t>,</m:t>
              </m:r>
              <m:r>
                <m:t>000</m:t>
              </m:r>
              <m:r>
                <m:rPr>
                  <m:sty m:val="p"/>
                </m:rPr>
                <m:t>×</m:t>
              </m:r>
              <m:r>
                <m:t>0.8187</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81,873.08</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6. Preliminary limit</w:t>
            </w:r>
          </w:p>
        </w:tc>
        <w:tc>
          <w:tcPr>
            <w:tcW w:type="dxa" w:w="4393"/>
            <w:vAlign w:val="center"/>
            <w:tcMar>
              <w:top w:w="60" w:type="dxa"/>
              <w:start w:w="70" w:type="dxa"/>
              <w:bottom w:w="60" w:type="dxa"/>
              <w:end w:w="70" w:type="dxa"/>
            </w:tcMar>
          </w:tcPr>
          <w:p>
            <w:pPr>
              <w:pStyle w:val="TableParagraph"/>
              <w:spacing w:line="240" w:lineRule="auto" w:before="0" w:after="0"/>
              <w:jc w:val="left"/>
            </w:pPr>
            <m:oMath>
              <m:r>
                <m:rPr>
                  <m:sty m:val="p"/>
                </m:rPr>
                <m:t>min</m:t>
              </m:r>
              <m:r>
                <m:rPr>
                  <m:sty m:val="p"/>
                </m:rPr>
                <m:t>(</m:t>
              </m:r>
              <m:r>
                <m:t>150</m:t>
              </m:r>
              <m:r>
                <m:rPr>
                  <m:sty m:val="p"/>
                </m:rPr>
                <m:t>,</m:t>
              </m:r>
              <m:r>
                <m:t>000</m:t>
              </m:r>
              <m:r>
                <m:rPr>
                  <m:sty m:val="p"/>
                </m:rPr>
                <m:t>,</m:t>
              </m:r>
              <m:r>
                <m:t>81</m:t>
              </m:r>
              <m:r>
                <m:rPr>
                  <m:sty m:val="p"/>
                </m:rPr>
                <m:t>,</m:t>
              </m:r>
              <m:r>
                <m:t>873.08</m:t>
              </m:r>
              <m:r>
                <m:rPr>
                  <m:sty m:val="p"/>
                </m:rPr>
                <m:t>)</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81,873.08</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7. Smoothed increase</w:t>
            </w:r>
          </w:p>
        </w:tc>
        <w:tc>
          <w:tcPr>
            <w:tcW w:type="dxa" w:w="4393"/>
            <w:vAlign w:val="center"/>
            <w:tcMar>
              <w:top w:w="60" w:type="dxa"/>
              <w:start w:w="70" w:type="dxa"/>
              <w:bottom w:w="60" w:type="dxa"/>
              <w:end w:w="70" w:type="dxa"/>
            </w:tcMar>
          </w:tcPr>
          <w:p>
            <w:pPr>
              <w:pStyle w:val="TableParagraph"/>
              <w:spacing w:line="240" w:lineRule="auto" w:before="0" w:after="0"/>
              <w:jc w:val="left"/>
            </w:pPr>
            <m:oMath>
              <m:r>
                <m:t>70</m:t>
              </m:r>
              <m:r>
                <m:rPr>
                  <m:sty m:val="p"/>
                </m:rPr>
                <m:t>,</m:t>
              </m:r>
              <m:r>
                <m:t>000</m:t>
              </m:r>
              <m:r>
                <m:rPr>
                  <m:sty m:val="p"/>
                </m:rPr>
                <m:t>+</m:t>
              </m:r>
              <m:r>
                <m:t>0.50</m:t>
              </m:r>
              <m:r>
                <m:rPr>
                  <m:sty m:val="p"/>
                </m:rPr>
                <m:t>×</m:t>
              </m:r>
              <m:r>
                <m:rPr>
                  <m:sty m:val="p"/>
                </m:rPr>
                <m:t>(</m:t>
              </m:r>
              <m:r>
                <m:t>81</m:t>
              </m:r>
              <m:r>
                <m:rPr>
                  <m:sty m:val="p"/>
                </m:rPr>
                <m:t>,</m:t>
              </m:r>
              <m:r>
                <m:t>873.08</m:t>
              </m:r>
              <m:r>
                <m:rPr>
                  <m:sty m:val="p"/>
                </m:rPr>
                <m:t>−</m:t>
              </m:r>
              <m:r>
                <m:t>70</m:t>
              </m:r>
              <m:r>
                <m:rPr>
                  <m:sty m:val="p"/>
                </m:rPr>
                <m:t>,</m:t>
              </m:r>
              <m:r>
                <m:t>000</m:t>
              </m:r>
              <m:r>
                <m:rPr>
                  <m:sty m:val="p"/>
                </m:rPr>
                <m:t>)</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75,936.54</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8. Monthly increase ceiling</w:t>
            </w:r>
          </w:p>
        </w:tc>
        <w:tc>
          <w:tcPr>
            <w:tcW w:type="dxa" w:w="4393"/>
            <w:vAlign w:val="center"/>
            <w:tcMar>
              <w:top w:w="60" w:type="dxa"/>
              <w:start w:w="70" w:type="dxa"/>
              <w:bottom w:w="60" w:type="dxa"/>
              <w:end w:w="70" w:type="dxa"/>
            </w:tcMar>
          </w:tcPr>
          <w:p>
            <w:pPr>
              <w:pStyle w:val="TableParagraph"/>
              <w:spacing w:line="240" w:lineRule="auto" w:before="0" w:after="0"/>
              <w:jc w:val="left"/>
            </w:pPr>
            <m:oMath>
              <m:r>
                <m:t>1.10</m:t>
              </m:r>
              <m:r>
                <m:rPr>
                  <m:sty m:val="p"/>
                </m:rPr>
                <m:t>×</m:t>
              </m:r>
              <m:r>
                <m:t>70</m:t>
              </m:r>
              <m:r>
                <m:rPr>
                  <m:sty m:val="p"/>
                </m:rPr>
                <m:t>,</m:t>
              </m:r>
              <m:r>
                <m:t>000</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77,000.00</w:t>
            </w:r>
          </w:p>
        </w:tc>
      </w:tr>
      <w:tr>
        <w:trPr>
          <w:cantSplit/>
        </w:trPr>
        <w:tc>
          <w:tcPr>
            <w:tcW w:type="dxa" w:w="263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9. Assigned limit</w:t>
            </w:r>
          </w:p>
        </w:tc>
        <w:tc>
          <w:tcPr>
            <w:tcW w:type="dxa" w:w="439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Smallest of steps 6–8</w:t>
            </w:r>
          </w:p>
        </w:tc>
        <w:tc>
          <w:tcPr>
            <w:tcW w:type="dxa" w:w="175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75,936.54</w:t>
            </w:r>
          </w:p>
        </w:tc>
      </w:tr>
      <w:tr>
        <w:trPr>
          <w:cantSplit/>
        </w:trPr>
        <w:tc>
          <w:tcPr>
            <w:tcW w:type="dxa" w:w="263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10. New available credit</w:t>
            </w:r>
          </w:p>
        </w:tc>
        <w:tc>
          <w:tcPr>
            <w:tcW w:type="dxa" w:w="4393"/>
            <w:vAlign w:val="center"/>
            <w:tcMar>
              <w:top w:w="60" w:type="dxa"/>
              <w:start w:w="70" w:type="dxa"/>
              <w:bottom w:w="60" w:type="dxa"/>
              <w:end w:w="70" w:type="dxa"/>
            </w:tcMar>
          </w:tcPr>
          <w:p>
            <w:pPr>
              <w:pStyle w:val="TableParagraph"/>
              <w:keepNext/>
              <w:spacing w:line="240" w:lineRule="auto" w:before="0" w:after="0"/>
              <w:jc w:val="left"/>
            </w:pPr>
            <m:oMath>
              <m:r>
                <m:t>75</m:t>
              </m:r>
              <m:r>
                <m:rPr>
                  <m:sty m:val="p"/>
                </m:rPr>
                <m:t>,</m:t>
              </m:r>
              <m:r>
                <m:t>936.54</m:t>
              </m:r>
              <m:r>
                <m:rPr>
                  <m:sty m:val="p"/>
                </m:rPr>
                <m:t>−</m:t>
              </m:r>
              <m:r>
                <m:t>60</m:t>
              </m:r>
              <m:r>
                <m:rPr>
                  <m:sty m:val="p"/>
                </m:rPr>
                <m:t>,</m:t>
              </m:r>
              <m:r>
                <m:t>000</m:t>
              </m:r>
            </m:oMath>
            <w:r>
              <w:rPr>
                <w:rFonts w:ascii="Times New Roman" w:hAnsi="Times New Roman" w:eastAsia="Times New Roman"/>
                <w:b w:val="0"/>
                <w:sz w:val="24"/>
              </w:rPr>
              <w:t xml:space="preserve">​</w:t>
            </w:r>
          </w:p>
        </w:tc>
        <w:tc>
          <w:tcPr>
            <w:tcW w:type="dxa" w:w="175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USD 15,936.54</w:t>
            </w:r>
          </w:p>
        </w:tc>
      </w:tr>
    </w:tbl>
    <w:p>
      <w:pPr>
        <w:pStyle w:val="Caption"/>
        <w:spacing w:line="240" w:lineRule="auto"/>
        <w:jc w:val="center"/>
      </w:pPr>
      <w:r>
        <w:rPr>
          <w:rFonts w:ascii="Times New Roman" w:hAnsi="Times New Roman" w:eastAsia="Times New Roman"/>
          <w:i/>
          <w:iCs/>
          <w:sz w:val="24"/>
        </w:rPr>
        <w:t xml:space="preserve">Table 11. Worked credit-limit calculation.</w:t>
      </w:r>
    </w:p>
    <w:p>
      <w:pPr>
        <w:pStyle w:val="BodyText"/>
        <w:spacing w:before="0" w:after="200" w:line="276" w:lineRule="auto"/>
        <w:jc w:val="both"/>
      </w:pPr>
      <w:r>
        <w:rPr>
          <w:rFonts w:ascii="Times New Roman" w:hAnsi="Times New Roman" w:eastAsia="Times New Roman"/>
          <w:b w:val="0"/>
          <w:sz w:val="24"/>
        </w:rPr>
        <w:t xml:space="preserve">The exposure cap does not bind in this example. The smoothing rule produces the smallest permitted amount and therefore determines the assigned limit. The Python implementation generates these values using full precision; the table rounds displayed amounts. The example does not represent an actual company or a fitted model result.</w:t>
      </w:r>
    </w:p>
    <w:p>
      <w:pPr>
        <w:pStyle w:val="Heading2"/>
      </w:pPr>
      <w:bookmarkStart w:id="139" w:name="_de5acfe4e03f562a402e8aec34967ff041cb23b"/>
      <w:r>
        <w:rPr>
          <w:rFonts w:ascii="Times New Roman" w:hAnsi="Times New Roman" w:eastAsia="Times New Roman"/>
          <w:b/>
          <w:sz w:val="26"/>
        </w:rPr>
        <w:t xml:space="preserve">5.7 Scenario Assumptions and Limitations</w:t>
      </w:r>
      <w:bookmarkEnd w:id="139"/>
    </w:p>
    <w:p>
      <w:pPr>
        <w:pStyle w:val="FirstParagraph"/>
        <w:spacing w:before="0" w:after="200" w:line="276" w:lineRule="auto"/>
        <w:jc w:val="both"/>
      </w:pPr>
      <w:r>
        <w:rPr>
          <w:rFonts w:ascii="Times New Roman" w:hAnsi="Times New Roman" w:eastAsia="Times New Roman"/>
          <w:b w:val="0"/>
          <w:sz w:val="24"/>
        </w:rPr>
        <w:t xml:space="preserve">Each decision record preserves input values and dates, currency, event definition, horizon, model version, policy settings, intermediate amounts, binding constraint and change reason. Exposure and available credit remain separate. Appendix A maps the code and results.</w:t>
      </w:r>
    </w:p>
    <w:p>
      <w:pPr>
        <w:pStyle w:val="BodyText"/>
        <w:spacing w:before="0" w:after="200" w:line="276" w:lineRule="auto"/>
        <w:jc w:val="both"/>
      </w:pPr>
      <w:r>
        <w:rPr>
          <w:rFonts w:ascii="Times New Roman" w:hAnsi="Times New Roman" w:eastAsia="Times New Roman"/>
          <w:b w:val="0"/>
          <w:sz w:val="24"/>
        </w:rPr>
        <w:t xml:space="preserve">The base replay assumes that all reported cash is eligible, no additional external debt payment is due within 60 days, outstanding facility exposure is zero and the exposure cap equals 1% of assets. These are not observed borrower facts. Rows without the required accounting inputs are excluded, and a reporting gap starts a new hypothetical assessment.</w:t>
      </w:r>
    </w:p>
    <w:p>
      <w:pPr>
        <w:pStyle w:val="BodyText"/>
        <w:spacing w:before="0" w:after="200" w:line="276" w:lineRule="auto"/>
        <w:jc w:val="both"/>
      </w:pPr>
      <w:r>
        <w:rPr>
          <w:rFonts w:ascii="Times New Roman" w:hAnsi="Times New Roman" w:eastAsia="Times New Roman"/>
          <w:b w:val="0"/>
          <w:sz w:val="24"/>
        </w:rPr>
        <w:t xml:space="preserve">The probability is a prediction of an SEC disclosure proxy, not a verified facility default. The data contain no actual credit limits, drawings, repayments, losses, prices or profits against which to test the policy. The parameters were fixed before model fitting, and the sensitivity cases show how the rules react to alternative assumptions rather than identify optimal settings. The replay therefore tests the behavior of the proposed rules; it does not demonstrate that the limits are safe, profitable or beneficial to a lender.</w:t>
      </w:r>
    </w:p>
    <w:p>
      <w:pPr>
        <w:pStyle w:val="Heading1"/>
        <w:pageBreakBefore/>
      </w:pPr>
      <w:bookmarkStart w:id="140" w:name="_1a2151b2740a381a2f50970420ce11fd2959230"/>
      <w:r>
        <w:rPr>
          <w:rFonts w:ascii="Times New Roman" w:hAnsi="Times New Roman" w:eastAsia="Times New Roman"/>
          <w:b/>
          <w:sz w:val="32"/>
        </w:rPr>
        <w:t xml:space="preserve">6 Empirical Results</w:t>
      </w:r>
      <w:bookmarkEnd w:id="140"/>
    </w:p>
    <w:p>
      <w:pPr>
        <w:pStyle w:val="FirstParagraph"/>
        <w:spacing w:before="0" w:after="200" w:line="276" w:lineRule="auto"/>
        <w:jc w:val="both"/>
      </w:pPr>
      <w:r>
        <w:rPr>
          <w:rFonts w:ascii="Times New Roman" w:hAnsi="Times New Roman" w:eastAsia="Times New Roman"/>
          <w:b w:val="0"/>
          <w:sz w:val="24"/>
        </w:rPr>
        <w:t xml:space="preserve">The primary model experiment selects a random forest with uncorrected, or raw, probabilities. Both tree models pass the selection requirements, but the random forest has the lowest probability error during the 2020–2022 selection period. In the later 2023–2025 evaluation, it continues to rank higher-risk observations reasonably well. However, its improvement in probability error is small, and its fixed alert threshold detects only a small share of the disclosure outcomes.</w:t>
      </w:r>
    </w:p>
    <w:p>
      <w:pPr>
        <w:pStyle w:val="Heading2"/>
      </w:pPr>
      <w:bookmarkStart w:id="141" w:name="_ddd602ab46eb169874dac09626cea5a17ca534a"/>
      <w:r>
        <w:rPr>
          <w:rFonts w:ascii="Times New Roman" w:hAnsi="Times New Roman" w:eastAsia="Times New Roman"/>
          <w:b/>
          <w:sz w:val="26"/>
        </w:rPr>
        <w:t xml:space="preserve">6.1 Sample and Chronological Design</w:t>
      </w:r>
      <w:bookmarkEnd w:id="141"/>
    </w:p>
    <w:p>
      <w:pPr>
        <w:pStyle w:val="FirstParagraph"/>
        <w:spacing w:before="0" w:after="200" w:line="276" w:lineRule="auto"/>
        <w:jc w:val="both"/>
      </w:pPr>
      <w:r>
        <w:rPr>
          <w:rFonts w:ascii="Times New Roman" w:hAnsi="Times New Roman" w:eastAsia="Times New Roman"/>
          <w:b w:val="0"/>
          <w:sz w:val="24"/>
        </w:rPr>
        <w:t xml:space="preserve">The labeled panel contains 565,222 company-months from 8,780 companies. It has 1,052 positive rows representing 573 disclosure episodes in 487 companies.</w:t>
      </w:r>
    </w:p>
    <w:p>
      <w:pPr>
        <w:pStyle w:val="BodyText"/>
        <w:spacing w:before="0" w:after="200" w:line="276" w:lineRule="auto"/>
        <w:jc w:val="both"/>
      </w:pPr>
      <w:r>
        <w:rPr>
          <w:rFonts w:ascii="Times New Roman" w:hAnsi="Times New Roman" w:eastAsia="Times New Roman"/>
          <w:b w:val="0"/>
          <w:sz w:val="24"/>
        </w:rPr>
        <w:t xml:space="preserve">The five modeling stages contain 531,344 observations after chronological purging:</w:t>
      </w:r>
    </w:p>
    <w:tbl>
      <w:tblPr>
        <w:tblStyle w:val="TableGrid0"/>
        <w:tblW w:type="pct" w:w="5000"/>
        <w:jc w:val="center"/>
        <w:tblLayout w:type="fixed"/>
        <w:tblLook w:firstRow="1" w:lastRow="0" w:firstColumn="0" w:lastColumn="0" w:noHBand="0" w:noVBand="0" w:val="0020"/>
      </w:tblPr>
      <w:tblGrid>
        <w:gridCol w:w="2196"/>
        <w:gridCol w:w="1098"/>
        <w:gridCol w:w="1318"/>
        <w:gridCol w:w="878"/>
        <w:gridCol w:w="1318"/>
        <w:gridCol w:w="1098"/>
        <w:gridCol w:w="878"/>
      </w:tblGrid>
      <w:tr>
        <w:trPr>
          <w:tblHeader w:val="on"/>
          <w:tblHeader w:val="true"/>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Stage</w:t>
            </w:r>
          </w:p>
        </w:tc>
        <w:tc>
          <w:tcPr>
            <w:tcW w:type="dxa" w:w="109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Calendar period</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Observations</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Positive rows</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Episodes</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Companies</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Event companies</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Training</w:t>
            </w:r>
          </w:p>
        </w:tc>
        <w:tc>
          <w:tcPr>
            <w:tcW w:type="dxa" w:w="109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2011–2016</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196,174</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294</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160</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5,783</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133</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Tuning</w:t>
            </w:r>
          </w:p>
        </w:tc>
        <w:tc>
          <w:tcPr>
            <w:tcW w:type="dxa" w:w="109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2017–2018</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51,021</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103</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58</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3,591</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56</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Calibration</w:t>
            </w:r>
          </w:p>
        </w:tc>
        <w:tc>
          <w:tcPr>
            <w:tcW w:type="dxa" w:w="109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2019</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31,165</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74</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45</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3,814</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43</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Selection</w:t>
            </w:r>
          </w:p>
        </w:tc>
        <w:tc>
          <w:tcPr>
            <w:tcW w:type="dxa" w:w="109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2020–2022</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121,142</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204</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116</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4,883</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100</w:t>
            </w:r>
          </w:p>
        </w:tc>
      </w:tr>
      <w:tr>
        <w:trPr>
          <w:cantSplit/>
        </w:trPr>
        <w:tc>
          <w:tcPr>
            <w:tcW w:type="dxa" w:w="219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Later evaluation</w:t>
            </w:r>
          </w:p>
        </w:tc>
        <w:tc>
          <w:tcPr>
            <w:tcW w:type="dxa" w:w="1098"/>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2023–2025</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131,842</w:t>
            </w:r>
          </w:p>
        </w:tc>
        <w:tc>
          <w:tcPr>
            <w:tcW w:type="dxa" w:w="87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318</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176</w:t>
            </w:r>
          </w:p>
        </w:tc>
        <w:tc>
          <w:tcPr>
            <w:tcW w:type="dxa" w:w="109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4,633</w:t>
            </w:r>
          </w:p>
        </w:tc>
        <w:tc>
          <w:tcPr>
            <w:tcW w:type="dxa" w:w="87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165</w:t>
            </w:r>
          </w:p>
        </w:tc>
      </w:tr>
    </w:tbl>
    <w:p>
      <w:pPr>
        <w:pStyle w:val="Caption"/>
        <w:spacing w:line="240" w:lineRule="auto"/>
        <w:jc w:val="center"/>
      </w:pPr>
      <w:r>
        <w:rPr>
          <w:rFonts w:ascii="Times New Roman" w:hAnsi="Times New Roman" w:eastAsia="Times New Roman"/>
          <w:i/>
          <w:iCs/>
          <w:sz w:val="24"/>
        </w:rPr>
        <w:t xml:space="preserve">Table 12. Composition of the chronological modeling stages.</w:t>
      </w:r>
    </w:p>
    <w:p>
      <w:pPr>
        <w:pStyle w:val="BodyText"/>
        <w:spacing w:before="0" w:after="200" w:line="276" w:lineRule="auto"/>
        <w:jc w:val="both"/>
      </w:pPr>
      <w:r>
        <w:rPr>
          <w:rFonts w:ascii="Times New Roman" w:hAnsi="Times New Roman" w:eastAsia="Times New Roman"/>
          <w:b w:val="0"/>
          <w:i/>
          <w:iCs/>
          <w:sz w:val="24"/>
        </w:rPr>
        <w:t xml:space="preserve">Source: primary model experiment stage audit. Counts refer to observations retained after chronological purging.</w:t>
      </w:r>
    </w:p>
    <w:p>
      <w:pPr>
        <w:pStyle w:val="BodyText"/>
        <w:spacing w:before="0" w:after="200" w:line="276" w:lineRule="auto"/>
        <w:jc w:val="both"/>
      </w:pPr>
      <w:r>
        <w:rPr>
          <w:rFonts w:ascii="Times New Roman" w:hAnsi="Times New Roman" w:eastAsia="Times New Roman"/>
          <w:b w:val="0"/>
          <w:sz w:val="24"/>
        </w:rPr>
        <w:t xml:space="preserve">The stages exclude 33,878 boundary observations whose complete 60-day outcome was unavailable when the next stage began, preventing future labels from entering earlier stages.</w:t>
      </w:r>
    </w:p>
    <w:p>
      <w:pPr>
        <w:pStyle w:val="BodyText"/>
        <w:spacing w:before="0" w:after="200" w:line="276" w:lineRule="auto"/>
        <w:jc w:val="both"/>
      </w:pPr>
      <w:r>
        <w:rPr>
          <w:rFonts w:ascii="Times New Roman" w:hAnsi="Times New Roman" w:eastAsia="Times New Roman"/>
          <w:b w:val="0"/>
          <w:sz w:val="24"/>
        </w:rPr>
        <w:t xml:space="preserve">A</w:t>
      </w:r>
      <w:r>
        <w:rPr>
          <w:rFonts w:ascii="Times New Roman" w:hAnsi="Times New Roman" w:eastAsia="Times New Roman"/>
          <w:b w:val="0"/>
          <w:sz w:val="24"/>
        </w:rPr>
        <w:t xml:space="preserve"> </w:t>
      </w:r>
      <w:r>
        <w:rPr>
          <w:rFonts w:ascii="Times New Roman" w:hAnsi="Times New Roman" w:eastAsia="Times New Roman"/>
          <w:b w:val="0"/>
          <w:bCs/>
          <w:sz w:val="24"/>
        </w:rPr>
        <w:t xml:space="preserve">positive row</w:t>
      </w:r>
      <w:r>
        <w:rPr>
          <w:rFonts w:ascii="Times New Roman" w:hAnsi="Times New Roman" w:eastAsia="Times New Roman"/>
          <w:b w:val="0"/>
          <w:sz w:val="24"/>
        </w:rPr>
        <w:t xml:space="preserve"> </w:t>
      </w:r>
      <w:r>
        <w:rPr>
          <w:rFonts w:ascii="Times New Roman" w:hAnsi="Times New Roman" w:eastAsia="Times New Roman"/>
          <w:b w:val="0"/>
          <w:sz w:val="24"/>
        </w:rPr>
        <w:t xml:space="preserve">is a company-month followed by an episode within 60 days; one episode can produce several positive monthly rows. The later evaluation’s 318 positive rows represent 176 episodes in 165 companies.</w:t>
      </w:r>
    </w:p>
    <w:p>
      <w:pPr>
        <w:pStyle w:val="BodyText"/>
        <w:spacing w:before="0" w:after="200" w:line="276" w:lineRule="auto"/>
        <w:jc w:val="both"/>
      </w:pPr>
      <w:r>
        <w:rPr>
          <w:rFonts w:ascii="Times New Roman" w:hAnsi="Times New Roman" w:eastAsia="Times New Roman"/>
          <w:b w:val="0"/>
          <w:sz w:val="24"/>
        </w:rPr>
        <w:t xml:space="preserve">The reported experiment does not use 2023–2025 outcomes for fitting, tuning, calibration or model selection. However, these years were examined during earlier project development, and the broader outcome definition was specified after that work. The later evaluation is therefore retrospective rather than an untouched external validation.</w:t>
      </w:r>
    </w:p>
    <w:p>
      <w:pPr>
        <w:pStyle w:val="BodyText"/>
        <w:keepNext/>
        <w:spacing w:line="240" w:lineRule="auto" w:before="0" w:after="0"/>
        <w:jc w:val="center"/>
      </w:pPr>
      <w:r>
        <w:drawing>
          <wp:inline>
            <wp:extent cx="5580000" cy="3742682"/>
            <wp:effectExtent b="0" l="0" r="0" t="0"/>
            <wp:docPr descr="" title="" id="143" name="Picture"/>
            <a:graphic>
              <a:graphicData uri="http://schemas.openxmlformats.org/drawingml/2006/picture">
                <pic:pic>
                  <pic:nvPicPr>
                    <pic:cNvPr descr="figures/sample_over_time.png" id="144" name="Picture"/>
                    <pic:cNvPicPr>
                      <a:picLocks noChangeArrowheads="1" noChangeAspect="1"/>
                    </pic:cNvPicPr>
                  </pic:nvPicPr>
                  <pic:blipFill>
                    <a:blip r:embed="rId142"/>
                    <a:stretch>
                      <a:fillRect/>
                    </a:stretch>
                  </pic:blipFill>
                  <pic:spPr bwMode="auto">
                    <a:xfrm>
                      <a:off x="0" y="0"/>
                      <a:ext cx="5580000" cy="3742682"/>
                    </a:xfrm>
                    <a:prstGeom prst="rect">
                      <a:avLst/>
                    </a:prstGeom>
                    <a:noFill/>
                    <a:ln w="9525">
                      <a:noFill/>
                      <a:headEnd/>
                      <a:tailEnd/>
                    </a:ln>
                  </pic:spPr>
                </pic:pic>
              </a:graphicData>
            </a:graphic>
          </wp:inline>
        </w:drawing>
      </w:r>
    </w:p>
    <w:p>
      <w:pPr>
        <w:pStyle w:val="Caption"/>
        <w:spacing w:line="240" w:lineRule="auto"/>
        <w:jc w:val="center"/>
      </w:pPr>
      <w:r>
        <w:rPr>
          <w:rFonts w:ascii="Times New Roman" w:hAnsi="Times New Roman" w:eastAsia="Times New Roman"/>
          <w:i/>
          <w:iCs/>
          <w:sz w:val="24"/>
        </w:rPr>
        <w:t xml:space="preserve">Figure 1. Labeled panel before chronological purging. Positive rows are monthly prediction outcomes, not separate episodes. Source: primary model experiment panel audit and descriptive report.</w:t>
      </w:r>
    </w:p>
    <w:p>
      <w:pPr>
        <w:pStyle w:val="Heading2"/>
      </w:pPr>
      <w:bookmarkStart w:id="145" w:name="_e172b5a2c5d655249c3c847be4faad5a038a35f"/>
      <w:r>
        <w:rPr>
          <w:rFonts w:ascii="Times New Roman" w:hAnsi="Times New Roman" w:eastAsia="Times New Roman"/>
          <w:b/>
          <w:sz w:val="26"/>
        </w:rPr>
        <w:t xml:space="preserve">6.2 Predictors and Tuning</w:t>
      </w:r>
      <w:bookmarkEnd w:id="145"/>
    </w:p>
    <w:p>
      <w:pPr>
        <w:pStyle w:val="FirstParagraph"/>
        <w:spacing w:before="0" w:after="200" w:line="276" w:lineRule="auto"/>
        <w:jc w:val="both"/>
      </w:pPr>
      <w:r>
        <w:rPr>
          <w:rFonts w:ascii="Times New Roman" w:hAnsi="Times New Roman" w:eastAsia="Times New Roman"/>
          <w:b w:val="0"/>
          <w:sz w:val="24"/>
        </w:rPr>
        <w:t xml:space="preserve">All models use the twelve predictors defined in Chapter 3 and the chronological tuning procedure defined in Chapter 4. Tuning selects one setting within each model family:</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Model family</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Selected setting</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Logistic regression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Balanced class weights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L2 logistic regression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Balanced class weights and</w:t>
            </w:r>
            <w:r>
              <w:rPr>
                <w:rFonts w:ascii="Times New Roman" w:hAnsi="Times New Roman" w:eastAsia="Times New Roman"/>
                <w:b w:val="0"/>
                <w:sz w:val="24"/>
              </w:rPr>
              <w:t xml:space="preserve"> </w:t>
            </w:r>
            <m:oMath>
              <m:r>
                <m:t>C</m:t>
              </m:r>
              <m:r>
                <m:rPr>
                  <m:sty m:val="p"/>
                </m:rPr>
                <m:t>=</m:t>
              </m:r>
              <m:r>
                <m:t>10</m:t>
              </m:r>
            </m:oMath>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Random forest</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Unweighted, 300 trees, unrestricted depth and minimum leaf size 20</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w:t>
            </w:r>
          </w:p>
        </w:tc>
        <w:tc>
          <w:tcPr>
            <w:tcW w:type="dxa" w:w="2284"/>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Unweighted, 200 trees, depth 4 and learning rate 0.05</w:t>
            </w:r>
          </w:p>
        </w:tc>
      </w:tr>
    </w:tbl>
    <w:p>
      <w:pPr>
        <w:pStyle w:val="Caption"/>
        <w:spacing w:line="240" w:lineRule="auto"/>
        <w:jc w:val="center"/>
      </w:pPr>
      <w:r>
        <w:rPr>
          <w:rFonts w:ascii="Times New Roman" w:hAnsi="Times New Roman" w:eastAsia="Times New Roman"/>
          <w:i/>
          <w:iCs/>
          <w:sz w:val="24"/>
        </w:rPr>
        <w:t xml:space="preserve">Table 13. Selected settings by model family.</w:t>
      </w:r>
    </w:p>
    <w:p>
      <w:pPr>
        <w:pStyle w:val="BodyText"/>
        <w:spacing w:before="0" w:after="200" w:line="276" w:lineRule="auto"/>
        <w:jc w:val="both"/>
      </w:pPr>
      <w:r>
        <w:rPr>
          <w:rFonts w:ascii="Times New Roman" w:hAnsi="Times New Roman" w:eastAsia="Times New Roman"/>
          <w:b w:val="0"/>
          <w:sz w:val="24"/>
        </w:rPr>
        <w:t xml:space="preserve">Balanced weights give rare positives more influence without changing their number. Tuning selects them for the logistic but not the tree models. Appendix A records the full grid and software settings.</w:t>
      </w:r>
    </w:p>
    <w:p>
      <w:pPr>
        <w:pStyle w:val="Heading2"/>
      </w:pPr>
      <w:bookmarkStart w:id="146" w:name="_a546961918222bf09dcd12e2ca539f0992b26a1"/>
      <w:r>
        <w:rPr>
          <w:rFonts w:ascii="Times New Roman" w:hAnsi="Times New Roman" w:eastAsia="Times New Roman"/>
          <w:b/>
          <w:sz w:val="26"/>
        </w:rPr>
        <w:t xml:space="preserve">6.3 Probability Mapping and Model Selection</w:t>
      </w:r>
      <w:bookmarkEnd w:id="146"/>
    </w:p>
    <w:p>
      <w:pPr>
        <w:pStyle w:val="FirstParagraph"/>
        <w:spacing w:before="0" w:after="200" w:line="276" w:lineRule="auto"/>
        <w:jc w:val="both"/>
      </w:pPr>
      <w:r>
        <w:rPr>
          <w:rFonts w:ascii="Times New Roman" w:hAnsi="Times New Roman" w:eastAsia="Times New Roman"/>
          <w:b w:val="0"/>
          <w:sz w:val="24"/>
        </w:rPr>
        <w:t xml:space="preserve">Sigmoid probability correction greatly reduces the logistic models’ raw Brier errors, so the corrected probabilities are retained for those models. Raw probabilities are retained for both tree models. For the random forest, sigmoid correction worsens the selection-period Brier score from 0.0016463 to 0.0017675.</w:t>
      </w:r>
    </w:p>
    <w:p>
      <w:pPr>
        <w:pStyle w:val="BodyText"/>
        <w:spacing w:before="0" w:after="200" w:line="276" w:lineRule="auto"/>
        <w:jc w:val="both"/>
      </w:pPr>
      <w:r>
        <w:rPr>
          <w:rFonts w:ascii="Times New Roman" w:hAnsi="Times New Roman" w:eastAsia="Times New Roman"/>
          <w:b w:val="0"/>
          <w:sz w:val="24"/>
        </w:rPr>
        <w:t xml:space="preserve">The constant benchmark has a selection-period event share of 0.1684% and a Brier score of 0.0016812. Average-precision lift compares average precision with that event share. Brier skill shows the percentage improvement in Brier error relative to the constant benchmark; a negative value means that the model is worse than the benchmark.</w:t>
      </w:r>
    </w:p>
    <w:tbl>
      <w:tblPr>
        <w:tblStyle w:val="TableGrid0"/>
        <w:tblW w:type="pct" w:w="5000"/>
        <w:jc w:val="center"/>
        <w:tblLayout w:type="fixed"/>
        <w:tblLook w:firstRow="1" w:lastRow="0" w:firstColumn="0" w:lastColumn="0" w:noHBand="0" w:noVBand="0" w:val="0020"/>
      </w:tblPr>
      <w:tblGrid>
        <w:gridCol w:w="2196"/>
        <w:gridCol w:w="1098"/>
        <w:gridCol w:w="1318"/>
        <w:gridCol w:w="878"/>
        <w:gridCol w:w="1318"/>
        <w:gridCol w:w="1098"/>
        <w:gridCol w:w="878"/>
      </w:tblGrid>
      <w:tr>
        <w:trPr>
          <w:tblHeader w:val="on"/>
          <w:tblHeader w:val="true"/>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Model and probability mapping</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ROC-AUC</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Average precision</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AP lift</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Brier score</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Brier skill</w:t>
            </w:r>
          </w:p>
        </w:tc>
        <w:tc>
          <w:tcPr>
            <w:tcW w:type="dxa" w:w="87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Accepted</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Logistic, sigmoid</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0.8193</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0.6182%</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3.67</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0.0017116</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−1.81%</w:t>
            </w:r>
          </w:p>
        </w:tc>
        <w:tc>
          <w:tcPr>
            <w:tcW w:type="dxa" w:w="87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L2 logistic, sigmoid</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0.8190</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0.6168%</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3.66</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0.0017116</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−1.81%</w:t>
            </w:r>
          </w:p>
        </w:tc>
        <w:tc>
          <w:tcPr>
            <w:tcW w:type="dxa" w:w="87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Random forest, raw</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0.8601</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4.3005%</w:t>
            </w:r>
          </w:p>
        </w:tc>
        <w:tc>
          <w:tcPr>
            <w:tcW w:type="dxa" w:w="87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25.54</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0.0016463</w:t>
            </w:r>
          </w:p>
        </w:tc>
        <w:tc>
          <w:tcPr>
            <w:tcW w:type="dxa" w:w="109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2.08%</w:t>
            </w:r>
          </w:p>
        </w:tc>
        <w:tc>
          <w:tcPr>
            <w:tcW w:type="dxa" w:w="878"/>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Yes</w:t>
            </w:r>
          </w:p>
        </w:tc>
      </w:tr>
      <w:tr>
        <w:trPr>
          <w:cantSplit/>
        </w:trPr>
        <w:tc>
          <w:tcPr>
            <w:tcW w:type="dxa" w:w="219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 raw</w:t>
            </w:r>
          </w:p>
        </w:tc>
        <w:tc>
          <w:tcPr>
            <w:tcW w:type="dxa" w:w="109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0.8755</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3.9759%</w:t>
            </w:r>
          </w:p>
        </w:tc>
        <w:tc>
          <w:tcPr>
            <w:tcW w:type="dxa" w:w="87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23.61</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0.0016778</w:t>
            </w:r>
          </w:p>
        </w:tc>
        <w:tc>
          <w:tcPr>
            <w:tcW w:type="dxa" w:w="109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0.20%</w:t>
            </w:r>
          </w:p>
        </w:tc>
        <w:tc>
          <w:tcPr>
            <w:tcW w:type="dxa" w:w="878"/>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Yes</w:t>
            </w:r>
          </w:p>
        </w:tc>
      </w:tr>
    </w:tbl>
    <w:p>
      <w:pPr>
        <w:pStyle w:val="Caption"/>
        <w:spacing w:line="240" w:lineRule="auto"/>
        <w:jc w:val="center"/>
      </w:pPr>
      <w:r>
        <w:rPr>
          <w:rFonts w:ascii="Times New Roman" w:hAnsi="Times New Roman" w:eastAsia="Times New Roman"/>
          <w:i/>
          <w:iCs/>
          <w:sz w:val="24"/>
        </w:rPr>
        <w:t xml:space="preserve">Table 14. Model selection results for 2020–2022.</w:t>
      </w:r>
    </w:p>
    <w:p>
      <w:pPr>
        <w:pStyle w:val="BodyText"/>
        <w:spacing w:before="0" w:after="200" w:line="276" w:lineRule="auto"/>
        <w:jc w:val="both"/>
      </w:pPr>
      <w:r>
        <w:rPr>
          <w:rFonts w:ascii="Times New Roman" w:hAnsi="Times New Roman" w:eastAsia="Times New Roman"/>
          <w:b w:val="0"/>
          <w:sz w:val="24"/>
        </w:rPr>
        <w:t xml:space="preserve">Both logistic models rank positive rows above the event-share baseline, but their corrected probabilities have more Brier error than the constant benchmark. They therefore fail the requirement for improvement in both ranking and probability error. Both tree models pass. The random forest has the lower Brier score and is selected according to the rule in Section 4.9, even though XGBoost has the higher ROC-AUC.</w:t>
      </w:r>
    </w:p>
    <w:p>
      <w:pPr>
        <w:pStyle w:val="BodyText"/>
        <w:spacing w:before="0" w:after="200" w:line="276" w:lineRule="auto"/>
        <w:jc w:val="both"/>
      </w:pPr>
      <w:r>
        <w:rPr>
          <w:rFonts w:ascii="Times New Roman" w:hAnsi="Times New Roman" w:eastAsia="Times New Roman"/>
          <w:b w:val="0"/>
          <w:sz w:val="24"/>
        </w:rPr>
        <w:t xml:space="preserve">Maximizing F1 in 2020–2022 sets the forest’s alert threshold at 0.057971 (about 5.8%). It is applied unchanged in 2023–2025 only to evaluate alerts; the credit policy uses the continuous probability.</w:t>
      </w:r>
    </w:p>
    <w:p>
      <w:pPr>
        <w:pStyle w:val="Heading2"/>
      </w:pPr>
      <w:bookmarkStart w:id="147" w:name="_9ae97c0b4dc5d189b74dc50cdbdd97db6dce890"/>
      <w:r>
        <w:rPr>
          <w:rFonts w:ascii="Times New Roman" w:hAnsi="Times New Roman" w:eastAsia="Times New Roman"/>
          <w:b/>
          <w:sz w:val="26"/>
        </w:rPr>
        <w:t xml:space="preserve">6.4 Later Evaluation</w:t>
      </w:r>
      <w:bookmarkEnd w:id="147"/>
    </w:p>
    <w:p>
      <w:pPr>
        <w:pStyle w:val="FirstParagraph"/>
        <w:spacing w:before="0" w:after="200" w:line="276" w:lineRule="auto"/>
        <w:jc w:val="both"/>
      </w:pPr>
      <w:r>
        <w:rPr>
          <w:rFonts w:ascii="Times New Roman" w:hAnsi="Times New Roman" w:eastAsia="Times New Roman"/>
          <w:b w:val="0"/>
          <w:sz w:val="24"/>
        </w:rPr>
        <w:t xml:space="preserve">The first table reports ranking and probability quality for 2023–2025. Average precision is shown as a percentage, while AP lift compares it with the 0.2412% event share. Brier skill compares each model with the constant benchmark’s Brier score of 0.0024070.</w:t>
      </w:r>
    </w:p>
    <w:tbl>
      <w:tblPr>
        <w:tblStyle w:val="TableGrid0"/>
        <w:tblW w:type="pct" w:w="5000"/>
        <w:jc w:val="center"/>
        <w:tblLayout w:type="fixed"/>
        <w:tblLook w:firstRow="1" w:lastRow="0" w:firstColumn="0" w:lastColumn="0" w:noHBand="0" w:noVBand="0" w:val="0020"/>
      </w:tblPr>
      <w:tblGrid>
        <w:gridCol w:w="2196"/>
        <w:gridCol w:w="1318"/>
        <w:gridCol w:w="1318"/>
        <w:gridCol w:w="1318"/>
        <w:gridCol w:w="1318"/>
        <w:gridCol w:w="1318"/>
      </w:tblGrid>
      <w:tr>
        <w:trPr>
          <w:tblHeader w:val="on"/>
          <w:tblHeader w:val="true"/>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Model</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ROC-AUC</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Average precision</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AP lift</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Brier score</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Brier skill</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Constant</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0.5000</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0.2412%</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1.00</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0.0024070</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Logistic, sigmoid</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0.8274</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1.0678%</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4.43</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0.0023953</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0.49%</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L2 logistic, sigmoid</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0.8272</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1.0671%</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4.42</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0.0023953</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0.49%</w:t>
            </w:r>
          </w:p>
        </w:tc>
      </w:tr>
      <w:tr>
        <w:trPr>
          <w:cantSplit/>
        </w:trPr>
        <w:tc>
          <w:tcPr>
            <w:tcW w:type="dxa" w:w="2196"/>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bCs/>
                <w:sz w:val="24"/>
              </w:rPr>
              <w:t xml:space="preserve">Random forest, raw</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0.8866</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2.5989%</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10.77</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0.0023840</w:t>
            </w:r>
          </w:p>
        </w:tc>
        <w:tc>
          <w:tcPr>
            <w:tcW w:type="dxa" w:w="1318"/>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0.95%</w:t>
            </w:r>
          </w:p>
        </w:tc>
      </w:tr>
      <w:tr>
        <w:trPr>
          <w:cantSplit/>
        </w:trPr>
        <w:tc>
          <w:tcPr>
            <w:tcW w:type="dxa" w:w="2196"/>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 raw</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0.8946</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2.8057%</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11.63</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0.0025355</w:t>
            </w:r>
          </w:p>
        </w:tc>
        <w:tc>
          <w:tcPr>
            <w:tcW w:type="dxa" w:w="1318"/>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−5.34%</w:t>
            </w:r>
          </w:p>
        </w:tc>
      </w:tr>
    </w:tbl>
    <w:p>
      <w:pPr>
        <w:pStyle w:val="Caption"/>
        <w:spacing w:line="240" w:lineRule="auto"/>
        <w:jc w:val="center"/>
      </w:pPr>
      <w:r>
        <w:rPr>
          <w:rFonts w:ascii="Times New Roman" w:hAnsi="Times New Roman" w:eastAsia="Times New Roman"/>
          <w:i/>
          <w:iCs/>
          <w:sz w:val="24"/>
        </w:rPr>
        <w:t xml:space="preserve">Table 15. Later-period ranking and probability performance.</w:t>
      </w:r>
    </w:p>
    <w:p>
      <w:pPr>
        <w:pStyle w:val="BodyText"/>
        <w:spacing w:before="0" w:after="200" w:line="276" w:lineRule="auto"/>
        <w:jc w:val="both"/>
      </w:pPr>
      <w:r>
        <w:rPr>
          <w:rFonts w:ascii="Times New Roman" w:hAnsi="Times New Roman" w:eastAsia="Times New Roman"/>
          <w:b w:val="0"/>
          <w:sz w:val="24"/>
        </w:rPr>
        <w:t xml:space="preserve">The next table reports performance at each model’s threshold fixed during the 2020–2022 selection stage:</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Model</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Precision</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Recall</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Constant</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0.00%</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Logistic, sigmoid</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1.49%</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23.27%</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L2 logistic, sigmoid</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1.48%</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23.27%</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bCs/>
                <w:sz w:val="24"/>
              </w:rPr>
              <w:t xml:space="preserve">Random forest, raw</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5.63%</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bCs/>
                <w:sz w:val="24"/>
              </w:rPr>
              <w:t xml:space="preserve">9.12%</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 raw</w:t>
            </w:r>
          </w:p>
        </w:tc>
        <w:tc>
          <w:tcPr>
            <w:tcW w:type="dxa" w:w="298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6.21%</w:t>
            </w:r>
          </w:p>
        </w:tc>
        <w:tc>
          <w:tcPr>
            <w:tcW w:type="dxa" w:w="2636"/>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6.92%</w:t>
            </w:r>
          </w:p>
        </w:tc>
      </w:tr>
    </w:tbl>
    <w:p>
      <w:pPr>
        <w:pStyle w:val="Caption"/>
        <w:spacing w:line="240" w:lineRule="auto"/>
        <w:jc w:val="center"/>
      </w:pPr>
      <w:r>
        <w:rPr>
          <w:rFonts w:ascii="Times New Roman" w:hAnsi="Times New Roman" w:eastAsia="Times New Roman"/>
          <w:i/>
          <w:iCs/>
          <w:sz w:val="24"/>
        </w:rPr>
        <w:t xml:space="preserve">Table 16. Later-period performance at the frozen alert thresholds.</w:t>
      </w:r>
    </w:p>
    <w:p>
      <w:pPr>
        <w:pStyle w:val="BodyText"/>
        <w:spacing w:before="0" w:after="200" w:line="276" w:lineRule="auto"/>
        <w:jc w:val="both"/>
      </w:pPr>
      <w:r>
        <w:rPr>
          <w:rFonts w:ascii="Times New Roman" w:hAnsi="Times New Roman" w:eastAsia="Times New Roman"/>
          <w:b w:val="0"/>
          <w:sz w:val="24"/>
        </w:rPr>
        <w:t xml:space="preserve">The forest’s average precision is 10.77 times the event share, while its Brier error is only 0.95% below the benchmark. XGBoost ranks slightly better but has 5.34% more probability error, illustrating the distinction between ranking and probability accuracy.</w:t>
      </w:r>
    </w:p>
    <w:p>
      <w:pPr>
        <w:pStyle w:val="BodyText"/>
        <w:spacing w:before="0" w:after="200" w:line="276" w:lineRule="auto"/>
        <w:jc w:val="both"/>
      </w:pPr>
      <w:r>
        <w:rPr>
          <w:rFonts w:ascii="Times New Roman" w:hAnsi="Times New Roman" w:eastAsia="Times New Roman"/>
          <w:b w:val="0"/>
          <w:sz w:val="24"/>
        </w:rPr>
        <w:t xml:space="preserve">Across the later period, the forest’s mean predicted probability is 0.284%, compared with an observed positive-row share of 0.241%. The overall Brier improvement is small, so the probability scale should not be treated as precisely validated.</w:t>
      </w:r>
    </w:p>
    <w:p>
      <w:pPr>
        <w:pStyle w:val="BodyText"/>
        <w:spacing w:before="0" w:after="200" w:line="276" w:lineRule="auto"/>
        <w:jc w:val="both"/>
      </w:pPr>
      <w:r>
        <w:rPr>
          <w:rFonts w:ascii="Times New Roman" w:hAnsi="Times New Roman" w:eastAsia="Times New Roman"/>
          <w:b w:val="0"/>
          <w:sz w:val="24"/>
        </w:rPr>
        <w:t xml:space="preserve">At the frozen threshold, 29 of 515 alerts are followed by a positive outcome; 486 are not, and 289 of 318 positive rows are missed. Thus roughly 6 in 100 alerts precede a disclosure and 9 in 100 positive rows are detected.</w:t>
      </w:r>
    </w:p>
    <w:p>
      <w:pPr>
        <w:pStyle w:val="BodyText"/>
        <w:spacing w:before="0" w:after="200" w:line="276" w:lineRule="auto"/>
        <w:jc w:val="both"/>
      </w:pPr>
      <w:r>
        <w:rPr>
          <w:rFonts w:ascii="Times New Roman" w:hAnsi="Times New Roman" w:eastAsia="Times New Roman"/>
          <w:b w:val="0"/>
          <w:sz w:val="24"/>
        </w:rPr>
        <w:t xml:space="preserve">At the episode level, the forest produces at least one alert for 18 of 176 later-period disclosure episodes, corresponding to episode-level recall of 10.23%. Row-level and episode-level recall differ because several monthly observations can precede one episode.</w:t>
      </w:r>
    </w:p>
    <w:p>
      <w:pPr>
        <w:pStyle w:val="BodyText"/>
        <w:spacing w:before="0" w:after="200" w:line="276" w:lineRule="auto"/>
        <w:jc w:val="both"/>
      </w:pPr>
      <w:r>
        <w:rPr>
          <w:rFonts w:ascii="Times New Roman" w:hAnsi="Times New Roman" w:eastAsia="Times New Roman"/>
          <w:b w:val="0"/>
          <w:sz w:val="24"/>
        </w:rPr>
        <w:t xml:space="preserve">The forest’s annual ROC-AUC is 0.8715 in 2023, 0.8777 in 2024 and 0.9329 in 2025. Annual average precision is 2.793%, 2.927% and 2.904%, respectively. Company-cluster 95% intervals for the full later period are 0.8668–0.9061 for ROC-AUC, 1.817%–4.378% for average precision and 0.002040–0.002799 for Brier score. These intervals keep each company’s observations together, but they do not include model-selection uncertainty, shared economic shocks or possible errors in the disclosure labels.</w:t>
      </w:r>
    </w:p>
    <w:p>
      <w:pPr>
        <w:pStyle w:val="BodyText"/>
        <w:keepNext/>
        <w:spacing w:line="240" w:lineRule="auto" w:before="0" w:after="0"/>
        <w:jc w:val="center"/>
      </w:pPr>
      <w:r>
        <w:drawing>
          <wp:inline>
            <wp:extent cx="5580000" cy="2434351"/>
            <wp:effectExtent b="0" l="0" r="0" t="0"/>
            <wp:docPr descr="" title="" id="149" name="Picture"/>
            <a:graphic>
              <a:graphicData uri="http://schemas.openxmlformats.org/drawingml/2006/picture">
                <pic:pic>
                  <pic:nvPicPr>
                    <pic:cNvPr descr="figures/model_diagnostics.png" id="150" name="Picture"/>
                    <pic:cNvPicPr>
                      <a:picLocks noChangeArrowheads="1" noChangeAspect="1"/>
                    </pic:cNvPicPr>
                  </pic:nvPicPr>
                  <pic:blipFill>
                    <a:blip r:embed="rId148"/>
                    <a:stretch>
                      <a:fillRect/>
                    </a:stretch>
                  </pic:blipFill>
                  <pic:spPr bwMode="auto">
                    <a:xfrm>
                      <a:off x="0" y="0"/>
                      <a:ext cx="5580000" cy="2434351"/>
                    </a:xfrm>
                    <a:prstGeom prst="rect">
                      <a:avLst/>
                    </a:prstGeom>
                    <a:noFill/>
                    <a:ln w="9525">
                      <a:noFill/>
                      <a:headEnd/>
                      <a:tailEnd/>
                    </a:ln>
                  </pic:spPr>
                </pic:pic>
              </a:graphicData>
            </a:graphic>
          </wp:inline>
        </w:drawing>
      </w:r>
    </w:p>
    <w:p>
      <w:pPr>
        <w:pStyle w:val="Caption"/>
        <w:spacing w:line="240" w:lineRule="auto"/>
        <w:jc w:val="center"/>
      </w:pPr>
      <w:r>
        <w:rPr>
          <w:rFonts w:ascii="Times New Roman" w:hAnsi="Times New Roman" w:eastAsia="Times New Roman"/>
          <w:i/>
          <w:iCs/>
          <w:sz w:val="24"/>
        </w:rPr>
        <w:t xml:space="preserve">Figure 2. Ranking and probability diagnostics for 2023–2025. Source: primary model experiment predictions and model report.</w:t>
      </w:r>
    </w:p>
    <w:p>
      <w:pPr>
        <w:pStyle w:val="Heading2"/>
      </w:pPr>
      <w:bookmarkStart w:id="151" w:name="_91feb5ee9817eab7ba00ad7506512a5fb244537"/>
      <w:r>
        <w:rPr>
          <w:rFonts w:ascii="Times New Roman" w:hAnsi="Times New Roman" w:eastAsia="Times New Roman"/>
          <w:b/>
          <w:sz w:val="26"/>
        </w:rPr>
        <w:t xml:space="preserve">6.5 Alternative-Period Sensitivity</w:t>
      </w:r>
      <w:bookmarkEnd w:id="151"/>
    </w:p>
    <w:p>
      <w:pPr>
        <w:pStyle w:val="FirstParagraph"/>
        <w:spacing w:before="0" w:after="200" w:line="276" w:lineRule="auto"/>
        <w:jc w:val="both"/>
      </w:pPr>
      <w:r>
        <w:rPr>
          <w:rFonts w:ascii="Times New Roman" w:hAnsi="Times New Roman" w:eastAsia="Times New Roman"/>
          <w:b w:val="0"/>
          <w:sz w:val="24"/>
        </w:rPr>
        <w:t xml:space="preserve">The selected model changes when different chronological periods are used:</w:t>
      </w:r>
    </w:p>
    <w:tbl>
      <w:tblPr>
        <w:tblStyle w:val="TableGrid0"/>
        <w:tblW w:type="pct" w:w="5000"/>
        <w:jc w:val="center"/>
        <w:tblLayout w:type="fixed"/>
        <w:tblLook w:firstRow="1" w:lastRow="0" w:firstColumn="0" w:lastColumn="0" w:noHBand="0" w:noVBand="0" w:val="0020"/>
      </w:tblPr>
      <w:tblGrid>
        <w:gridCol w:w="2723"/>
        <w:gridCol w:w="2723"/>
        <w:gridCol w:w="1669"/>
        <w:gridCol w:w="1669"/>
      </w:tblGrid>
      <w:tr>
        <w:trPr>
          <w:tblHeader w:val="on"/>
          <w:tblHeader w:val="true"/>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Experiment</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Tuning period</w:t>
            </w:r>
          </w:p>
        </w:tc>
        <w:tc>
          <w:tcPr>
            <w:tcW w:type="dxa" w:w="1669"/>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Selection period</w:t>
            </w:r>
          </w:p>
        </w:tc>
        <w:tc>
          <w:tcPr>
            <w:tcW w:type="dxa" w:w="1669"/>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Selected model</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Primary model experiment</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2017–2018</w:t>
            </w:r>
          </w:p>
        </w:tc>
        <w:tc>
          <w:tcPr>
            <w:tcW w:type="dxa" w:w="1669"/>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2020–2022</w:t>
            </w:r>
          </w:p>
        </w:tc>
        <w:tc>
          <w:tcPr>
            <w:tcW w:type="dxa" w:w="1669"/>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Random forest</w:t>
            </w:r>
          </w:p>
        </w:tc>
      </w:tr>
      <w:tr>
        <w:trPr>
          <w:cantSplit/>
        </w:trPr>
        <w:tc>
          <w:tcPr>
            <w:tcW w:type="dxa" w:w="272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Alternative-period sensitivity experiment</w:t>
            </w:r>
          </w:p>
        </w:tc>
        <w:tc>
          <w:tcPr>
            <w:tcW w:type="dxa" w:w="272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2018</w:t>
            </w:r>
          </w:p>
        </w:tc>
        <w:tc>
          <w:tcPr>
            <w:tcW w:type="dxa" w:w="1669"/>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2023–2024</w:t>
            </w:r>
          </w:p>
        </w:tc>
        <w:tc>
          <w:tcPr>
            <w:tcW w:type="dxa" w:w="1669"/>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w:t>
            </w:r>
          </w:p>
        </w:tc>
      </w:tr>
    </w:tbl>
    <w:p>
      <w:pPr>
        <w:pStyle w:val="Caption"/>
        <w:spacing w:line="240" w:lineRule="auto"/>
        <w:jc w:val="center"/>
      </w:pPr>
      <w:r>
        <w:rPr>
          <w:rFonts w:ascii="Times New Roman" w:hAnsi="Times New Roman" w:eastAsia="Times New Roman"/>
          <w:i/>
          <w:iCs/>
          <w:sz w:val="24"/>
        </w:rPr>
        <w:t xml:space="preserve">Table 17. Alternative-period model-selection sensitivity.</w:t>
      </w:r>
    </w:p>
    <w:p>
      <w:pPr>
        <w:pStyle w:val="BodyText"/>
        <w:spacing w:before="0" w:after="200" w:line="276" w:lineRule="auto"/>
        <w:jc w:val="both"/>
      </w:pPr>
      <w:r>
        <w:rPr>
          <w:rFonts w:ascii="Times New Roman" w:hAnsi="Times New Roman" w:eastAsia="Times New Roman"/>
          <w:b w:val="0"/>
          <w:sz w:val="24"/>
        </w:rPr>
        <w:t xml:space="preserve">The alternative also changes training dates and excludes 2020–2022, so no single cause explains the different choice. It shows that selection is period-sensitive.</w:t>
      </w:r>
    </w:p>
    <w:p>
      <w:pPr>
        <w:pStyle w:val="BodyText"/>
        <w:spacing w:before="0" w:after="200" w:line="276" w:lineRule="auto"/>
        <w:jc w:val="both"/>
      </w:pPr>
      <w:r>
        <w:rPr>
          <w:rFonts w:ascii="Times New Roman" w:hAnsi="Times New Roman" w:eastAsia="Times New Roman"/>
          <w:b w:val="0"/>
          <w:sz w:val="24"/>
        </w:rPr>
        <w:t xml:space="preserve">The primary selection period overlaps the COVID-19 pandemic, which may have affected company finances and disclosure patterns. However, the alternative experiment does not isolate a pandemic effect. It was also conducted after the primary results were examined. It is therefore a sensitivity check, not independent validation or a replacement for the primary design.</w:t>
      </w:r>
    </w:p>
    <w:p>
      <w:pPr>
        <w:pStyle w:val="Heading2"/>
      </w:pPr>
      <w:bookmarkStart w:id="152" w:name="_interpretation"/>
      <w:r>
        <w:rPr>
          <w:rFonts w:ascii="Times New Roman" w:hAnsi="Times New Roman" w:eastAsia="Times New Roman"/>
          <w:b/>
          <w:sz w:val="26"/>
        </w:rPr>
        <w:t xml:space="preserve">6.6 Interpretation</w:t>
      </w:r>
      <w:bookmarkEnd w:id="152"/>
    </w:p>
    <w:p>
      <w:pPr>
        <w:pStyle w:val="FirstParagraph"/>
        <w:spacing w:before="0" w:after="200" w:line="276" w:lineRule="auto"/>
        <w:jc w:val="both"/>
      </w:pPr>
      <w:r>
        <w:rPr>
          <w:rFonts w:ascii="Times New Roman" w:hAnsi="Times New Roman" w:eastAsia="Times New Roman"/>
          <w:b w:val="0"/>
          <w:sz w:val="24"/>
        </w:rPr>
        <w:t xml:space="preserve">The selected forest relies most strongly on company size measured by log assets. Working capital to assets, asset growth and liabilities to assets are the next most influential features. This means that randomly rearranging these features causes the largest increase in the fitted model’s Brier error. It does not mean that changing a feature would cause disclosure risk to change. Related features can also share information, so a low importance value does not prove that the underlying financial measure is irrelevant.</w:t>
      </w:r>
    </w:p>
    <w:p>
      <w:pPr>
        <w:pStyle w:val="BodyText"/>
        <w:spacing w:before="0" w:after="200" w:line="276" w:lineRule="auto"/>
        <w:jc w:val="both"/>
      </w:pPr>
      <w:r>
        <w:rPr>
          <w:rFonts w:ascii="Times New Roman" w:hAnsi="Times New Roman" w:eastAsia="Times New Roman"/>
          <w:b w:val="0"/>
          <w:sz w:val="24"/>
        </w:rPr>
        <w:t xml:space="preserve">The results show useful ranking information, but they do not support using the alert threshold as a stand-alone decision rule. Most positive rows are missed, and most alerts are not followed by the recorded outcome. The continuous probability also improves only slightly on the constant benchmark’s probability error.</w:t>
      </w:r>
    </w:p>
    <w:p>
      <w:pPr>
        <w:pStyle w:val="BodyText"/>
        <w:spacing w:before="0" w:after="200" w:line="276" w:lineRule="auto"/>
        <w:jc w:val="both"/>
      </w:pPr>
      <w:r>
        <w:rPr>
          <w:rFonts w:ascii="Times New Roman" w:hAnsi="Times New Roman" w:eastAsia="Times New Roman"/>
          <w:b w:val="0"/>
          <w:sz w:val="24"/>
        </w:rPr>
        <w:t xml:space="preserve">The outcome combines Item 1.03 bankruptcy or receivership filings with reviewed Item 2.04 missed-payment disclosures. It does not establish when financial distress began or whether a company defaulted on the hypothetical facility. The results support a reproducible SEC disclosure-risk signal and an illustrative credit policy, not measured lending performance or loss reduction.</w:t>
      </w:r>
    </w:p>
    <w:p>
      <w:pPr>
        <w:pStyle w:val="Heading1"/>
        <w:pageBreakBefore/>
      </w:pPr>
      <w:bookmarkStart w:id="153" w:name="_c763255d5a54f4d77e205045c4e2586e0b0538d"/>
      <w:r>
        <w:rPr>
          <w:rFonts w:ascii="Times New Roman" w:hAnsi="Times New Roman" w:eastAsia="Times New Roman"/>
          <w:b/>
          <w:sz w:val="32"/>
        </w:rPr>
        <w:t xml:space="preserve">7 Credit-Limit Policy Results</w:t>
      </w:r>
      <w:bookmarkEnd w:id="153"/>
    </w:p>
    <w:p>
      <w:pPr>
        <w:pStyle w:val="FirstParagraph"/>
        <w:spacing w:before="0" w:after="200" w:line="276" w:lineRule="auto"/>
        <w:jc w:val="both"/>
      </w:pPr>
      <w:r>
        <w:rPr>
          <w:rFonts w:ascii="Times New Roman" w:hAnsi="Times New Roman" w:eastAsia="Times New Roman"/>
          <w:b w:val="0"/>
          <w:sz w:val="24"/>
        </w:rPr>
        <w:t xml:space="preserve">The policy replay applies the Chapter 5 rules to historical SEC financial information from 2023–2025. It combines observed accounting values, the selected random forest’s 60-day disclosure probabilities and assumptions about a hypothetical credit facility. The results show how the proposed rules behave; they are not observed lending decisions.</w:t>
      </w:r>
    </w:p>
    <w:p>
      <w:pPr>
        <w:pStyle w:val="Heading2"/>
      </w:pPr>
      <w:bookmarkStart w:id="154" w:name="_6389566ce1a64398a72c30fab45cb375e39f60a"/>
      <w:r>
        <w:rPr>
          <w:rFonts w:ascii="Times New Roman" w:hAnsi="Times New Roman" w:eastAsia="Times New Roman"/>
          <w:b/>
          <w:sz w:val="26"/>
        </w:rPr>
        <w:t xml:space="preserve">7.1 Replay Sample and Reference Assumptions</w:t>
      </w:r>
      <w:bookmarkEnd w:id="154"/>
    </w:p>
    <w:p>
      <w:pPr>
        <w:pStyle w:val="FirstParagraph"/>
        <w:spacing w:before="0" w:after="200" w:line="276" w:lineRule="auto"/>
        <w:jc w:val="both"/>
      </w:pPr>
      <w:r>
        <w:rPr>
          <w:rFonts w:ascii="Times New Roman" w:hAnsi="Times New Roman" w:eastAsia="Times New Roman"/>
          <w:b w:val="0"/>
          <w:sz w:val="24"/>
        </w:rPr>
        <w:t xml:space="preserve">The replay starts with 141,460 company-months from 2023–2025. Unlike model evaluation, it requires no future label, only valid financial inputs and a probability available on the decision date.</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Policy-sample step</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Company-months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Candidate financial observations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141,460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Missing required revenue, operating cash flow, cash or assets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−41,799</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Invalid required financial values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−42</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Included in the policy replay</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99,619</w:t>
            </w:r>
          </w:p>
        </w:tc>
      </w:tr>
    </w:tbl>
    <w:p>
      <w:pPr>
        <w:pStyle w:val="Caption"/>
        <w:spacing w:line="240" w:lineRule="auto"/>
        <w:jc w:val="center"/>
      </w:pPr>
      <w:r>
        <w:rPr>
          <w:rFonts w:ascii="Times New Roman" w:hAnsi="Times New Roman" w:eastAsia="Times New Roman"/>
          <w:i/>
          <w:iCs/>
          <w:sz w:val="24"/>
        </w:rPr>
        <w:t xml:space="preserve">Table 18. Construction of the policy-replay sample.</w:t>
      </w:r>
    </w:p>
    <w:p>
      <w:pPr>
        <w:pStyle w:val="BodyText"/>
        <w:spacing w:before="0" w:after="200" w:line="276" w:lineRule="auto"/>
        <w:jc w:val="both"/>
      </w:pPr>
      <w:r>
        <w:rPr>
          <w:rFonts w:ascii="Times New Roman" w:hAnsi="Times New Roman" w:eastAsia="Times New Roman"/>
          <w:b w:val="0"/>
          <w:sz w:val="24"/>
        </w:rPr>
        <w:t xml:space="preserve">The replay includes 99,619 company-months from 3,869 companies; 29.6% of candidates lack required values, which are not replaced with zero.</w:t>
      </w:r>
    </w:p>
    <w:p>
      <w:pPr>
        <w:pStyle w:val="BodyText"/>
        <w:spacing w:before="0" w:after="200" w:line="276" w:lineRule="auto"/>
        <w:jc w:val="both"/>
      </w:pPr>
      <w:r>
        <w:rPr>
          <w:rFonts w:ascii="Times New Roman" w:hAnsi="Times New Roman" w:eastAsia="Times New Roman"/>
          <w:b w:val="0"/>
          <w:sz w:val="24"/>
        </w:rPr>
        <w:t xml:space="preserve">The included observations form 5,176 continuous company segments. A segment is a sequence of consecutive monthly observations for one company. If a month is missing, the next observation starts a new segment and is treated as a new hypothetical initial assessment. This reset is a replay convention, not evidence that a real lender would reopen a facility.</w:t>
      </w:r>
    </w:p>
    <w:p>
      <w:pPr>
        <w:pStyle w:val="BodyText"/>
        <w:spacing w:before="0" w:after="200" w:line="276" w:lineRule="auto"/>
        <w:jc w:val="both"/>
      </w:pPr>
      <w:r>
        <w:rPr>
          <w:rFonts w:ascii="Times New Roman" w:hAnsi="Times New Roman" w:eastAsia="Times New Roman"/>
          <w:b w:val="0"/>
          <w:sz w:val="24"/>
        </w:rPr>
        <w:t xml:space="preserve">The reference, or base, scenario uses the following assumptions: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Input or policy rule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Reference assumption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Probability model</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Selected random forest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Reported cash treated as eligible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Additional external debt payment due within 60 days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Zero</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Maximum exposure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 of reported assets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Outstanding facility exposure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Zero</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Risk sensitivity</w:t>
            </w:r>
          </w:p>
        </w:tc>
        <w:tc>
          <w:tcPr>
            <w:tcW w:type="dxa" w:w="2284"/>
            <w:vAlign w:val="center"/>
            <w:tcMar>
              <w:top w:w="60" w:type="dxa"/>
              <w:start w:w="70" w:type="dxa"/>
              <w:bottom w:w="60" w:type="dxa"/>
              <w:end w:w="70" w:type="dxa"/>
            </w:tcMar>
          </w:tcPr>
          <w:p>
            <w:pPr>
              <w:pStyle w:val="TableParagraph"/>
              <w:spacing w:line="240" w:lineRule="auto" w:before="0" w:after="0"/>
              <w:jc w:val="right"/>
            </w:pPr>
            <m:oMath>
              <m:r>
                <m:t>k</m:t>
              </m:r>
              <m:r>
                <m:rPr>
                  <m:sty m:val="p"/>
                </m:rPr>
                <m:t>=</m:t>
              </m:r>
              <m:r>
                <m:t>10</m:t>
              </m:r>
            </m:oMath>
            <w:r>
              <w:rPr>
                <w:rFonts w:ascii="Times New Roman" w:hAnsi="Times New Roman" w:eastAsia="Times New Roman"/>
                <w:b w:val="0"/>
                <w:sz w:val="24"/>
              </w:rPr>
              <w:t xml:space="preserve">​</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Increase smoothing</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50%</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Maximum monthly increase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10%</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Increase deadband</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2%</w:t>
            </w:r>
          </w:p>
        </w:tc>
      </w:tr>
    </w:tbl>
    <w:p>
      <w:pPr>
        <w:pStyle w:val="Caption"/>
        <w:spacing w:line="240" w:lineRule="auto"/>
        <w:jc w:val="center"/>
      </w:pPr>
      <w:r>
        <w:rPr>
          <w:rFonts w:ascii="Times New Roman" w:hAnsi="Times New Roman" w:eastAsia="Times New Roman"/>
          <w:i/>
          <w:iCs/>
          <w:sz w:val="24"/>
        </w:rPr>
        <w:t xml:space="preserve">Table 19. Reference policy assumptions.</w:t>
      </w:r>
    </w:p>
    <w:p>
      <w:pPr>
        <w:pStyle w:val="BodyText"/>
        <w:spacing w:before="0" w:after="200" w:line="276" w:lineRule="auto"/>
        <w:jc w:val="both"/>
      </w:pPr>
      <w:r>
        <w:rPr>
          <w:rFonts w:ascii="Times New Roman" w:hAnsi="Times New Roman" w:eastAsia="Times New Roman"/>
          <w:b w:val="0"/>
          <w:sz w:val="24"/>
        </w:rPr>
        <w:t xml:space="preserve">Revenue, operating cash flow, cash and assets are observed. Cash eligibility, near-term debt payments, the cap and facility exposure are assumptions. The reference scenario is a comparison point, not an established or optimal standard.</w:t>
      </w:r>
    </w:p>
    <w:p>
      <w:pPr>
        <w:pStyle w:val="Heading2"/>
      </w:pPr>
      <w:bookmarkStart w:id="155" w:name="_7b128c6cc36661f6cfffaa505f5e25832623914"/>
      <w:r>
        <w:rPr>
          <w:rFonts w:ascii="Times New Roman" w:hAnsi="Times New Roman" w:eastAsia="Times New Roman"/>
          <w:b/>
          <w:sz w:val="26"/>
        </w:rPr>
        <w:t xml:space="preserve">7.2 Reference-Scenario Results</w:t>
      </w:r>
      <w:bookmarkEnd w:id="155"/>
    </w:p>
    <w:p>
      <w:pPr>
        <w:pStyle w:val="FirstParagraph"/>
        <w:spacing w:before="0" w:after="200" w:line="276" w:lineRule="auto"/>
        <w:jc w:val="both"/>
      </w:pPr>
      <w:r>
        <w:rPr>
          <w:rFonts w:ascii="Times New Roman" w:hAnsi="Times New Roman" w:eastAsia="Times New Roman"/>
          <w:b w:val="0"/>
          <w:sz w:val="24"/>
        </w:rPr>
        <w:t xml:space="preserve">The reference policy produces the following results: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Outcome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Reference result</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Mean assigned limit</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55.09 million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Median assigned limit</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USD 4.23 million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Mean assigned limit / assets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0.668%</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Zero-limit share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Known-disclosure hard-stop rows</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262</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Preliminary limit determined by the exposure cap</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53.42%</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Mean absolute monthly change / assets</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0.0290%</w:t>
            </w:r>
          </w:p>
        </w:tc>
      </w:tr>
    </w:tbl>
    <w:p>
      <w:pPr>
        <w:pStyle w:val="Caption"/>
        <w:spacing w:line="240" w:lineRule="auto"/>
        <w:jc w:val="center"/>
      </w:pPr>
      <w:r>
        <w:rPr>
          <w:rFonts w:ascii="Times New Roman" w:hAnsi="Times New Roman" w:eastAsia="Times New Roman"/>
          <w:i/>
          <w:iCs/>
          <w:sz w:val="24"/>
        </w:rPr>
        <w:t xml:space="preserve">Table 20. Reference-scenario credit-limit results.</w:t>
      </w:r>
    </w:p>
    <w:p>
      <w:pPr>
        <w:pStyle w:val="BodyText"/>
        <w:spacing w:before="0" w:after="200" w:line="276" w:lineRule="auto"/>
        <w:jc w:val="both"/>
      </w:pPr>
      <w:r>
        <w:rPr>
          <w:rFonts w:ascii="Times New Roman" w:hAnsi="Times New Roman" w:eastAsia="Times New Roman"/>
          <w:b w:val="0"/>
          <w:sz w:val="24"/>
        </w:rPr>
        <w:t xml:space="preserve">The mean exceeds the median because a few very large public companies have large limits. Neither amount represents a typical smaller private borrower.</w:t>
      </w:r>
    </w:p>
    <w:p>
      <w:pPr>
        <w:pStyle w:val="BodyText"/>
        <w:spacing w:before="0" w:after="200" w:line="276" w:lineRule="auto"/>
        <w:jc w:val="both"/>
      </w:pPr>
      <w:r>
        <w:rPr>
          <w:rFonts w:ascii="Times New Roman" w:hAnsi="Times New Roman" w:eastAsia="Times New Roman"/>
          <w:b w:val="0"/>
          <w:sz w:val="24"/>
        </w:rPr>
        <w:t xml:space="preserve">The 0.668% result is the average of each company-month’s assigned limit divided by its reported assets. It is not the total of all assigned limits divided by the total of all assets.</w:t>
      </w:r>
    </w:p>
    <w:p>
      <w:pPr>
        <w:pStyle w:val="BodyText"/>
        <w:spacing w:before="0" w:after="200" w:line="276" w:lineRule="auto"/>
        <w:jc w:val="both"/>
      </w:pPr>
      <w:r>
        <w:rPr>
          <w:rFonts w:ascii="Times New Roman" w:hAnsi="Times New Roman" w:eastAsia="Times New Roman"/>
          <w:b w:val="0"/>
          <w:sz w:val="24"/>
        </w:rPr>
        <w:t xml:space="preserve">A zero may reflect no capacity, a known disclosure or a prior zero that cannot reopen automatically. The 262 hard-stop rows are observations, not necessarily distinct companies or episodes.</w:t>
      </w:r>
    </w:p>
    <w:p>
      <w:pPr>
        <w:pStyle w:val="BodyText"/>
        <w:spacing w:before="0" w:after="200" w:line="276" w:lineRule="auto"/>
        <w:jc w:val="both"/>
      </w:pPr>
      <w:r>
        <w:rPr>
          <w:rFonts w:ascii="Times New Roman" w:hAnsi="Times New Roman" w:eastAsia="Times New Roman"/>
          <w:b w:val="0"/>
          <w:sz w:val="24"/>
        </w:rPr>
        <w:t xml:space="preserve">The 1%-of-assets cap determines the preliminary limit in 53.42% of observations, making it the immediate constraint in more than half of the replay.</w:t>
      </w:r>
    </w:p>
    <w:p>
      <w:pPr>
        <w:pStyle w:val="BodyText"/>
        <w:spacing w:before="0" w:after="200" w:line="276" w:lineRule="auto"/>
        <w:jc w:val="both"/>
      </w:pPr>
      <w:r>
        <w:rPr>
          <w:rFonts w:ascii="Times New Roman" w:hAnsi="Times New Roman" w:eastAsia="Times New Roman"/>
          <w:b w:val="0"/>
          <w:sz w:val="24"/>
        </w:rPr>
        <w:t xml:space="preserve">The replay contains 94,443 transitions between consecutive months within the same company segment:</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Monthly result</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Transitions</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Share</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Increase</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17,088</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18.09%</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Decrease</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9,309</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9.86%</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No change</w:t>
            </w:r>
          </w:p>
        </w:tc>
        <w:tc>
          <w:tcPr>
            <w:tcW w:type="dxa" w:w="298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68,046</w:t>
            </w:r>
          </w:p>
        </w:tc>
        <w:tc>
          <w:tcPr>
            <w:tcW w:type="dxa" w:w="2636"/>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72.05%</w:t>
            </w:r>
          </w:p>
        </w:tc>
      </w:tr>
    </w:tbl>
    <w:p>
      <w:pPr>
        <w:pStyle w:val="Caption"/>
        <w:spacing w:line="240" w:lineRule="auto"/>
        <w:jc w:val="center"/>
      </w:pPr>
      <w:r>
        <w:rPr>
          <w:rFonts w:ascii="Times New Roman" w:hAnsi="Times New Roman" w:eastAsia="Times New Roman"/>
          <w:i/>
          <w:iCs/>
          <w:sz w:val="24"/>
        </w:rPr>
        <w:t xml:space="preserve">Table 21. Monthly transitions under the reference policy.</w:t>
      </w:r>
    </w:p>
    <w:p>
      <w:pPr>
        <w:pStyle w:val="BodyText"/>
        <w:spacing w:before="0" w:after="200" w:line="276" w:lineRule="auto"/>
        <w:jc w:val="both"/>
      </w:pPr>
      <w:r>
        <w:rPr>
          <w:rFonts w:ascii="Times New Roman" w:hAnsi="Times New Roman" w:eastAsia="Times New Roman"/>
          <w:b w:val="0"/>
          <w:sz w:val="24"/>
        </w:rPr>
        <w:t xml:space="preserve">Most limits remain unchanged because accounting values are carried forward between SEC reports and a new month often contains no new financial information. Missing-month gaps are not counted as monthly transitions.</w:t>
      </w:r>
    </w:p>
    <w:p>
      <w:pPr>
        <w:pStyle w:val="Heading2"/>
      </w:pPr>
      <w:bookmarkStart w:id="156" w:name="_d181af670d228b474a22455dafbb4afd0147862"/>
      <w:r>
        <w:rPr>
          <w:rFonts w:ascii="Times New Roman" w:hAnsi="Times New Roman" w:eastAsia="Times New Roman"/>
          <w:b/>
          <w:sz w:val="26"/>
        </w:rPr>
        <w:t xml:space="preserve">7.3 Sensitivity to Policy Assumptions</w:t>
      </w:r>
      <w:bookmarkEnd w:id="156"/>
    </w:p>
    <w:p>
      <w:pPr>
        <w:pStyle w:val="FirstParagraph"/>
        <w:spacing w:before="0" w:after="200" w:line="276" w:lineRule="auto"/>
        <w:jc w:val="both"/>
      </w:pPr>
      <w:r>
        <w:rPr>
          <w:rFonts w:ascii="Times New Roman" w:hAnsi="Times New Roman" w:eastAsia="Times New Roman"/>
          <w:b w:val="0"/>
          <w:sz w:val="24"/>
        </w:rPr>
        <w:t xml:space="preserve">Each sensitivity scenario uses the same historical financial observations and changes one assumption while keeping the remaining reference settings unchanged.</w:t>
      </w:r>
    </w:p>
    <w:tbl>
      <w:tblPr>
        <w:tblStyle w:val="TableGrid0"/>
        <w:tblW w:type="pct" w:w="5000"/>
        <w:jc w:val="center"/>
        <w:tblLayout w:type="fixed"/>
        <w:tblLook w:firstRow="1" w:lastRow="0" w:firstColumn="0" w:lastColumn="0" w:noHBand="0" w:noVBand="0" w:val="0020"/>
      </w:tblPr>
      <w:tblGrid>
        <w:gridCol w:w="2723"/>
        <w:gridCol w:w="2723"/>
        <w:gridCol w:w="1669"/>
        <w:gridCol w:w="1669"/>
      </w:tblGrid>
      <w:tr>
        <w:trPr>
          <w:tblHeader w:val="on"/>
          <w:tblHeader w:val="true"/>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Scenario</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Meaning</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Mean limit / assets</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Zero-limit share</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Reference policy</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Assumptions listed in Section 7.1</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0.668%</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 probability-based risk adjustment</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Removes the exponential reduction but retains the cap, monthly rules and hard stops</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0.675%</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50% of reported cash eligible</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Treats half of reported cash as available</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0.593%</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 reported cash eligible</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Excludes reported cash from the capacity proxy</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0.312%</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48.30%</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Exposure cap: 0.5% of assets</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Reduces the maximum exposure from 1% to 0.5% of assets</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0.388%</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Exposure cap: 2% of assets</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Raises the maximum exposure from 1% to 2% of assets</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0.954%</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3.55%</w:t>
            </w:r>
          </w:p>
        </w:tc>
      </w:tr>
      <w:tr>
        <w:trPr>
          <w:cantSplit/>
        </w:trPr>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60-day debt payment: 0.5% of assets</w:t>
            </w:r>
          </w:p>
        </w:tc>
        <w:tc>
          <w:tcPr>
            <w:tcW w:type="dxa" w:w="272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Deducts an assumed near-term payment equal to 0.5% of assets</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0.429%</w:t>
            </w:r>
          </w:p>
        </w:tc>
        <w:tc>
          <w:tcPr>
            <w:tcW w:type="dxa" w:w="1669"/>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36.48%</w:t>
            </w:r>
          </w:p>
        </w:tc>
      </w:tr>
      <w:tr>
        <w:trPr>
          <w:cantSplit/>
        </w:trPr>
        <w:tc>
          <w:tcPr>
            <w:tcW w:type="dxa" w:w="272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Stronger risk reduction,</w:t>
            </w:r>
            <w:r>
              <w:rPr>
                <w:rFonts w:ascii="Times New Roman" w:hAnsi="Times New Roman" w:eastAsia="Times New Roman"/>
                <w:b w:val="0"/>
                <w:sz w:val="24"/>
              </w:rPr>
              <w:t xml:space="preserve"> </w:t>
            </w:r>
            <m:oMath>
              <m:r>
                <m:t>k</m:t>
              </m:r>
              <m:r>
                <m:rPr>
                  <m:sty m:val="p"/>
                </m:rPr>
                <m:t>=</m:t>
              </m:r>
              <m:r>
                <m:t>20</m:t>
              </m:r>
            </m:oMath>
          </w:p>
        </w:tc>
        <w:tc>
          <w:tcPr>
            <w:tcW w:type="dxa" w:w="272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Doubles the sensitivity of the limit to the estimated probability</w:t>
            </w:r>
          </w:p>
        </w:tc>
        <w:tc>
          <w:tcPr>
            <w:tcW w:type="dxa" w:w="1669"/>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0.659%</w:t>
            </w:r>
          </w:p>
        </w:tc>
        <w:tc>
          <w:tcPr>
            <w:tcW w:type="dxa" w:w="1669"/>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3.55%</w:t>
            </w:r>
          </w:p>
        </w:tc>
      </w:tr>
    </w:tbl>
    <w:p>
      <w:pPr>
        <w:pStyle w:val="Caption"/>
        <w:spacing w:line="240" w:lineRule="auto"/>
        <w:jc w:val="center"/>
      </w:pPr>
      <w:r>
        <w:rPr>
          <w:rFonts w:ascii="Times New Roman" w:hAnsi="Times New Roman" w:eastAsia="Times New Roman"/>
          <w:i/>
          <w:iCs/>
          <w:sz w:val="24"/>
        </w:rPr>
        <w:t xml:space="preserve">Table 22. Sensitivity of policy results to alternative assumptions.</w:t>
      </w:r>
    </w:p>
    <w:p>
      <w:pPr>
        <w:pStyle w:val="BodyText"/>
        <w:spacing w:before="0" w:after="200" w:line="276" w:lineRule="auto"/>
        <w:jc w:val="both"/>
      </w:pPr>
      <w:r>
        <w:rPr>
          <w:rFonts w:ascii="Times New Roman" w:hAnsi="Times New Roman" w:eastAsia="Times New Roman"/>
          <w:b w:val="0"/>
          <w:sz w:val="24"/>
        </w:rPr>
        <w:t xml:space="preserve">Removing the probability reduction raises mean limit/assets from 0.6678% to 0.6751%. Most probabilities are low and the cap often binds, although high-risk companies with a non-binding cap can receive larger reductions.</w:t>
      </w:r>
    </w:p>
    <w:p>
      <w:pPr>
        <w:pStyle w:val="BodyText"/>
        <w:spacing w:before="0" w:after="200" w:line="276" w:lineRule="auto"/>
        <w:jc w:val="both"/>
      </w:pPr>
      <w:r>
        <w:rPr>
          <w:rFonts w:ascii="Times New Roman" w:hAnsi="Times New Roman" w:eastAsia="Times New Roman"/>
          <w:b w:val="0"/>
          <w:sz w:val="24"/>
        </w:rPr>
        <w:t xml:space="preserve">Cash and debt assumptions have larger effects. With no eligible cash, the zero-limit share rises to 48.30%; deducting debt payments equal to 0.5% of assets raises it to 36.48%. These scenarios show sensitivity to unobserved inputs, not that companies actually face those conditions.</w:t>
      </w:r>
    </w:p>
    <w:p>
      <w:pPr>
        <w:pStyle w:val="BodyText"/>
        <w:spacing w:before="0" w:after="200" w:line="276" w:lineRule="auto"/>
        <w:jc w:val="both"/>
      </w:pPr>
      <w:r>
        <w:rPr>
          <w:rFonts w:ascii="Times New Roman" w:hAnsi="Times New Roman" w:eastAsia="Times New Roman"/>
          <w:b w:val="0"/>
          <w:sz w:val="24"/>
        </w:rPr>
        <w:t xml:space="preserve">Changing the exposure cap also has a large effect. A lower cap directly limits otherwise supported amounts, while a 2%-of-assets cap allows more observations to be determined by the capacity proxy. Capacity assumptions and caps therefore have a larger effect on the aggregate results than the model-based risk adjustment in these scenarios.</w:t>
      </w:r>
    </w:p>
    <w:p>
      <w:pPr>
        <w:pStyle w:val="BodyText"/>
        <w:spacing w:before="0" w:after="200" w:line="276" w:lineRule="auto"/>
        <w:jc w:val="both"/>
      </w:pPr>
      <w:r>
        <w:rPr>
          <w:rFonts w:ascii="Times New Roman" w:hAnsi="Times New Roman" w:eastAsia="Times New Roman"/>
          <w:b w:val="0"/>
          <w:sz w:val="24"/>
        </w:rPr>
        <w:t xml:space="preserve">Using probabilities from another fitted model changes the aggregate mean little: random forest gives 0.6678% of assets, XGBoost 0.6658% and either logistic model 0.6669%. Similar averages do not mean that the models assign the same limit to every company.</w:t>
      </w:r>
    </w:p>
    <w:p>
      <w:pPr>
        <w:pStyle w:val="BodyText"/>
        <w:keepNext/>
        <w:spacing w:line="240" w:lineRule="auto" w:before="0" w:after="0"/>
        <w:jc w:val="center"/>
      </w:pPr>
      <w:r>
        <w:drawing>
          <wp:inline>
            <wp:extent cx="5580000" cy="3096592"/>
            <wp:effectExtent b="0" l="0" r="0" t="0"/>
            <wp:docPr descr="" title="" id="158" name="Picture"/>
            <a:graphic>
              <a:graphicData uri="http://schemas.openxmlformats.org/drawingml/2006/picture">
                <pic:pic>
                  <pic:nvPicPr>
                    <pic:cNvPr descr="figures/policy_sensitivity.png" id="159" name="Picture"/>
                    <pic:cNvPicPr>
                      <a:picLocks noChangeArrowheads="1" noChangeAspect="1"/>
                    </pic:cNvPicPr>
                  </pic:nvPicPr>
                  <pic:blipFill>
                    <a:blip r:embed="rId157"/>
                    <a:stretch>
                      <a:fillRect/>
                    </a:stretch>
                  </pic:blipFill>
                  <pic:spPr bwMode="auto">
                    <a:xfrm>
                      <a:off x="0" y="0"/>
                      <a:ext cx="5580000" cy="3096592"/>
                    </a:xfrm>
                    <a:prstGeom prst="rect">
                      <a:avLst/>
                    </a:prstGeom>
                    <a:noFill/>
                    <a:ln w="9525">
                      <a:noFill/>
                      <a:headEnd/>
                      <a:tailEnd/>
                    </a:ln>
                  </pic:spPr>
                </pic:pic>
              </a:graphicData>
            </a:graphic>
          </wp:inline>
        </w:drawing>
      </w:r>
    </w:p>
    <w:p>
      <w:pPr>
        <w:pStyle w:val="Caption"/>
        <w:spacing w:line="240" w:lineRule="auto"/>
        <w:jc w:val="center"/>
      </w:pPr>
      <w:r>
        <w:rPr>
          <w:rFonts w:ascii="Times New Roman" w:hAnsi="Times New Roman" w:eastAsia="Times New Roman"/>
          <w:i/>
          <w:iCs/>
          <w:sz w:val="24"/>
        </w:rPr>
        <w:t xml:space="preserve">Figure 3. Average assigned limit as a percentage of reported assets under the reference policy and selected alternative assumptions. Each scenario uses the same historical financial observations. Source: primary model experiment policy replay.</w:t>
      </w:r>
    </w:p>
    <w:p>
      <w:pPr>
        <w:pStyle w:val="Heading2"/>
      </w:pPr>
      <w:bookmarkStart w:id="160" w:name="_e111c01a18cd7c08b1c7ec7456ce3969a895898"/>
      <w:r>
        <w:rPr>
          <w:rFonts w:ascii="Times New Roman" w:hAnsi="Times New Roman" w:eastAsia="Times New Roman"/>
          <w:b/>
          <w:sz w:val="26"/>
        </w:rPr>
        <w:t xml:space="preserve">7.4 Effect of the Monthly Update Rules</w:t>
      </w:r>
      <w:bookmarkEnd w:id="160"/>
    </w:p>
    <w:p>
      <w:pPr>
        <w:pStyle w:val="FirstParagraph"/>
        <w:spacing w:before="0" w:after="200" w:line="276" w:lineRule="auto"/>
        <w:jc w:val="both"/>
      </w:pPr>
      <w:r>
        <w:rPr>
          <w:rFonts w:ascii="Times New Roman" w:hAnsi="Times New Roman" w:eastAsia="Times New Roman"/>
          <w:b w:val="0"/>
          <w:sz w:val="24"/>
        </w:rPr>
        <w:t xml:space="preserve">Two additional benchmarks show the effect of the monthly safeguards:</w:t>
      </w:r>
    </w:p>
    <w:tbl>
      <w:tblPr>
        <w:tblStyle w:val="TableGrid0"/>
        <w:tblW w:type="pct" w:w="5000"/>
        <w:jc w:val="center"/>
        <w:tblLayout w:type="fixed"/>
        <w:tblLook w:firstRow="1" w:lastRow="0" w:firstColumn="0" w:lastColumn="0" w:noHBand="0" w:noVBand="0" w:val="0020"/>
      </w:tblPr>
      <w:tblGrid>
        <w:gridCol w:w="3163"/>
        <w:gridCol w:w="2987"/>
        <w:gridCol w:w="2636"/>
      </w:tblGrid>
      <w:tr>
        <w:trPr>
          <w:tblHeader w:val="on"/>
          <w:tblHeader w:val="true"/>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Monthly-rule version</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Mean limit / assets</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Mean absolute monthly change / assets</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Reference policy</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0.6678%</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0.02904%</w:t>
            </w:r>
          </w:p>
        </w:tc>
      </w:tr>
      <w:tr>
        <w:trPr>
          <w:cantSplit/>
        </w:trPr>
        <w:tc>
          <w:tcPr>
            <w:tcW w:type="dxa" w:w="3163"/>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Keep each segment’s initial limit</w:t>
            </w:r>
          </w:p>
        </w:tc>
        <w:tc>
          <w:tcPr>
            <w:tcW w:type="dxa" w:w="2987"/>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0.6786%</w:t>
            </w:r>
          </w:p>
        </w:tc>
        <w:tc>
          <w:tcPr>
            <w:tcW w:type="dxa" w:w="2636"/>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0.02107%</w:t>
            </w:r>
          </w:p>
        </w:tc>
      </w:tr>
      <w:tr>
        <w:trPr>
          <w:cantSplit/>
        </w:trPr>
        <w:tc>
          <w:tcPr>
            <w:tcW w:type="dxa" w:w="3163"/>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Apply each month’s preliminary limit without smoothing</w:t>
            </w:r>
          </w:p>
        </w:tc>
        <w:tc>
          <w:tcPr>
            <w:tcW w:type="dxa" w:w="2987"/>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0.7399%</w:t>
            </w:r>
          </w:p>
        </w:tc>
        <w:tc>
          <w:tcPr>
            <w:tcW w:type="dxa" w:w="2636"/>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0.04227%</w:t>
            </w:r>
          </w:p>
        </w:tc>
      </w:tr>
    </w:tbl>
    <w:p>
      <w:pPr>
        <w:pStyle w:val="Caption"/>
        <w:spacing w:line="240" w:lineRule="auto"/>
        <w:jc w:val="center"/>
      </w:pPr>
      <w:r>
        <w:rPr>
          <w:rFonts w:ascii="Times New Roman" w:hAnsi="Times New Roman" w:eastAsia="Times New Roman"/>
          <w:i/>
          <w:iCs/>
          <w:sz w:val="24"/>
        </w:rPr>
        <w:t xml:space="preserve">Table 23. Effect of alternative monthly update rules.</w:t>
      </w:r>
    </w:p>
    <w:p>
      <w:pPr>
        <w:pStyle w:val="BodyText"/>
        <w:spacing w:before="0" w:after="200" w:line="276" w:lineRule="auto"/>
        <w:jc w:val="both"/>
      </w:pPr>
      <w:r>
        <w:rPr>
          <w:rFonts w:ascii="Times New Roman" w:hAnsi="Times New Roman" w:eastAsia="Times New Roman"/>
          <w:b w:val="0"/>
          <w:sz w:val="24"/>
        </w:rPr>
        <w:t xml:space="preserve">The fixed-initial benchmark keeps the amount assigned at the beginning of each continuous segment, subject only to the current asset cap and a known-disclosure hard stop. It produces fewer changes, but the retained amount exceeds the current preliminary limit in 19.80% of observations. A static limit can therefore remain above the amount supported by the current calculation.</w:t>
      </w:r>
    </w:p>
    <w:p>
      <w:pPr>
        <w:pStyle w:val="BodyText"/>
        <w:spacing w:before="0" w:after="200" w:line="276" w:lineRule="auto"/>
        <w:jc w:val="both"/>
      </w:pPr>
      <w:r>
        <w:rPr>
          <w:rFonts w:ascii="Times New Roman" w:hAnsi="Times New Roman" w:eastAsia="Times New Roman"/>
          <w:b w:val="0"/>
          <w:sz w:val="24"/>
        </w:rPr>
        <w:t xml:space="preserve">The unsmoothed benchmark applies each month’s preliminary limit directly. It produces larger monthly movements and can reopen after a zero when the current preliminary limit becomes positive. The reference policy instead phases in supported increases, applies reductions immediately and requires a new initial assessment before reopening from zero within a continuous segment.</w:t>
      </w:r>
    </w:p>
    <w:p>
      <w:pPr>
        <w:pStyle w:val="Heading2"/>
      </w:pPr>
      <w:bookmarkStart w:id="161" w:name="_d1fc51b46f3a44580dace152fdda38887e22723"/>
      <w:r>
        <w:rPr>
          <w:rFonts w:ascii="Times New Roman" w:hAnsi="Times New Roman" w:eastAsia="Times New Roman"/>
          <w:b/>
          <w:sz w:val="26"/>
        </w:rPr>
        <w:t xml:space="preserve">7.5 Scope of the Evidence</w:t>
      </w:r>
      <w:bookmarkEnd w:id="161"/>
    </w:p>
    <w:p>
      <w:pPr>
        <w:pStyle w:val="FirstParagraph"/>
        <w:spacing w:before="0" w:after="200" w:line="276" w:lineRule="auto"/>
        <w:jc w:val="both"/>
      </w:pPr>
      <w:r>
        <w:rPr>
          <w:rFonts w:ascii="Times New Roman" w:hAnsi="Times New Roman" w:eastAsia="Times New Roman"/>
          <w:b w:val="0"/>
          <w:sz w:val="24"/>
        </w:rPr>
        <w:t xml:space="preserve">The reported limits are conditional outputs from an assumed policy. The base replay treats all reported cash as eligible, assumes no additional 60-day debt payment, sets the exposure cap to 1% of assets and assumes that the hypothetical facility has no outstanding balance. Because outstanding exposure is zero, assigned limit and available credit are equal in this replay. This would not generally be true for an operating facility with existing drawings.</w:t>
      </w:r>
    </w:p>
    <w:p>
      <w:pPr>
        <w:pStyle w:val="BodyText"/>
        <w:spacing w:before="0" w:after="200" w:line="276" w:lineRule="auto"/>
        <w:jc w:val="both"/>
      </w:pPr>
      <w:r>
        <w:rPr>
          <w:rFonts w:ascii="Times New Roman" w:hAnsi="Times New Roman" w:eastAsia="Times New Roman"/>
          <w:b w:val="0"/>
          <w:sz w:val="24"/>
        </w:rPr>
        <w:t xml:space="preserve">A zero limit prevents additional credit under the policy but does not remove or repay an existing balance. The source data contain no actual commitments, utilization, repayments, losses, pricing, profits, approval decisions or customer effects. The model probability refers to an SEC bankruptcy or payment-failure disclosure episode, not verified default on the hypothetical facility.</w:t>
      </w:r>
    </w:p>
    <w:p>
      <w:pPr>
        <w:pStyle w:val="BodyText"/>
        <w:spacing w:before="0" w:after="200" w:line="276" w:lineRule="auto"/>
        <w:jc w:val="both"/>
      </w:pPr>
      <w:r>
        <w:rPr>
          <w:rFonts w:ascii="Times New Roman" w:hAnsi="Times New Roman" w:eastAsia="Times New Roman"/>
          <w:b w:val="0"/>
          <w:sz w:val="24"/>
        </w:rPr>
        <w:t xml:space="preserve">The replay shows how the proposed formulas and monthly rules behave when applied to historical SEC information. It does not demonstrate that the calculated limits would reduce losses, increase profit or be suitable for actual borrowers.</w:t>
      </w:r>
    </w:p>
    <w:p>
      <w:pPr>
        <w:pStyle w:val="Heading1"/>
        <w:pageBreakBefore/>
      </w:pPr>
      <w:bookmarkStart w:id="162" w:name="_c7daefc8022e204a8d26397da6357efddd44400"/>
      <w:r>
        <w:rPr>
          <w:rFonts w:ascii="Times New Roman" w:hAnsi="Times New Roman" w:eastAsia="Times New Roman"/>
          <w:b/>
          <w:sz w:val="32"/>
        </w:rPr>
        <w:t xml:space="preserve">8 Discussion, Limitations and Conclusion</w:t>
      </w:r>
      <w:bookmarkEnd w:id="162"/>
    </w:p>
    <w:p>
      <w:pPr>
        <w:pStyle w:val="Heading2"/>
      </w:pPr>
      <w:bookmarkStart w:id="163" w:name="_bb02a63370b06644b9812cba1937ab1558802c3"/>
      <w:r>
        <w:rPr>
          <w:rFonts w:ascii="Times New Roman" w:hAnsi="Times New Roman" w:eastAsia="Times New Roman"/>
          <w:b/>
          <w:sz w:val="26"/>
        </w:rPr>
        <w:t xml:space="preserve">8.1 Answers to the Research Questions</w:t>
      </w:r>
      <w:bookmarkEnd w:id="163"/>
    </w:p>
    <w:p>
      <w:pPr>
        <w:pStyle w:val="Heading3"/>
      </w:pPr>
      <w:bookmarkStart w:id="164" w:name="_0f554f5dfaefbecee87d58fba485caaf1645a02"/>
      <w:r>
        <w:rPr>
          <w:rFonts w:ascii="Times New Roman" w:hAnsi="Times New Roman" w:eastAsia="Times New Roman"/>
          <w:b/>
          <w:sz w:val="24"/>
        </w:rPr>
        <w:t xml:space="preserve">8.1.1 Prediction Compared with a Constant Benchmark</w:t>
      </w:r>
      <w:bookmarkEnd w:id="164"/>
    </w:p>
    <w:p>
      <w:pPr>
        <w:pStyle w:val="FirstParagraph"/>
        <w:spacing w:before="0" w:after="200" w:line="276" w:lineRule="auto"/>
        <w:jc w:val="both"/>
      </w:pPr>
      <w:r>
        <w:rPr>
          <w:rFonts w:ascii="Times New Roman" w:hAnsi="Times New Roman" w:eastAsia="Times New Roman"/>
          <w:b w:val="0"/>
          <w:sz w:val="24"/>
        </w:rPr>
        <w:t xml:space="preserve">The first question is whether information available at monthly decision dates predicts a new disclosure episode within 60 days better than a constant event rate. In the retrospective 2023–2025 evaluation, the selected forest has ROC-AUC 0.8866, average precision of 2.60% versus a 0.241% event share (10.77 lift), and 0.95% less Brier error. It therefore improves ranking substantially but probability accuracy only slightly.</w:t>
      </w:r>
    </w:p>
    <w:p>
      <w:pPr>
        <w:pStyle w:val="BodyText"/>
        <w:spacing w:before="0" w:after="200" w:line="276" w:lineRule="auto"/>
        <w:jc w:val="both"/>
      </w:pPr>
      <w:r>
        <w:rPr>
          <w:rFonts w:ascii="Times New Roman" w:hAnsi="Times New Roman" w:eastAsia="Times New Roman"/>
          <w:b w:val="0"/>
          <w:sz w:val="24"/>
        </w:rPr>
        <w:t xml:space="preserve">Performance at one fixed alert threshold is limited. The forest produces 515 alerts: 29 are followed by a positive outcome and 486 are not. It misses 289 of the 318 positive company-months and detects at least one row for only 18 of 176 disclosure episodes. The threshold is therefore not suitable as a stand-alone decision rule.</w:t>
      </w:r>
    </w:p>
    <w:p>
      <w:pPr>
        <w:pStyle w:val="Heading3"/>
      </w:pPr>
      <w:bookmarkStart w:id="165" w:name="_0ed4c6ade760182aaa6edc76d1259b7b1619f0e"/>
      <w:r>
        <w:rPr>
          <w:rFonts w:ascii="Times New Roman" w:hAnsi="Times New Roman" w:eastAsia="Times New Roman"/>
          <w:b/>
          <w:sz w:val="24"/>
        </w:rPr>
        <w:t xml:space="preserve">8.1.2 Tree Models Compared with Logistic Regression</w:t>
      </w:r>
      <w:bookmarkEnd w:id="165"/>
    </w:p>
    <w:p>
      <w:pPr>
        <w:pStyle w:val="FirstParagraph"/>
        <w:spacing w:before="0" w:after="200" w:line="276" w:lineRule="auto"/>
        <w:jc w:val="both"/>
      </w:pPr>
      <w:r>
        <w:rPr>
          <w:rFonts w:ascii="Times New Roman" w:hAnsi="Times New Roman" w:eastAsia="Times New Roman"/>
          <w:b w:val="0"/>
          <w:sz w:val="24"/>
        </w:rPr>
        <w:t xml:space="preserve">The second question compares tree models with logistic regression. Both trees rank better in the later evaluation, but their probability quality is inconsistent: random forest has 0.95% Brier skill, while XGBoost has −5.34% despite slightly higher ROC-AUC and average precision. The predefined rule selects the forest for its lower 2020–2022 Brier error.</w:t>
      </w:r>
    </w:p>
    <w:p>
      <w:pPr>
        <w:pStyle w:val="BodyText"/>
        <w:spacing w:before="0" w:after="200" w:line="276" w:lineRule="auto"/>
        <w:jc w:val="both"/>
      </w:pPr>
      <w:r>
        <w:rPr>
          <w:rFonts w:ascii="Times New Roman" w:hAnsi="Times New Roman" w:eastAsia="Times New Roman"/>
          <w:b w:val="0"/>
          <w:sz w:val="24"/>
        </w:rPr>
        <w:t xml:space="preserve">The alternative-period sensitivity experiment selects XGBoost instead. The evidence therefore supports using tree models for ranking, but it does not establish one tree family as consistently superior across periods.</w:t>
      </w:r>
    </w:p>
    <w:p>
      <w:pPr>
        <w:pStyle w:val="Heading3"/>
      </w:pPr>
      <w:bookmarkStart w:id="166" w:name="_65a829123bf0e14deeeacd2e13528ab2b53cb6c"/>
      <w:r>
        <w:rPr>
          <w:rFonts w:ascii="Times New Roman" w:hAnsi="Times New Roman" w:eastAsia="Times New Roman"/>
          <w:b/>
          <w:sz w:val="24"/>
        </w:rPr>
        <w:t xml:space="preserve">8.1.3 Converting Risk and Financial Capacity into a Limit</w:t>
      </w:r>
      <w:bookmarkEnd w:id="166"/>
    </w:p>
    <w:p>
      <w:pPr>
        <w:pStyle w:val="FirstParagraph"/>
        <w:spacing w:before="0" w:after="200" w:line="276" w:lineRule="auto"/>
        <w:jc w:val="both"/>
      </w:pPr>
      <w:r>
        <w:rPr>
          <w:rFonts w:ascii="Times New Roman" w:hAnsi="Times New Roman" w:eastAsia="Times New Roman"/>
          <w:b w:val="0"/>
          <w:sz w:val="24"/>
        </w:rPr>
        <w:t xml:space="preserve">The third question concerns converting risk and capacity into a limit. The policy calculates capacity from revenue, positive operating cash flow, eligible cash and near-term debt payments, then applies a probability reduction and asset cap. Monthly rules phase in increases, apply reductions immediately and prevent automatic reopening after zero.</w:t>
      </w:r>
    </w:p>
    <w:p>
      <w:pPr>
        <w:pStyle w:val="BodyText"/>
        <w:spacing w:before="0" w:after="200" w:line="276" w:lineRule="auto"/>
        <w:jc w:val="both"/>
      </w:pPr>
      <w:r>
        <w:rPr>
          <w:rFonts w:ascii="Times New Roman" w:hAnsi="Times New Roman" w:eastAsia="Times New Roman"/>
          <w:b w:val="0"/>
          <w:sz w:val="24"/>
        </w:rPr>
        <w:t xml:space="preserve">This produces a transparent and reproducible amount for each eligible company-month. It does not establish that the amount is economically optimal or safe because several facility inputs are assumed rather than observed.</w:t>
      </w:r>
    </w:p>
    <w:p>
      <w:pPr>
        <w:pStyle w:val="Heading3"/>
      </w:pPr>
      <w:bookmarkStart w:id="167" w:name="_1a1be55b91e7fa5368d210132e895f10cf9b6f8"/>
      <w:r>
        <w:rPr>
          <w:rFonts w:ascii="Times New Roman" w:hAnsi="Times New Roman" w:eastAsia="Times New Roman"/>
          <w:b/>
          <w:sz w:val="24"/>
        </w:rPr>
        <w:t xml:space="preserve">8.1.4 Monthly Behavior and Alternative Policy Assumptions</w:t>
      </w:r>
      <w:bookmarkEnd w:id="167"/>
    </w:p>
    <w:p>
      <w:pPr>
        <w:pStyle w:val="FirstParagraph"/>
        <w:spacing w:before="0" w:after="200" w:line="276" w:lineRule="auto"/>
        <w:jc w:val="both"/>
      </w:pPr>
      <w:r>
        <w:rPr>
          <w:rFonts w:ascii="Times New Roman" w:hAnsi="Times New Roman" w:eastAsia="Times New Roman"/>
          <w:b w:val="0"/>
          <w:sz w:val="24"/>
        </w:rPr>
        <w:t xml:space="preserve">The fourth question concerns monthly behavior and alternative assumptions. Among consecutive observations, 72.05% of limits are unchanged, 18.09% increase and 9.86% decrease; accounting values are often carried forward between filings. The cap determines 53.42% of preliminary limits.</w:t>
      </w:r>
    </w:p>
    <w:p>
      <w:pPr>
        <w:pStyle w:val="BodyText"/>
        <w:spacing w:before="0" w:after="200" w:line="276" w:lineRule="auto"/>
        <w:jc w:val="both"/>
      </w:pPr>
      <w:r>
        <w:rPr>
          <w:rFonts w:ascii="Times New Roman" w:hAnsi="Times New Roman" w:eastAsia="Times New Roman"/>
          <w:b w:val="0"/>
          <w:sz w:val="24"/>
        </w:rPr>
        <w:t xml:space="preserve">Removing the probability-based risk adjustment increases mean limit/assets from 0.6678% to 0.6751%, a relative increase of 1.08%. Assumptions about eligible cash, near-term debt payments and the exposure cap have much larger effects. The policy results are therefore driven more strongly by financial-capacity and exposure assumptions than by the model probability at the aggregate level. Individual high-risk companies can still receive a larger probability-based reduction.</w:t>
      </w:r>
    </w:p>
    <w:p>
      <w:pPr>
        <w:pStyle w:val="Heading2"/>
      </w:pPr>
      <w:bookmarkStart w:id="168" w:name="_contribution"/>
      <w:r>
        <w:rPr>
          <w:rFonts w:ascii="Times New Roman" w:hAnsi="Times New Roman" w:eastAsia="Times New Roman"/>
          <w:b/>
          <w:sz w:val="26"/>
        </w:rPr>
        <w:t xml:space="preserve">8.2 Contribution</w:t>
      </w:r>
      <w:bookmarkEnd w:id="168"/>
    </w:p>
    <w:p>
      <w:pPr>
        <w:pStyle w:val="FirstParagraph"/>
        <w:spacing w:before="0" w:after="200" w:line="276" w:lineRule="auto"/>
        <w:jc w:val="both"/>
      </w:pPr>
      <w:r>
        <w:rPr>
          <w:rFonts w:ascii="Times New Roman" w:hAnsi="Times New Roman" w:eastAsia="Times New Roman"/>
          <w:b w:val="0"/>
          <w:sz w:val="24"/>
        </w:rPr>
        <w:t xml:space="preserve">The study combines SEC Company Facts, Financial Statement and Notes facts, and submissions in a point-in-time panel that preserves reporting periods, filing and availability dates, and sources.</w:t>
      </w:r>
    </w:p>
    <w:p>
      <w:pPr>
        <w:pStyle w:val="BodyText"/>
        <w:spacing w:before="0" w:after="200" w:line="276" w:lineRule="auto"/>
        <w:jc w:val="both"/>
      </w:pPr>
      <w:r>
        <w:rPr>
          <w:rFonts w:ascii="Times New Roman" w:hAnsi="Times New Roman" w:eastAsia="Times New Roman"/>
          <w:b w:val="0"/>
          <w:sz w:val="24"/>
        </w:rPr>
        <w:t xml:space="preserve">The design evaluates ranking, probability error and fixed-threshold alerts separately because strong ranking does not ensure probabilities suitable for a monetary formula.</w:t>
      </w:r>
    </w:p>
    <w:p>
      <w:pPr>
        <w:pStyle w:val="BodyText"/>
        <w:spacing w:before="0" w:after="200" w:line="276" w:lineRule="auto"/>
        <w:jc w:val="both"/>
      </w:pPr>
      <w:r>
        <w:rPr>
          <w:rFonts w:ascii="Times New Roman" w:hAnsi="Times New Roman" w:eastAsia="Times New Roman"/>
          <w:b w:val="0"/>
          <w:sz w:val="24"/>
        </w:rPr>
        <w:t xml:space="preserve">The separate policy layer uses explicit formulas and monthly rules while distinguishing observed data, model estimates and assumed facility inputs. Supporting code and evidence make the process reproducible.</w:t>
      </w:r>
    </w:p>
    <w:p>
      <w:pPr>
        <w:pStyle w:val="Heading2"/>
      </w:pPr>
      <w:bookmarkStart w:id="169" w:name="_limitations"/>
      <w:r>
        <w:rPr>
          <w:rFonts w:ascii="Times New Roman" w:hAnsi="Times New Roman" w:eastAsia="Times New Roman"/>
          <w:b/>
          <w:sz w:val="26"/>
        </w:rPr>
        <w:t xml:space="preserve">8.3 Limitations</w:t>
      </w:r>
      <w:bookmarkEnd w:id="169"/>
    </w:p>
    <w:p>
      <w:pPr>
        <w:pStyle w:val="FirstParagraph"/>
        <w:spacing w:before="0" w:after="200" w:line="276" w:lineRule="auto"/>
        <w:jc w:val="both"/>
      </w:pPr>
      <w:r>
        <w:rPr>
          <w:rFonts w:ascii="Times New Roman" w:hAnsi="Times New Roman" w:eastAsia="Times New Roman"/>
          <w:b w:val="0"/>
          <w:sz w:val="24"/>
        </w:rPr>
        <w:t xml:space="preserve">The outcome is a bankruptcy or reviewed payment-failure disclosure episode, not verified default on the hypothetical facility. Filing dates do not necessarily identify when financial distress or missed payment began. The 90-day episode gap is an operational grouping rule and does not verify recovery. Item 2.04 classification uses automated reviews, and the saved experiment does not contain an independent human-validation sample.</w:t>
      </w:r>
    </w:p>
    <w:p>
      <w:pPr>
        <w:pStyle w:val="BodyText"/>
        <w:spacing w:before="0" w:after="200" w:line="276" w:lineRule="auto"/>
        <w:jc w:val="both"/>
      </w:pPr>
      <w:r>
        <w:rPr>
          <w:rFonts w:ascii="Times New Roman" w:hAnsi="Times New Roman" w:eastAsia="Times New Roman"/>
          <w:b w:val="0"/>
          <w:sz w:val="24"/>
        </w:rPr>
        <w:t xml:space="preserve">The outcome is rare, and accounting data contain missing values, inconsistent reporting and measurement noise. Although decisions are monthly, accounting inputs are normally quarterly or annual and can remain unchanged between filings. The policy replay also excludes 41,841 of 141,460 candidate company-months because required financial inputs are missing or invalid.</w:t>
      </w:r>
    </w:p>
    <w:p>
      <w:pPr>
        <w:pStyle w:val="BodyText"/>
        <w:spacing w:before="0" w:after="200" w:line="276" w:lineRule="auto"/>
        <w:jc w:val="both"/>
      </w:pPr>
      <w:r>
        <w:rPr>
          <w:rFonts w:ascii="Times New Roman" w:hAnsi="Times New Roman" w:eastAsia="Times New Roman"/>
          <w:b w:val="0"/>
          <w:sz w:val="24"/>
        </w:rPr>
        <w:t xml:space="preserve">The population consists of SEC reporting companies and includes very large public businesses. It may not represent smaller private working-capital borrowers. Companies can appear in several chronological stages, so the evaluation reflects continued monitoring rather than performance on a completely separate borrower population.</w:t>
      </w:r>
    </w:p>
    <w:p>
      <w:pPr>
        <w:pStyle w:val="BodyText"/>
        <w:spacing w:before="0" w:after="200" w:line="276" w:lineRule="auto"/>
        <w:jc w:val="both"/>
      </w:pPr>
      <w:r>
        <w:rPr>
          <w:rFonts w:ascii="Times New Roman" w:hAnsi="Times New Roman" w:eastAsia="Times New Roman"/>
          <w:b w:val="0"/>
          <w:sz w:val="24"/>
        </w:rPr>
        <w:t xml:space="preserve">The final experiment does not use 2023–2025 outcomes for fitting, tuning, calibration or selection. However, those years were examined during earlier development before the broader outcome was specified. The evaluation is retrospective rather than untouched external validation. The different model selected in the alternative-period experiment also shows that model choice is sensitive to the chronological periods used.</w:t>
      </w:r>
    </w:p>
    <w:p>
      <w:pPr>
        <w:pStyle w:val="BodyText"/>
        <w:spacing w:before="0" w:after="200" w:line="276" w:lineRule="auto"/>
        <w:jc w:val="both"/>
      </w:pPr>
      <w:r>
        <w:rPr>
          <w:rFonts w:ascii="Times New Roman" w:hAnsi="Times New Roman" w:eastAsia="Times New Roman"/>
          <w:b w:val="0"/>
          <w:sz w:val="24"/>
        </w:rPr>
        <w:t xml:space="preserve">Company-cluster bootstrap intervals preserve dependence within each company but do not capture common economic shocks, model-selection uncertainty, changes in sample construction or errors in the disclosure labels. The small Brier improvement should therefore not be interpreted as precise validation of the probability scale.</w:t>
      </w:r>
    </w:p>
    <w:p>
      <w:pPr>
        <w:pStyle w:val="BodyText"/>
        <w:spacing w:before="0" w:after="200" w:line="276" w:lineRule="auto"/>
        <w:jc w:val="both"/>
      </w:pPr>
      <w:r>
        <w:rPr>
          <w:rFonts w:ascii="Times New Roman" w:hAnsi="Times New Roman" w:eastAsia="Times New Roman"/>
          <w:b w:val="0"/>
          <w:sz w:val="24"/>
        </w:rPr>
        <w:t xml:space="preserve">The policy assumes that all reported cash is eligible, no additional external debt payment is due within 60 days, outstanding facility exposure is zero and the maximum exposure is 1% of assets. Actual commitments, utilization, repayments, contractual defaults, recoveries, losses, pricing, profitability and customer effects are unavailable. The replay cannot demonstrate that the calculated limits reduce losses or improve profit.</w:t>
      </w:r>
    </w:p>
    <w:p>
      <w:pPr>
        <w:pStyle w:val="Heading2"/>
      </w:pPr>
      <w:bookmarkStart w:id="170" w:name="_b8adfd15f3507cbf6a241a75feed075fe6465f2"/>
      <w:r>
        <w:rPr>
          <w:rFonts w:ascii="Times New Roman" w:hAnsi="Times New Roman" w:eastAsia="Times New Roman"/>
          <w:b/>
          <w:sz w:val="26"/>
        </w:rPr>
        <w:t xml:space="preserve">8.4 Further Work</w:t>
      </w:r>
      <w:bookmarkEnd w:id="170"/>
    </w:p>
    <w:p>
      <w:pPr>
        <w:pStyle w:val="FirstParagraph"/>
        <w:spacing w:before="0" w:after="200" w:line="276" w:lineRule="auto"/>
        <w:jc w:val="both"/>
      </w:pPr>
      <w:r>
        <w:rPr>
          <w:rFonts w:ascii="Times New Roman" w:hAnsi="Times New Roman" w:eastAsia="Times New Roman"/>
          <w:b w:val="0"/>
          <w:sz w:val="24"/>
        </w:rPr>
        <w:t xml:space="preserve">Future work should prioritize four improvements:</w:t>
      </w:r>
    </w:p>
    <w:p>
      <w:pPr>
        <w:pStyle w:val="Compact"/>
        <w:numPr>
          <w:ilvl w:val="0"/>
          <w:numId w:val="1007"/>
        </w:numPr>
        <w:spacing w:before="0" w:after="200" w:line="276" w:lineRule="auto"/>
        <w:jc w:val="left"/>
      </w:pPr>
      <w:r>
        <w:rPr>
          <w:rFonts w:ascii="Times New Roman" w:hAnsi="Times New Roman" w:eastAsia="Times New Roman"/>
          <w:b w:val="0"/>
          <w:bCs/>
          <w:sz w:val="24"/>
        </w:rPr>
        <w:t xml:space="preserve">Validate the disclosure labels.</w:t>
      </w:r>
      <w:r>
        <w:rPr>
          <w:rFonts w:ascii="Times New Roman" w:hAnsi="Times New Roman" w:eastAsia="Times New Roman"/>
          <w:b w:val="0"/>
          <w:sz w:val="24"/>
        </w:rPr>
        <w:t xml:space="preserve"> </w:t>
      </w:r>
      <w:r>
        <w:rPr>
          <w:rFonts w:ascii="Times New Roman" w:hAnsi="Times New Roman" w:eastAsia="Times New Roman"/>
          <w:b w:val="0"/>
          <w:sz w:val="24"/>
        </w:rPr>
        <w:t xml:space="preserve">An independent human-reviewed sample should measure the accuracy of the automated Item 2.04 classifications and resolve ambiguous filings.</w:t>
      </w:r>
    </w:p>
    <w:p>
      <w:pPr>
        <w:pStyle w:val="Compact"/>
        <w:numPr>
          <w:ilvl w:val="0"/>
          <w:numId w:val="1007"/>
        </w:numPr>
        <w:spacing w:before="0" w:after="200" w:line="276" w:lineRule="auto"/>
        <w:jc w:val="left"/>
      </w:pPr>
      <w:r>
        <w:rPr>
          <w:rFonts w:ascii="Times New Roman" w:hAnsi="Times New Roman" w:eastAsia="Times New Roman"/>
          <w:b w:val="0"/>
          <w:bCs/>
          <w:sz w:val="24"/>
        </w:rPr>
        <w:t xml:space="preserve">Use prospective or independent evaluation.</w:t>
      </w:r>
      <w:r>
        <w:rPr>
          <w:rFonts w:ascii="Times New Roman" w:hAnsi="Times New Roman" w:eastAsia="Times New Roman"/>
          <w:b w:val="0"/>
          <w:sz w:val="24"/>
        </w:rPr>
        <w:t xml:space="preserve"> </w:t>
      </w:r>
      <w:r>
        <w:rPr>
          <w:rFonts w:ascii="Times New Roman" w:hAnsi="Times New Roman" w:eastAsia="Times New Roman"/>
          <w:b w:val="0"/>
          <w:sz w:val="24"/>
        </w:rPr>
        <w:t xml:space="preserve">The target, predictors, model settings and selection rules should be fixed before evaluation on a future period or an independent lender portfolio.</w:t>
      </w:r>
    </w:p>
    <w:p>
      <w:pPr>
        <w:pStyle w:val="Compact"/>
        <w:numPr>
          <w:ilvl w:val="0"/>
          <w:numId w:val="1007"/>
        </w:numPr>
        <w:spacing w:before="0" w:after="200" w:line="276" w:lineRule="auto"/>
        <w:jc w:val="left"/>
      </w:pPr>
      <w:r>
        <w:rPr>
          <w:rFonts w:ascii="Times New Roman" w:hAnsi="Times New Roman" w:eastAsia="Times New Roman"/>
          <w:b w:val="0"/>
          <w:bCs/>
          <w:sz w:val="24"/>
        </w:rPr>
        <w:t xml:space="preserve">Add borrower and facility data.</w:t>
      </w:r>
      <w:r>
        <w:rPr>
          <w:rFonts w:ascii="Times New Roman" w:hAnsi="Times New Roman" w:eastAsia="Times New Roman"/>
          <w:b w:val="0"/>
          <w:sz w:val="24"/>
        </w:rPr>
        <w:t xml:space="preserve"> </w:t>
      </w:r>
      <w:r>
        <w:rPr>
          <w:rFonts w:ascii="Times New Roman" w:hAnsi="Times New Roman" w:eastAsia="Times New Roman"/>
          <w:b w:val="0"/>
          <w:sz w:val="24"/>
        </w:rPr>
        <w:t xml:space="preserve">Unrestricted cash, debt-payment schedules, current utilization, repayments, arrears, contractual defaults, recoveries, losses, pricing and profitability would allow the policy to be tested against actual lending outcomes.</w:t>
      </w:r>
    </w:p>
    <w:p>
      <w:pPr>
        <w:pStyle w:val="Compact"/>
        <w:numPr>
          <w:ilvl w:val="0"/>
          <w:numId w:val="1007"/>
        </w:numPr>
        <w:spacing w:before="0" w:after="200" w:line="276" w:lineRule="auto"/>
        <w:jc w:val="left"/>
      </w:pPr>
      <w:r>
        <w:rPr>
          <w:rFonts w:ascii="Times New Roman" w:hAnsi="Times New Roman" w:eastAsia="Times New Roman"/>
          <w:b w:val="0"/>
          <w:bCs/>
          <w:sz w:val="24"/>
        </w:rPr>
        <w:t xml:space="preserve">Include timelier predictors.</w:t>
      </w:r>
      <w:r>
        <w:rPr>
          <w:rFonts w:ascii="Times New Roman" w:hAnsi="Times New Roman" w:eastAsia="Times New Roman"/>
          <w:b w:val="0"/>
          <w:sz w:val="24"/>
        </w:rPr>
        <w:t xml:space="preserve"> </w:t>
      </w:r>
      <w:r>
        <w:rPr>
          <w:rFonts w:ascii="Times New Roman" w:hAnsi="Times New Roman" w:eastAsia="Times New Roman"/>
          <w:b w:val="0"/>
          <w:sz w:val="24"/>
        </w:rPr>
        <w:t xml:space="preserve">Management accounts, bank transactions and point-in-time macroeconomic or market variables could capture recent borrower and systematic conditions. Every input should retain its measurement period, publication date, vintage and availability date.</w:t>
      </w:r>
    </w:p>
    <w:p>
      <w:pPr>
        <w:pStyle w:val="FirstParagraph"/>
        <w:spacing w:before="0" w:after="200" w:line="276" w:lineRule="auto"/>
        <w:jc w:val="both"/>
      </w:pPr>
      <w:r>
        <w:rPr>
          <w:rFonts w:ascii="Times New Roman" w:hAnsi="Times New Roman" w:eastAsia="Times New Roman"/>
          <w:b w:val="0"/>
          <w:sz w:val="24"/>
        </w:rPr>
        <w:t xml:space="preserve">These additions would support a facility-default target, more realistic capacity inputs and direct evaluation of whether limit changes improve lending outcomes. Probability calibration should then be monitored through a predefined process.</w:t>
      </w:r>
    </w:p>
    <w:p>
      <w:pPr>
        <w:pStyle w:val="Heading2"/>
      </w:pPr>
      <w:bookmarkStart w:id="171" w:name="_conclusion"/>
      <w:r>
        <w:rPr>
          <w:rFonts w:ascii="Times New Roman" w:hAnsi="Times New Roman" w:eastAsia="Times New Roman"/>
          <w:b/>
          <w:sz w:val="26"/>
        </w:rPr>
        <w:t xml:space="preserve">8.5 Conclusion</w:t>
      </w:r>
      <w:bookmarkEnd w:id="171"/>
    </w:p>
    <w:p>
      <w:pPr>
        <w:pStyle w:val="FirstParagraph"/>
        <w:spacing w:before="0" w:after="200" w:line="276" w:lineRule="auto"/>
        <w:jc w:val="both"/>
      </w:pPr>
      <w:r>
        <w:rPr>
          <w:rFonts w:ascii="Times New Roman" w:hAnsi="Times New Roman" w:eastAsia="Times New Roman"/>
          <w:b w:val="0"/>
          <w:sz w:val="24"/>
        </w:rPr>
        <w:t xml:space="preserve">Public SEC accounting and filing data contain useful information for ranking near-term bankruptcy or payment-failure disclosure risk. The selected model ranks the rare outcome substantially better than a constant benchmark, but its improvement in probability error is small and its fixed alert threshold misses most disclosure episodes. The model does not estimate verified default on a lending facility.</w:t>
      </w:r>
    </w:p>
    <w:p>
      <w:pPr>
        <w:pStyle w:val="BodyText"/>
        <w:spacing w:before="0" w:after="200" w:line="276" w:lineRule="auto"/>
        <w:jc w:val="both"/>
      </w:pPr>
      <w:r>
        <w:rPr>
          <w:rFonts w:ascii="Times New Roman" w:hAnsi="Times New Roman" w:eastAsia="Times New Roman"/>
          <w:b w:val="0"/>
          <w:sz w:val="24"/>
        </w:rPr>
        <w:t xml:space="preserve">The policy demonstrates how dated financial information and a disclosure probability can be converted into transparent monthly limits. The calculations are reproducible, but their results depend strongly on unobserved assumptions about eligible cash, debt payments and exposure caps. They are not shown to be optimal, safe or profitable.</w:t>
      </w:r>
    </w:p>
    <w:p>
      <w:pPr>
        <w:pStyle w:val="BodyText"/>
        <w:spacing w:before="0" w:after="200" w:line="276" w:lineRule="auto"/>
        <w:jc w:val="both"/>
      </w:pPr>
      <w:r>
        <w:rPr>
          <w:rFonts w:ascii="Times New Roman" w:hAnsi="Times New Roman" w:eastAsia="Times New Roman"/>
          <w:b w:val="0"/>
          <w:sz w:val="24"/>
        </w:rPr>
        <w:t xml:space="preserve">The thesis therefore provides a research framework rather than a validated lending system. Its practical value can be established only with independently validated outcomes, actual facility data and prospective evaluation.</w:t>
      </w:r>
    </w:p>
    <w:p>
      <w:pPr>
        <w:pStyle w:val="Heading1"/>
        <w:pageBreakBefore/>
      </w:pPr>
      <w:bookmarkStart w:id="172" w:name="_references"/>
      <w:r>
        <w:rPr>
          <w:rFonts w:ascii="Times New Roman" w:hAnsi="Times New Roman" w:eastAsia="Times New Roman"/>
          <w:b/>
          <w:sz w:val="32"/>
        </w:rPr>
        <w:t xml:space="preserve">References</w:t>
      </w:r>
      <w:bookmarkEnd w:id="172"/>
    </w:p>
    <w:p>
      <w:pPr>
        <w:pStyle w:val="FirstParagraph"/>
        <w:spacing w:before="0" w:after="200" w:line="276" w:lineRule="auto"/>
        <w:jc w:val="both"/>
      </w:pPr>
      <w:r>
        <w:rPr>
          <w:rFonts w:ascii="Times New Roman" w:hAnsi="Times New Roman" w:eastAsia="Times New Roman"/>
          <w:b w:val="0"/>
          <w:sz w:val="24"/>
        </w:rPr>
        <w:t xml:space="preserve">Altman, E. I. (1968). Financial ratios, discriminant analysis and the prediction of corporate bankruptcy.</w:t>
      </w:r>
      <w:r>
        <w:rPr>
          <w:rFonts w:ascii="Times New Roman" w:hAnsi="Times New Roman" w:eastAsia="Times New Roman"/>
          <w:b w:val="0"/>
          <w:sz w:val="24"/>
        </w:rPr>
        <w:t xml:space="preserve"> </w:t>
      </w:r>
      <w:r>
        <w:rPr>
          <w:rFonts w:ascii="Times New Roman" w:hAnsi="Times New Roman" w:eastAsia="Times New Roman"/>
          <w:b w:val="0"/>
          <w:i/>
          <w:iCs/>
          <w:sz w:val="24"/>
        </w:rPr>
        <w:t xml:space="preserve">The Journal of Finance, 23</w:t>
      </w:r>
      <w:r>
        <w:rPr>
          <w:rFonts w:ascii="Times New Roman" w:hAnsi="Times New Roman" w:eastAsia="Times New Roman"/>
          <w:b w:val="0"/>
          <w:sz w:val="24"/>
        </w:rPr>
        <w:t xml:space="preserve">(4), 589–609.</w:t>
      </w:r>
      <w:r>
        <w:rPr>
          <w:rFonts w:ascii="Times New Roman" w:hAnsi="Times New Roman" w:eastAsia="Times New Roman"/>
          <w:b w:val="0"/>
          <w:sz w:val="24"/>
        </w:rPr>
        <w:t xml:space="preserve"> </w:t>
      </w:r>
      <w:hyperlink r:id="rId77">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Breiman, L. (2001). Random forests.</w:t>
      </w:r>
      <w:r>
        <w:rPr>
          <w:rFonts w:ascii="Times New Roman" w:hAnsi="Times New Roman" w:eastAsia="Times New Roman"/>
          <w:b w:val="0"/>
          <w:sz w:val="24"/>
        </w:rPr>
        <w:t xml:space="preserve"> </w:t>
      </w:r>
      <w:r>
        <w:rPr>
          <w:rFonts w:ascii="Times New Roman" w:hAnsi="Times New Roman" w:eastAsia="Times New Roman"/>
          <w:b w:val="0"/>
          <w:i/>
          <w:iCs/>
          <w:sz w:val="24"/>
        </w:rPr>
        <w:t xml:space="preserve">Machine Learning, 45</w:t>
      </w:r>
      <w:r>
        <w:rPr>
          <w:rFonts w:ascii="Times New Roman" w:hAnsi="Times New Roman" w:eastAsia="Times New Roman"/>
          <w:b w:val="0"/>
          <w:sz w:val="24"/>
        </w:rPr>
        <w:t xml:space="preserve">, 5–32.</w:t>
      </w:r>
      <w:r>
        <w:rPr>
          <w:rFonts w:ascii="Times New Roman" w:hAnsi="Times New Roman" w:eastAsia="Times New Roman"/>
          <w:b w:val="0"/>
          <w:sz w:val="24"/>
        </w:rPr>
        <w:t xml:space="preserve"> </w:t>
      </w:r>
      <w:hyperlink r:id="rId173">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Brier, G. W. (1950). Verification of forecasts expressed in terms of probability.</w:t>
      </w:r>
      <w:r>
        <w:rPr>
          <w:rFonts w:ascii="Times New Roman" w:hAnsi="Times New Roman" w:eastAsia="Times New Roman"/>
          <w:b w:val="0"/>
          <w:sz w:val="24"/>
        </w:rPr>
        <w:t xml:space="preserve"> </w:t>
      </w:r>
      <w:r>
        <w:rPr>
          <w:rFonts w:ascii="Times New Roman" w:hAnsi="Times New Roman" w:eastAsia="Times New Roman"/>
          <w:b w:val="0"/>
          <w:i/>
          <w:iCs/>
          <w:sz w:val="24"/>
        </w:rPr>
        <w:t xml:space="preserve">Monthly Weather Review, 78</w:t>
      </w:r>
      <w:r>
        <w:rPr>
          <w:rFonts w:ascii="Times New Roman" w:hAnsi="Times New Roman" w:eastAsia="Times New Roman"/>
          <w:b w:val="0"/>
          <w:sz w:val="24"/>
        </w:rPr>
        <w:t xml:space="preserve">(1), 1–3.</w:t>
      </w:r>
      <w:r>
        <w:rPr>
          <w:rFonts w:ascii="Times New Roman" w:hAnsi="Times New Roman" w:eastAsia="Times New Roman"/>
          <w:b w:val="0"/>
          <w:sz w:val="24"/>
        </w:rPr>
        <w:t xml:space="preserve"> </w:t>
      </w:r>
      <w:hyperlink r:id="rId102">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Chen, T., &amp; Guestrin, C. (2016). XGBoost: A scalable tree boosting system. In</w:t>
      </w:r>
      <w:r>
        <w:rPr>
          <w:rFonts w:ascii="Times New Roman" w:hAnsi="Times New Roman" w:eastAsia="Times New Roman"/>
          <w:b w:val="0"/>
          <w:sz w:val="24"/>
        </w:rPr>
        <w:t xml:space="preserve"> </w:t>
      </w:r>
      <w:r>
        <w:rPr>
          <w:rFonts w:ascii="Times New Roman" w:hAnsi="Times New Roman" w:eastAsia="Times New Roman"/>
          <w:b w:val="0"/>
          <w:i/>
          <w:iCs/>
          <w:sz w:val="24"/>
        </w:rPr>
        <w:t xml:space="preserve">Proceedings of the 22nd ACM SIGKDD International Conference on Knowledge Discovery and Data Mining</w:t>
      </w:r>
      <w:r>
        <w:rPr>
          <w:rFonts w:ascii="Times New Roman" w:hAnsi="Times New Roman" w:eastAsia="Times New Roman"/>
          <w:b w:val="0"/>
          <w:sz w:val="24"/>
        </w:rPr>
        <w:t xml:space="preserve"> </w:t>
      </w:r>
      <w:r>
        <w:rPr>
          <w:rFonts w:ascii="Times New Roman" w:hAnsi="Times New Roman" w:eastAsia="Times New Roman"/>
          <w:b w:val="0"/>
          <w:sz w:val="24"/>
        </w:rPr>
        <w:t xml:space="preserve">(pp. 785–794).</w:t>
      </w:r>
      <w:r>
        <w:rPr>
          <w:rFonts w:ascii="Times New Roman" w:hAnsi="Times New Roman" w:eastAsia="Times New Roman"/>
          <w:b w:val="0"/>
          <w:sz w:val="24"/>
        </w:rPr>
        <w:t xml:space="preserve"> </w:t>
      </w:r>
      <w:hyperlink r:id="rId174">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Friedman, J. H. (2001). Greedy function approximation: A gradient boosting machine.</w:t>
      </w:r>
      <w:r>
        <w:rPr>
          <w:rFonts w:ascii="Times New Roman" w:hAnsi="Times New Roman" w:eastAsia="Times New Roman"/>
          <w:b w:val="0"/>
          <w:sz w:val="24"/>
        </w:rPr>
        <w:t xml:space="preserve"> </w:t>
      </w:r>
      <w:r>
        <w:rPr>
          <w:rFonts w:ascii="Times New Roman" w:hAnsi="Times New Roman" w:eastAsia="Times New Roman"/>
          <w:b w:val="0"/>
          <w:i/>
          <w:iCs/>
          <w:sz w:val="24"/>
        </w:rPr>
        <w:t xml:space="preserve">The Annals of Statistics, 29</w:t>
      </w:r>
      <w:r>
        <w:rPr>
          <w:rFonts w:ascii="Times New Roman" w:hAnsi="Times New Roman" w:eastAsia="Times New Roman"/>
          <w:b w:val="0"/>
          <w:sz w:val="24"/>
        </w:rPr>
        <w:t xml:space="preserve">(5), 1189–1232.</w:t>
      </w:r>
      <w:r>
        <w:rPr>
          <w:rFonts w:ascii="Times New Roman" w:hAnsi="Times New Roman" w:eastAsia="Times New Roman"/>
          <w:b w:val="0"/>
          <w:sz w:val="24"/>
        </w:rPr>
        <w:t xml:space="preserve"> </w:t>
      </w:r>
      <w:hyperlink r:id="rId98">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Ohlson, J. A. (1980). Financial ratios and the probabilistic prediction of bankruptcy.</w:t>
      </w:r>
      <w:r>
        <w:rPr>
          <w:rFonts w:ascii="Times New Roman" w:hAnsi="Times New Roman" w:eastAsia="Times New Roman"/>
          <w:b w:val="0"/>
          <w:sz w:val="24"/>
        </w:rPr>
        <w:t xml:space="preserve"> </w:t>
      </w:r>
      <w:r>
        <w:rPr>
          <w:rFonts w:ascii="Times New Roman" w:hAnsi="Times New Roman" w:eastAsia="Times New Roman"/>
          <w:b w:val="0"/>
          <w:i/>
          <w:iCs/>
          <w:sz w:val="24"/>
        </w:rPr>
        <w:t xml:space="preserve">Journal of Accounting Research, 18</w:t>
      </w:r>
      <w:r>
        <w:rPr>
          <w:rFonts w:ascii="Times New Roman" w:hAnsi="Times New Roman" w:eastAsia="Times New Roman"/>
          <w:b w:val="0"/>
          <w:sz w:val="24"/>
        </w:rPr>
        <w:t xml:space="preserve">(1), 109–131.</w:t>
      </w:r>
      <w:r>
        <w:rPr>
          <w:rFonts w:ascii="Times New Roman" w:hAnsi="Times New Roman" w:eastAsia="Times New Roman"/>
          <w:b w:val="0"/>
          <w:sz w:val="24"/>
        </w:rPr>
        <w:t xml:space="preserve"> </w:t>
      </w:r>
      <w:hyperlink r:id="rId78">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Saito, T., &amp; Rehmsmeier, M. (2015). The precision-recall plot is more informative than the ROC plot when evaluating binary classifiers on imbalanced datasets.</w:t>
      </w:r>
      <w:r>
        <w:rPr>
          <w:rFonts w:ascii="Times New Roman" w:hAnsi="Times New Roman" w:eastAsia="Times New Roman"/>
          <w:b w:val="0"/>
          <w:sz w:val="24"/>
        </w:rPr>
        <w:t xml:space="preserve"> </w:t>
      </w:r>
      <w:r>
        <w:rPr>
          <w:rFonts w:ascii="Times New Roman" w:hAnsi="Times New Roman" w:eastAsia="Times New Roman"/>
          <w:b w:val="0"/>
          <w:i/>
          <w:iCs/>
          <w:sz w:val="24"/>
        </w:rPr>
        <w:t xml:space="preserve">PLOS ONE, 10</w:t>
      </w:r>
      <w:r>
        <w:rPr>
          <w:rFonts w:ascii="Times New Roman" w:hAnsi="Times New Roman" w:eastAsia="Times New Roman"/>
          <w:b w:val="0"/>
          <w:sz w:val="24"/>
        </w:rPr>
        <w:t xml:space="preserve">(3), e0118432.</w:t>
      </w:r>
      <w:r>
        <w:rPr>
          <w:rFonts w:ascii="Times New Roman" w:hAnsi="Times New Roman" w:eastAsia="Times New Roman"/>
          <w:b w:val="0"/>
          <w:sz w:val="24"/>
        </w:rPr>
        <w:t xml:space="preserve"> </w:t>
      </w:r>
      <w:hyperlink r:id="rId175">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Scikit-learn developers. (2025).</w:t>
      </w:r>
      <w:r>
        <w:rPr>
          <w:rFonts w:ascii="Times New Roman" w:hAnsi="Times New Roman" w:eastAsia="Times New Roman"/>
          <w:b w:val="0"/>
          <w:sz w:val="24"/>
        </w:rPr>
        <w:t xml:space="preserve"> </w:t>
      </w:r>
      <w:r>
        <w:rPr>
          <w:rFonts w:ascii="Times New Roman" w:hAnsi="Times New Roman" w:eastAsia="Times New Roman"/>
          <w:b w:val="0"/>
          <w:i/>
          <w:iCs/>
          <w:sz w:val="24"/>
        </w:rPr>
        <w:t xml:space="preserve">Scikit-learn 1.6.1 documentation: Logistic regression</w:t>
      </w:r>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94">
        <w:r>
          <w:rPr>
            <w:rStyle w:val="Hyperlink"/>
          </w:rPr>
          <w:t xml:space="preserve">Versioned documentation</w:t>
        </w:r>
      </w:hyperlink>
      <w:r>
        <w:rPr>
          <w:rFonts w:ascii="Times New Roman" w:hAnsi="Times New Roman" w:eastAsia="Times New Roman"/>
          <w:b w:val="0"/>
          <w:sz w:val="24"/>
        </w:rPr>
        <w:t xml:space="preserve">. Accessed 21 September 2026.</w:t>
      </w:r>
    </w:p>
    <w:p>
      <w:pPr>
        <w:pStyle w:val="BodyText"/>
        <w:spacing w:before="0" w:after="200" w:line="276" w:lineRule="auto"/>
        <w:jc w:val="both"/>
      </w:pPr>
      <w:r>
        <w:rPr>
          <w:rFonts w:ascii="Times New Roman" w:hAnsi="Times New Roman" w:eastAsia="Times New Roman"/>
          <w:b w:val="0"/>
          <w:sz w:val="24"/>
        </w:rPr>
        <w:t xml:space="preserve">Scikit-learn developers. (2025).</w:t>
      </w:r>
      <w:r>
        <w:rPr>
          <w:rFonts w:ascii="Times New Roman" w:hAnsi="Times New Roman" w:eastAsia="Times New Roman"/>
          <w:b w:val="0"/>
          <w:sz w:val="24"/>
        </w:rPr>
        <w:t xml:space="preserve"> </w:t>
      </w:r>
      <w:r>
        <w:rPr>
          <w:rFonts w:ascii="Times New Roman" w:hAnsi="Times New Roman" w:eastAsia="Times New Roman"/>
          <w:b w:val="0"/>
          <w:i/>
          <w:iCs/>
          <w:sz w:val="24"/>
        </w:rPr>
        <w:t xml:space="preserve">Scikit-learn 1.6.1 documentation: CalibratedClassifierCV</w:t>
      </w:r>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176">
        <w:r>
          <w:rPr>
            <w:rStyle w:val="Hyperlink"/>
          </w:rPr>
          <w:t xml:space="preserve">Versioned API documentation</w:t>
        </w:r>
      </w:hyperlink>
      <w:r>
        <w:rPr>
          <w:rFonts w:ascii="Times New Roman" w:hAnsi="Times New Roman" w:eastAsia="Times New Roman"/>
          <w:b w:val="0"/>
          <w:sz w:val="24"/>
        </w:rPr>
        <w:t xml:space="preserve">. Accessed 21 September 2026.</w:t>
      </w:r>
    </w:p>
    <w:p>
      <w:pPr>
        <w:pStyle w:val="BodyText"/>
        <w:spacing w:before="0" w:after="200" w:line="276" w:lineRule="auto"/>
        <w:jc w:val="both"/>
      </w:pPr>
      <w:r>
        <w:rPr>
          <w:rFonts w:ascii="Times New Roman" w:hAnsi="Times New Roman" w:eastAsia="Times New Roman"/>
          <w:b w:val="0"/>
          <w:sz w:val="24"/>
        </w:rPr>
        <w:t xml:space="preserve">Shumway, T. (2001). Forecasting bankruptcy more accurately: A simple hazard model.</w:t>
      </w:r>
      <w:r>
        <w:rPr>
          <w:rFonts w:ascii="Times New Roman" w:hAnsi="Times New Roman" w:eastAsia="Times New Roman"/>
          <w:b w:val="0"/>
          <w:sz w:val="24"/>
        </w:rPr>
        <w:t xml:space="preserve"> </w:t>
      </w:r>
      <w:r>
        <w:rPr>
          <w:rFonts w:ascii="Times New Roman" w:hAnsi="Times New Roman" w:eastAsia="Times New Roman"/>
          <w:b w:val="0"/>
          <w:i/>
          <w:iCs/>
          <w:sz w:val="24"/>
        </w:rPr>
        <w:t xml:space="preserve">The Journal of Business, 74</w:t>
      </w:r>
      <w:r>
        <w:rPr>
          <w:rFonts w:ascii="Times New Roman" w:hAnsi="Times New Roman" w:eastAsia="Times New Roman"/>
          <w:b w:val="0"/>
          <w:sz w:val="24"/>
        </w:rPr>
        <w:t xml:space="preserve">(1), 101–124.</w:t>
      </w:r>
      <w:r>
        <w:rPr>
          <w:rFonts w:ascii="Times New Roman" w:hAnsi="Times New Roman" w:eastAsia="Times New Roman"/>
          <w:b w:val="0"/>
          <w:sz w:val="24"/>
        </w:rPr>
        <w:t xml:space="preserve"> </w:t>
      </w:r>
      <w:hyperlink r:id="rId79">
        <w:r>
          <w:rPr>
            <w:rStyle w:val="Hyperlink"/>
          </w:rPr>
          <w:t xml:space="preserve">Original article</w:t>
        </w:r>
      </w:hyperlink>
      <w:r>
        <w:rPr>
          <w:rFonts w:ascii="Times New Roman" w:hAnsi="Times New Roman" w:eastAsia="Times New Roman"/>
          <w:b w:val="0"/>
          <w:sz w:val="24"/>
        </w:rPr>
        <w:t xml:space="preserve">.</w:t>
      </w:r>
    </w:p>
    <w:p>
      <w:pPr>
        <w:pStyle w:val="BodyText"/>
        <w:spacing w:before="0" w:after="200" w:line="276" w:lineRule="auto"/>
        <w:jc w:val="both"/>
      </w:pPr>
      <w:r>
        <w:rPr>
          <w:rFonts w:ascii="Times New Roman" w:hAnsi="Times New Roman" w:eastAsia="Times New Roman"/>
          <w:b w:val="0"/>
          <w:sz w:val="24"/>
        </w:rPr>
        <w:t xml:space="preserve">U.S. Securities and Exchange Commission. (n.d.).</w:t>
      </w:r>
      <w:r>
        <w:rPr>
          <w:rFonts w:ascii="Times New Roman" w:hAnsi="Times New Roman" w:eastAsia="Times New Roman"/>
          <w:b w:val="0"/>
          <w:sz w:val="24"/>
        </w:rPr>
        <w:t xml:space="preserve"> </w:t>
      </w:r>
      <w:r>
        <w:rPr>
          <w:rFonts w:ascii="Times New Roman" w:hAnsi="Times New Roman" w:eastAsia="Times New Roman"/>
          <w:b w:val="0"/>
          <w:i/>
          <w:iCs/>
          <w:sz w:val="24"/>
        </w:rPr>
        <w:t xml:space="preserve">EDGAR application programming interfaces</w:t>
      </w:r>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112">
        <w:r>
          <w:rPr>
            <w:rStyle w:val="Hyperlink"/>
          </w:rPr>
          <w:t xml:space="preserve">Official source documentation</w:t>
        </w:r>
      </w:hyperlink>
      <w:r>
        <w:rPr>
          <w:rFonts w:ascii="Times New Roman" w:hAnsi="Times New Roman" w:eastAsia="Times New Roman"/>
          <w:b w:val="0"/>
          <w:sz w:val="24"/>
        </w:rPr>
        <w:t xml:space="preserve">. Accessed 21 September 2026.</w:t>
      </w:r>
    </w:p>
    <w:p>
      <w:pPr>
        <w:pStyle w:val="BodyText"/>
        <w:spacing w:before="0" w:after="200" w:line="276" w:lineRule="auto"/>
        <w:jc w:val="both"/>
      </w:pPr>
      <w:r>
        <w:rPr>
          <w:rFonts w:ascii="Times New Roman" w:hAnsi="Times New Roman" w:eastAsia="Times New Roman"/>
          <w:b w:val="0"/>
          <w:sz w:val="24"/>
        </w:rPr>
        <w:t xml:space="preserve">U.S. Securities and Exchange Commission. (n.d.).</w:t>
      </w:r>
      <w:r>
        <w:rPr>
          <w:rFonts w:ascii="Times New Roman" w:hAnsi="Times New Roman" w:eastAsia="Times New Roman"/>
          <w:b w:val="0"/>
          <w:sz w:val="24"/>
        </w:rPr>
        <w:t xml:space="preserve"> </w:t>
      </w:r>
      <w:r>
        <w:rPr>
          <w:rFonts w:ascii="Times New Roman" w:hAnsi="Times New Roman" w:eastAsia="Times New Roman"/>
          <w:b w:val="0"/>
          <w:i/>
          <w:iCs/>
          <w:sz w:val="24"/>
        </w:rPr>
        <w:t xml:space="preserve">Financial Statement and Notes Data Sets: Documentation</w:t>
      </w:r>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113">
        <w:r>
          <w:rPr>
            <w:rStyle w:val="Hyperlink"/>
          </w:rPr>
          <w:t xml:space="preserve">Official dataset documentation</w:t>
        </w:r>
      </w:hyperlink>
      <w:r>
        <w:rPr>
          <w:rFonts w:ascii="Times New Roman" w:hAnsi="Times New Roman" w:eastAsia="Times New Roman"/>
          <w:b w:val="0"/>
          <w:sz w:val="24"/>
        </w:rPr>
        <w:t xml:space="preserve">. Accessed 11 October 2026.</w:t>
      </w:r>
    </w:p>
    <w:p>
      <w:pPr>
        <w:pStyle w:val="BodyText"/>
        <w:spacing w:before="0" w:after="200" w:line="276" w:lineRule="auto"/>
        <w:jc w:val="both"/>
      </w:pPr>
      <w:r>
        <w:rPr>
          <w:rFonts w:ascii="Times New Roman" w:hAnsi="Times New Roman" w:eastAsia="Times New Roman"/>
          <w:b w:val="0"/>
          <w:sz w:val="24"/>
        </w:rPr>
        <w:t xml:space="preserve">U.S. Securities and Exchange Commission. (n.d.).</w:t>
      </w:r>
      <w:r>
        <w:rPr>
          <w:rFonts w:ascii="Times New Roman" w:hAnsi="Times New Roman" w:eastAsia="Times New Roman"/>
          <w:b w:val="0"/>
          <w:sz w:val="24"/>
        </w:rPr>
        <w:t xml:space="preserve"> </w:t>
      </w:r>
      <w:r>
        <w:rPr>
          <w:rFonts w:ascii="Times New Roman" w:hAnsi="Times New Roman" w:eastAsia="Times New Roman"/>
          <w:b w:val="0"/>
          <w:i/>
          <w:iCs/>
          <w:sz w:val="24"/>
        </w:rPr>
        <w:t xml:space="preserve">Form 8-K: Current report</w:t>
      </w:r>
      <w:r>
        <w:rPr>
          <w:rFonts w:ascii="Times New Roman" w:hAnsi="Times New Roman" w:eastAsia="Times New Roman"/>
          <w:b w:val="0"/>
          <w:sz w:val="24"/>
        </w:rPr>
        <w:t xml:space="preserve">, Items 1.03, Bankruptcy or Receivership, and 2.04, Triggering Events That Accelerate or Increase a Direct Financial Obligation.</w:t>
      </w:r>
      <w:r>
        <w:rPr>
          <w:rFonts w:ascii="Times New Roman" w:hAnsi="Times New Roman" w:eastAsia="Times New Roman"/>
          <w:b w:val="0"/>
          <w:sz w:val="24"/>
        </w:rPr>
        <w:t xml:space="preserve"> </w:t>
      </w:r>
      <w:hyperlink r:id="rId81">
        <w:r>
          <w:rPr>
            <w:rStyle w:val="Hyperlink"/>
          </w:rPr>
          <w:t xml:space="preserve">Official form</w:t>
        </w:r>
      </w:hyperlink>
      <w:r>
        <w:rPr>
          <w:rFonts w:ascii="Times New Roman" w:hAnsi="Times New Roman" w:eastAsia="Times New Roman"/>
          <w:b w:val="0"/>
          <w:sz w:val="24"/>
        </w:rPr>
        <w:t xml:space="preserve">. Accessed 21 September 2026.</w:t>
      </w:r>
    </w:p>
    <w:p>
      <w:pPr>
        <w:pStyle w:val="BodyText"/>
        <w:spacing w:before="0" w:after="200" w:line="276" w:lineRule="auto"/>
        <w:jc w:val="both"/>
      </w:pPr>
      <w:r>
        <w:rPr>
          <w:rFonts w:ascii="Times New Roman" w:hAnsi="Times New Roman" w:eastAsia="Times New Roman"/>
          <w:b w:val="0"/>
          <w:sz w:val="24"/>
        </w:rPr>
        <w:t xml:space="preserve">U.S. Securities and Exchange Commission. (n.d.).</w:t>
      </w:r>
      <w:r>
        <w:rPr>
          <w:rFonts w:ascii="Times New Roman" w:hAnsi="Times New Roman" w:eastAsia="Times New Roman"/>
          <w:b w:val="0"/>
          <w:sz w:val="24"/>
        </w:rPr>
        <w:t xml:space="preserve"> </w:t>
      </w:r>
      <w:r>
        <w:rPr>
          <w:rFonts w:ascii="Times New Roman" w:hAnsi="Times New Roman" w:eastAsia="Times New Roman"/>
          <w:b w:val="0"/>
          <w:i/>
          <w:iCs/>
          <w:sz w:val="24"/>
        </w:rPr>
        <w:t xml:space="preserve">Standard Industrial Classification code list</w:t>
      </w:r>
      <w:r>
        <w:rPr>
          <w:rFonts w:ascii="Times New Roman" w:hAnsi="Times New Roman" w:eastAsia="Times New Roman"/>
          <w:b w:val="0"/>
          <w:sz w:val="24"/>
        </w:rPr>
        <w:t xml:space="preserve">.</w:t>
      </w:r>
      <w:r>
        <w:rPr>
          <w:rFonts w:ascii="Times New Roman" w:hAnsi="Times New Roman" w:eastAsia="Times New Roman"/>
          <w:b w:val="0"/>
          <w:sz w:val="24"/>
        </w:rPr>
        <w:t xml:space="preserve"> </w:t>
      </w:r>
      <w:hyperlink r:id="rId108">
        <w:r>
          <w:rPr>
            <w:rStyle w:val="Hyperlink"/>
          </w:rPr>
          <w:t xml:space="preserve">Official classification list</w:t>
        </w:r>
      </w:hyperlink>
      <w:r>
        <w:rPr>
          <w:rFonts w:ascii="Times New Roman" w:hAnsi="Times New Roman" w:eastAsia="Times New Roman"/>
          <w:b w:val="0"/>
          <w:sz w:val="24"/>
        </w:rPr>
        <w:t xml:space="preserve">. Accessed 15 October 2026.</w:t>
      </w:r>
    </w:p>
    <w:p>
      <w:pPr>
        <w:pStyle w:val="Heading1"/>
        <w:pageBreakBefore/>
      </w:pPr>
      <w:bookmarkStart w:id="177" w:name="_09258953d3b23a98b84006377a6131e376eb5c0"/>
      <w:r>
        <w:rPr>
          <w:rFonts w:ascii="Times New Roman" w:hAnsi="Times New Roman" w:eastAsia="Times New Roman"/>
          <w:b/>
          <w:sz w:val="32"/>
        </w:rPr>
        <w:t xml:space="preserve">Appendix A: Reproducibility and Code Availability</w:t>
      </w:r>
      <w:bookmarkEnd w:id="177"/>
    </w:p>
    <w:p>
      <w:pPr>
        <w:pStyle w:val="Heading2"/>
      </w:pPr>
      <w:bookmarkStart w:id="178" w:name="_673dfeb9e38c8f43be2a6f01ade496d7b490afd"/>
      <w:r>
        <w:rPr>
          <w:rFonts w:ascii="Times New Roman" w:hAnsi="Times New Roman" w:eastAsia="Times New Roman"/>
          <w:b/>
          <w:sz w:val="26"/>
        </w:rPr>
        <w:t xml:space="preserve">A.1 Primary Experiment and Evidence</w:t>
      </w:r>
      <w:bookmarkEnd w:id="178"/>
    </w:p>
    <w:p>
      <w:pPr>
        <w:pStyle w:val="FirstParagraph"/>
        <w:spacing w:before="0" w:after="200" w:line="276" w:lineRule="auto"/>
        <w:jc w:val="both"/>
      </w:pPr>
      <w:r>
        <w:rPr>
          <w:rFonts w:ascii="Times New Roman" w:hAnsi="Times New Roman" w:eastAsia="Times New Roman"/>
          <w:b w:val="0"/>
          <w:sz w:val="24"/>
        </w:rPr>
        <w:t xml:space="preserve">The accompanying project repository contains the source code, configuration files and saved evidence used in this thesis. The primary model experiment uses</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configs/study.bankruptcy_or_payment_failure.json</w:t>
      </w:r>
      <w:r>
        <w:rPr>
          <w:rFonts w:ascii="Times New Roman" w:hAnsi="Times New Roman" w:eastAsia="Times New Roman"/>
          <w:b w:val="0"/>
          <w:sz w:val="24"/>
        </w:rPr>
        <w:t xml:space="preserve">; the policy uses</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configs/policy.sec_disclosure.json</w:t>
      </w:r>
      <w:r>
        <w:rPr>
          <w:rFonts w:ascii="Times New Roman" w:hAnsi="Times New Roman" w:eastAsia="Times New Roman"/>
          <w:b w:val="0"/>
          <w:sz w:val="24"/>
        </w:rPr>
        <w:t xml:space="preserve">. The internal artifact directory is</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results/run_006_full_statement_enrichment/</w:t>
      </w:r>
      <w:r>
        <w:rPr>
          <w:rFonts w:ascii="Times New Roman" w:hAnsi="Times New Roman" w:eastAsia="Times New Roman"/>
          <w:b w:val="0"/>
          <w:sz w:val="24"/>
        </w:rPr>
        <w:t xml:space="preserve">. The internal name is retained here so the reported results can be traced to the saved files.</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Material</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Location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SEC inventory and disclosure events</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results/run_006_full_statement_enrichment/inventory/</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Monthly panel and input provenance</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results/run_006_full_statement_enrichment/panel/</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Fitted models, selection and evaluation</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results/run_006_full_statement_enrichment/models/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Policy replay and sensitivity results</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results/run_006_full_statement_enrichment/policy/</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Thesis evidence copies</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docs/thesis/tables/</w:t>
            </w:r>
            <w:r>
              <w:rPr>
                <w:rFonts w:ascii="Times New Roman" w:hAnsi="Times New Roman" w:eastAsia="Times New Roman"/>
                <w:b w:val="0"/>
                <w:sz w:val="24"/>
              </w:rPr>
              <w:t xml:space="preserve"> </w:t>
            </w:r>
            <w:r>
              <w:rPr>
                <w:rFonts w:ascii="Times New Roman" w:hAnsi="Times New Roman" w:eastAsia="Times New Roman"/>
                <w:b w:val="0"/>
                <w:sz w:val="24"/>
              </w:rPr>
              <w:t xml:space="preserve">and</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docs/thesis/figures/</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Reproduction instructions</w:t>
            </w:r>
          </w:p>
        </w:tc>
        <w:tc>
          <w:tcPr>
            <w:tcW w:type="dxa" w:w="2284"/>
            <w:vAlign w:val="center"/>
            <w:tcMar>
              <w:top w:w="60" w:type="dxa"/>
              <w:start w:w="70" w:type="dxa"/>
              <w:bottom w:w="60" w:type="dxa"/>
              <w:end w:w="70" w:type="dxa"/>
            </w:tcMar>
          </w:tcPr>
          <w:p>
            <w:pPr>
              <w:pStyle w:val="TableParagraph"/>
              <w:keepNext/>
              <w:spacing w:line="240" w:lineRule="auto" w:before="0" w:after="0"/>
              <w:jc w:val="left"/>
            </w:pPr>
            <w:r>
              <w:rPr>
                <w:rStyle w:val="VerbatimChar"/>
                <w:rFonts w:ascii="Times New Roman" w:hAnsi="Times New Roman" w:eastAsia="Times New Roman"/>
                <w:b w:val="0"/>
                <w:sz w:val="24"/>
              </w:rPr>
              <w:t xml:space="preserve">docs/guides/workflow.md</w:t>
            </w:r>
          </w:p>
        </w:tc>
      </w:tr>
    </w:tbl>
    <w:p>
      <w:pPr>
        <w:pStyle w:val="Caption"/>
        <w:spacing w:line="240" w:lineRule="auto"/>
        <w:jc w:val="center"/>
      </w:pPr>
      <w:r>
        <w:rPr>
          <w:rFonts w:ascii="Times New Roman" w:hAnsi="Times New Roman" w:eastAsia="Times New Roman"/>
          <w:i/>
          <w:iCs/>
          <w:sz w:val="24"/>
        </w:rPr>
        <w:t xml:space="preserve">Table 24. Primary experiment evidence and locations.</w:t>
      </w:r>
    </w:p>
    <w:p>
      <w:pPr>
        <w:pStyle w:val="BodyText"/>
        <w:spacing w:before="0" w:after="200" w:line="276" w:lineRule="auto"/>
        <w:jc w:val="both"/>
      </w:pPr>
      <w:r>
        <w:rPr>
          <w:rFonts w:ascii="Times New Roman" w:hAnsi="Times New Roman" w:eastAsia="Times New Roman"/>
          <w:b w:val="0"/>
          <w:sz w:val="24"/>
        </w:rPr>
        <w:t xml:space="preserve">The SEC source snapshot has an observation cutoff of 7 September 2026. Each completed stage records a manifest and hashes of its inputs. Output directories must be empty before a run, preventing an existing result from being overwritten silently.</w:t>
      </w:r>
    </w:p>
    <w:p>
      <w:pPr>
        <w:pStyle w:val="Heading2"/>
      </w:pPr>
      <w:bookmarkStart w:id="179" w:name="_70008db19aed93af4244175b30f649d6ad13f36"/>
      <w:r>
        <w:rPr>
          <w:rFonts w:ascii="Times New Roman" w:hAnsi="Times New Roman" w:eastAsia="Times New Roman"/>
          <w:b/>
          <w:sz w:val="26"/>
        </w:rPr>
        <w:t xml:space="preserve">A.2 Model and Validation Settings</w:t>
      </w:r>
      <w:bookmarkEnd w:id="179"/>
    </w:p>
    <w:p>
      <w:pPr>
        <w:pStyle w:val="FirstParagraph"/>
        <w:spacing w:before="0" w:after="200" w:line="276" w:lineRule="auto"/>
        <w:jc w:val="both"/>
      </w:pPr>
      <w:r>
        <w:rPr>
          <w:rFonts w:ascii="Times New Roman" w:hAnsi="Times New Roman" w:eastAsia="Times New Roman"/>
          <w:b w:val="0"/>
          <w:sz w:val="24"/>
        </w:rPr>
        <w:t xml:space="preserve">All model families use median imputation fitted only on the relevant training data, with separate missing-value indicators. Logistic models also standardize their inputs. The experiment applies no winsorization or synthetic oversampling.</w:t>
      </w:r>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Model family</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Candidate settings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Logistic regression</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No penalty; LBFGS; 5,000 maximum iterations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L2 logistic regression</w:t>
            </w:r>
          </w:p>
        </w:tc>
        <w:tc>
          <w:tcPr>
            <w:tcW w:type="dxa" w:w="2284"/>
            <w:vAlign w:val="center"/>
            <w:tcMar>
              <w:top w:w="60" w:type="dxa"/>
              <w:start w:w="70" w:type="dxa"/>
              <w:bottom w:w="60" w:type="dxa"/>
              <w:end w:w="70" w:type="dxa"/>
            </w:tcMar>
          </w:tcPr>
          <w:p>
            <w:pPr>
              <w:pStyle w:val="TableParagraph"/>
              <w:spacing w:line="240" w:lineRule="auto" w:before="0" w:after="0"/>
              <w:jc w:val="left"/>
            </w:pPr>
            <m:oMath>
              <m:r>
                <m:t>C</m:t>
              </m:r>
              <m:r>
                <m:rPr>
                  <m:sty m:val="p"/>
                </m:rPr>
                <m:t>=</m:t>
              </m:r>
              <m:r>
                <m:t>0.1</m:t>
              </m:r>
            </m:oMath>
            <w:r>
              <w:rPr>
                <w:rFonts w:ascii="Times New Roman" w:hAnsi="Times New Roman" w:eastAsia="Times New Roman"/>
                <w:b w:val="0"/>
                <w:sz w:val="24"/>
              </w:rPr>
              <w:t xml:space="preserve">,</w:t>
            </w:r>
            <w:r>
              <w:rPr>
                <w:rFonts w:ascii="Times New Roman" w:hAnsi="Times New Roman" w:eastAsia="Times New Roman"/>
                <w:b w:val="0"/>
                <w:sz w:val="24"/>
              </w:rPr>
              <w:t xml:space="preserve"> </w:t>
            </w:r>
            <m:oMath>
              <m:r>
                <m:t>1</m:t>
              </m:r>
            </m:oMath>
            <w:r>
              <w:rPr>
                <w:rFonts w:ascii="Times New Roman" w:hAnsi="Times New Roman" w:eastAsia="Times New Roman"/>
                <w:b w:val="0"/>
                <w:sz w:val="24"/>
              </w:rPr>
              <w:t xml:space="preserve"> </w:t>
            </w:r>
            <w:r>
              <w:rPr>
                <w:rFonts w:ascii="Times New Roman" w:hAnsi="Times New Roman" w:eastAsia="Times New Roman"/>
                <w:b w:val="0"/>
                <w:sz w:val="24"/>
              </w:rPr>
              <w:t xml:space="preserve">or</w:t>
            </w:r>
            <w:r>
              <w:rPr>
                <w:rFonts w:ascii="Times New Roman" w:hAnsi="Times New Roman" w:eastAsia="Times New Roman"/>
                <w:b w:val="0"/>
                <w:sz w:val="24"/>
              </w:rPr>
              <w:t xml:space="preserve"> </w:t>
            </w:r>
            <m:oMath>
              <m:r>
                <m:t>10</m:t>
              </m:r>
            </m:oMath>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Random forest</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300 trees; depth 3 or unrestricted; minimum leaf size 5 or 20</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XGBoost</w:t>
            </w:r>
          </w:p>
        </w:tc>
        <w:tc>
          <w:tcPr>
            <w:tcW w:type="dxa" w:w="2284"/>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200 trees; depth 2 or 4; learning rate 0.05 or 0.1</w:t>
            </w:r>
          </w:p>
        </w:tc>
      </w:tr>
    </w:tbl>
    <w:p>
      <w:pPr>
        <w:pStyle w:val="Caption"/>
        <w:spacing w:line="240" w:lineRule="auto"/>
        <w:jc w:val="center"/>
      </w:pPr>
      <w:r>
        <w:rPr>
          <w:rFonts w:ascii="Times New Roman" w:hAnsi="Times New Roman" w:eastAsia="Times New Roman"/>
          <w:i/>
          <w:iCs/>
          <w:sz w:val="24"/>
        </w:rPr>
        <w:t xml:space="preserve">Table 25. Candidate settings by model family.</w:t>
      </w:r>
    </w:p>
    <w:p>
      <w:pPr>
        <w:pStyle w:val="BodyText"/>
        <w:spacing w:before="0" w:after="200" w:line="276" w:lineRule="auto"/>
        <w:jc w:val="both"/>
      </w:pPr>
      <w:r>
        <w:rPr>
          <w:rFonts w:ascii="Times New Roman" w:hAnsi="Times New Roman" w:eastAsia="Times New Roman"/>
          <w:b w:val="0"/>
          <w:sz w:val="24"/>
        </w:rPr>
        <w:t xml:space="preserve">Each setting is fitted with and without balanced class weights, producing 24 candidates. Tuning uses two expanding temporal folds: fit through 2016 and validate on 2017, then fit through 2017 and validate on 2018. Candidates are ranked within each family by mean annual average-precision lift, followed by mean annual Brier skill and a fixed candidate order.</w:t>
      </w:r>
    </w:p>
    <w:p>
      <w:pPr>
        <w:pStyle w:val="BodyText"/>
        <w:spacing w:before="0" w:after="200" w:line="276" w:lineRule="auto"/>
        <w:jc w:val="both"/>
      </w:pPr>
      <w:r>
        <w:rPr>
          <w:rFonts w:ascii="Times New Roman" w:hAnsi="Times New Roman" w:eastAsia="Times New Roman"/>
          <w:b w:val="0"/>
          <w:sz w:val="24"/>
        </w:rPr>
        <w:t xml:space="preserve">Probability correction is fitted on 2019 observations. Raw and sigmoid-corrected probabilities are compared on 2020–2022 by Brier score. A family is accepted only when its average precision exceeds the selection-period event share and its Brier score is lower than the constant training-rate benchmark. The lowest-Brier accepted family is selected. Alert thresholds maximize selection-period F1 and are then frozen for 2023–2025.</w:t>
      </w:r>
    </w:p>
    <w:p>
      <w:pPr>
        <w:pStyle w:val="BodyText"/>
        <w:spacing w:before="0" w:after="200" w:line="276" w:lineRule="auto"/>
        <w:jc w:val="both"/>
      </w:pPr>
      <w:r>
        <w:rPr>
          <w:rFonts w:ascii="Times New Roman" w:hAnsi="Times New Roman" w:eastAsia="Times New Roman"/>
          <w:b w:val="0"/>
          <w:sz w:val="24"/>
        </w:rPr>
        <w:t xml:space="preserve">The random seed is 42. Tree fitting uses up to four CPU threads, and the company-cluster bootstrap uses 500 repetitions. All monthly observations for a sampled company remain together in each bootstrap repetition.</w:t>
      </w:r>
    </w:p>
    <w:p>
      <w:pPr>
        <w:pStyle w:val="Heading2"/>
      </w:pPr>
      <w:bookmarkStart w:id="180" w:name="_e9700d202f0b9f897a9560842daab1d8f3bf8e0"/>
      <w:r>
        <w:rPr>
          <w:rFonts w:ascii="Times New Roman" w:hAnsi="Times New Roman" w:eastAsia="Times New Roman"/>
          <w:b/>
          <w:sz w:val="26"/>
        </w:rPr>
        <w:t xml:space="preserve">A.3 Implementation Map</w:t>
      </w:r>
      <w:bookmarkEnd w:id="180"/>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Component</w:t>
            </w:r>
          </w:p>
        </w:tc>
        <w:tc>
          <w:tcPr>
            <w:tcW w:type="dxa" w:w="2284"/>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Main location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SEC extraction, accounting reconciliation and panel construction</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mcf/data/</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Automated Item 2.04 review workflow</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mcf/enrichment/item204/</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Model fitting, calibration and evaluation</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mcf/models/</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Credit-limit calculation and historical replay</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mcf/policy/</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Tables, figures and evidence export</w:t>
            </w:r>
          </w:p>
        </w:tc>
        <w:tc>
          <w:tcPr>
            <w:tcW w:type="dxa" w:w="2284"/>
            <w:vAlign w:val="center"/>
            <w:tcMar>
              <w:top w:w="60" w:type="dxa"/>
              <w:start w:w="70" w:type="dxa"/>
              <w:bottom w:w="60" w:type="dxa"/>
              <w:end w:w="70" w:type="dxa"/>
            </w:tcMar>
          </w:tcPr>
          <w:p>
            <w:pPr>
              <w:pStyle w:val="TableParagraph"/>
              <w:spacing w:line="240" w:lineRule="auto" w:before="0" w:after="0"/>
              <w:jc w:val="left"/>
            </w:pPr>
            <w:r>
              <w:rPr>
                <w:rStyle w:val="VerbatimChar"/>
                <w:rFonts w:ascii="Times New Roman" w:hAnsi="Times New Roman" w:eastAsia="Times New Roman"/>
                <w:b w:val="0"/>
                <w:sz w:val="24"/>
              </w:rPr>
              <w:t xml:space="preserve">mcf/reporting/</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Automated tests</w:t>
            </w:r>
          </w:p>
        </w:tc>
        <w:tc>
          <w:tcPr>
            <w:tcW w:type="dxa" w:w="2284"/>
            <w:vAlign w:val="center"/>
            <w:tcMar>
              <w:top w:w="60" w:type="dxa"/>
              <w:start w:w="70" w:type="dxa"/>
              <w:bottom w:w="60" w:type="dxa"/>
              <w:end w:w="70" w:type="dxa"/>
            </w:tcMar>
          </w:tcPr>
          <w:p>
            <w:pPr>
              <w:pStyle w:val="TableParagraph"/>
              <w:keepNext/>
              <w:spacing w:line="240" w:lineRule="auto" w:before="0" w:after="0"/>
              <w:jc w:val="left"/>
            </w:pPr>
            <w:r>
              <w:rPr>
                <w:rStyle w:val="VerbatimChar"/>
                <w:rFonts w:ascii="Times New Roman" w:hAnsi="Times New Roman" w:eastAsia="Times New Roman"/>
                <w:b w:val="0"/>
                <w:sz w:val="24"/>
              </w:rPr>
              <w:t xml:space="preserve">tests/</w:t>
            </w:r>
          </w:p>
        </w:tc>
      </w:tr>
    </w:tbl>
    <w:p>
      <w:pPr>
        <w:pStyle w:val="Caption"/>
        <w:spacing w:line="240" w:lineRule="auto"/>
        <w:jc w:val="center"/>
      </w:pPr>
      <w:r>
        <w:rPr>
          <w:rFonts w:ascii="Times New Roman" w:hAnsi="Times New Roman" w:eastAsia="Times New Roman"/>
          <w:i/>
          <w:iCs/>
          <w:sz w:val="24"/>
        </w:rPr>
        <w:t xml:space="preserve">Table 26. Implementation components and main code locations.</w:t>
      </w:r>
    </w:p>
    <w:p>
      <w:pPr>
        <w:pStyle w:val="Heading2"/>
      </w:pPr>
      <w:bookmarkStart w:id="181" w:name="_8407be9afc3ee234dff35b77439483b96d4cc84"/>
      <w:r>
        <w:rPr>
          <w:rFonts w:ascii="Times New Roman" w:hAnsi="Times New Roman" w:eastAsia="Times New Roman"/>
          <w:b/>
          <w:sz w:val="26"/>
        </w:rPr>
        <w:t xml:space="preserve">A.4 Software Environment</w:t>
      </w:r>
      <w:bookmarkEnd w:id="181"/>
    </w:p>
    <w:tbl>
      <w:tblPr>
        <w:tblStyle w:val="TableGrid0"/>
        <w:tblW w:type="pct" w:w="5000"/>
        <w:jc w:val="center"/>
        <w:tblLayout w:type="fixed"/>
        <w:tblLook w:firstRow="1" w:lastRow="0" w:firstColumn="0" w:lastColumn="0" w:noHBand="0" w:noVBand="0" w:val="0020"/>
      </w:tblPr>
      <w:tblGrid>
        <w:gridCol w:w="6502"/>
        <w:gridCol w:w="2284"/>
      </w:tblGrid>
      <w:tr>
        <w:trPr>
          <w:tblHeader w:val="on"/>
          <w:tblHeader w:val="true"/>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sz w:val="24"/>
              </w:rPr>
              <w:t xml:space="preserve">Software</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sz w:val="24"/>
              </w:rPr>
              <w:t xml:space="preserve">Version</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Python</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3.13.15</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NumPy</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2.2.6</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SciPy</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1.15.3</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scikit-learn</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1.6.1</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XGBoost</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3.0.2</w:t>
            </w:r>
          </w:p>
        </w:tc>
      </w:tr>
      <w:tr>
        <w:trPr>
          <w:cantSplit/>
        </w:trPr>
        <w:tc>
          <w:tcPr>
            <w:tcW w:type="dxa" w:w="6502"/>
            <w:vAlign w:val="center"/>
            <w:tcMar>
              <w:top w:w="60" w:type="dxa"/>
              <w:start w:w="70" w:type="dxa"/>
              <w:bottom w:w="60" w:type="dxa"/>
              <w:end w:w="70" w:type="dxa"/>
            </w:tcMar>
          </w:tcPr>
          <w:p>
            <w:pPr>
              <w:pStyle w:val="TableParagraph"/>
              <w:spacing w:line="240" w:lineRule="auto" w:before="0" w:after="0"/>
              <w:jc w:val="left"/>
            </w:pPr>
            <w:r>
              <w:rPr>
                <w:rFonts w:ascii="Times New Roman" w:hAnsi="Times New Roman" w:eastAsia="Times New Roman"/>
                <w:b w:val="0"/>
                <w:sz w:val="24"/>
              </w:rPr>
              <w:t xml:space="preserve">Matplotlib</w:t>
            </w:r>
          </w:p>
        </w:tc>
        <w:tc>
          <w:tcPr>
            <w:tcW w:type="dxa" w:w="2284"/>
            <w:vAlign w:val="center"/>
            <w:tcMar>
              <w:top w:w="60" w:type="dxa"/>
              <w:start w:w="70" w:type="dxa"/>
              <w:bottom w:w="60" w:type="dxa"/>
              <w:end w:w="70" w:type="dxa"/>
            </w:tcMar>
          </w:tcPr>
          <w:p>
            <w:pPr>
              <w:pStyle w:val="TableParagraph"/>
              <w:spacing w:line="240" w:lineRule="auto" w:before="0" w:after="0"/>
              <w:jc w:val="right"/>
            </w:pPr>
            <w:r>
              <w:rPr>
                <w:rFonts w:ascii="Times New Roman" w:hAnsi="Times New Roman" w:eastAsia="Times New Roman"/>
                <w:b w:val="0"/>
                <w:sz w:val="24"/>
              </w:rPr>
              <w:t xml:space="preserve">3.10.3</w:t>
            </w:r>
          </w:p>
        </w:tc>
      </w:tr>
      <w:tr>
        <w:trPr>
          <w:cantSplit/>
        </w:trPr>
        <w:tc>
          <w:tcPr>
            <w:tcW w:type="dxa" w:w="6502"/>
            <w:vAlign w:val="center"/>
            <w:tcMar>
              <w:top w:w="60" w:type="dxa"/>
              <w:start w:w="70" w:type="dxa"/>
              <w:bottom w:w="60" w:type="dxa"/>
              <w:end w:w="70" w:type="dxa"/>
            </w:tcMar>
          </w:tcPr>
          <w:p>
            <w:pPr>
              <w:pStyle w:val="TableParagraph"/>
              <w:keepNext/>
              <w:spacing w:line="240" w:lineRule="auto" w:before="0" w:after="0"/>
              <w:jc w:val="left"/>
            </w:pPr>
            <w:r>
              <w:rPr>
                <w:rFonts w:ascii="Times New Roman" w:hAnsi="Times New Roman" w:eastAsia="Times New Roman"/>
                <w:b w:val="0"/>
                <w:sz w:val="24"/>
              </w:rPr>
              <w:t xml:space="preserve">joblib</w:t>
            </w:r>
          </w:p>
        </w:tc>
        <w:tc>
          <w:tcPr>
            <w:tcW w:type="dxa" w:w="2284"/>
            <w:vAlign w:val="center"/>
            <w:tcMar>
              <w:top w:w="60" w:type="dxa"/>
              <w:start w:w="70" w:type="dxa"/>
              <w:bottom w:w="60" w:type="dxa"/>
              <w:end w:w="70" w:type="dxa"/>
            </w:tcMar>
          </w:tcPr>
          <w:p>
            <w:pPr>
              <w:pStyle w:val="TableParagraph"/>
              <w:keepNext/>
              <w:spacing w:line="240" w:lineRule="auto" w:before="0" w:after="0"/>
              <w:jc w:val="right"/>
            </w:pPr>
            <w:r>
              <w:rPr>
                <w:rFonts w:ascii="Times New Roman" w:hAnsi="Times New Roman" w:eastAsia="Times New Roman"/>
                <w:b w:val="0"/>
                <w:sz w:val="24"/>
              </w:rPr>
              <w:t xml:space="preserve">1.5.1</w:t>
            </w:r>
          </w:p>
        </w:tc>
      </w:tr>
    </w:tbl>
    <w:p>
      <w:pPr>
        <w:pStyle w:val="Caption"/>
        <w:spacing w:line="240" w:lineRule="auto"/>
        <w:jc w:val="center"/>
      </w:pPr>
      <w:r>
        <w:rPr>
          <w:rFonts w:ascii="Times New Roman" w:hAnsi="Times New Roman" w:eastAsia="Times New Roman"/>
          <w:i/>
          <w:iCs/>
          <w:sz w:val="24"/>
        </w:rPr>
        <w:t xml:space="preserve">Table 27. Software environment used for the primary experiment.</w:t>
      </w:r>
    </w:p>
    <w:p>
      <w:pPr>
        <w:pStyle w:val="BodyText"/>
        <w:spacing w:before="0" w:after="200" w:line="276" w:lineRule="auto"/>
        <w:jc w:val="both"/>
      </w:pPr>
      <w:r>
        <w:rPr>
          <w:rFonts w:ascii="Times New Roman" w:hAnsi="Times New Roman" w:eastAsia="Times New Roman"/>
          <w:b w:val="0"/>
          <w:sz w:val="24"/>
        </w:rPr>
        <w:t xml:space="preserve">The full dependency set is recorded in</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requirements-lock.txt</w:t>
      </w:r>
      <w:r>
        <w:rPr>
          <w:rFonts w:ascii="Times New Roman" w:hAnsi="Times New Roman" w:eastAsia="Times New Roman"/>
          <w:b w:val="0"/>
          <w:sz w:val="24"/>
        </w:rPr>
        <w:t xml:space="preserve">. Sigmoid correction uses scikit-learn’s</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CalibratedClassifierCV</w:t>
      </w:r>
      <w:r>
        <w:rPr>
          <w:rFonts w:ascii="Times New Roman" w:hAnsi="Times New Roman" w:eastAsia="Times New Roman"/>
          <w:b w:val="0"/>
          <w:sz w:val="24"/>
        </w:rPr>
        <w:t xml:space="preserve"> </w:t>
      </w:r>
      <w:r>
        <w:rPr>
          <w:rFonts w:ascii="Times New Roman" w:hAnsi="Times New Roman" w:eastAsia="Times New Roman"/>
          <w:b w:val="0"/>
          <w:sz w:val="24"/>
        </w:rPr>
        <w:t xml:space="preserve">with</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FrozenEstimator</w:t>
      </w:r>
      <w:r>
        <w:rPr>
          <w:rFonts w:ascii="Times New Roman" w:hAnsi="Times New Roman" w:eastAsia="Times New Roman"/>
          <w:b w:val="0"/>
          <w:sz w:val="24"/>
        </w:rPr>
        <w:t xml:space="preserve">.</w:t>
      </w:r>
    </w:p>
    <w:p>
      <w:pPr>
        <w:pStyle w:val="Heading2"/>
      </w:pPr>
      <w:bookmarkStart w:id="182" w:name="_2b5f0e1a6be7af92628da521aaebb89bbc253b4"/>
      <w:r>
        <w:rPr>
          <w:rFonts w:ascii="Times New Roman" w:hAnsi="Times New Roman" w:eastAsia="Times New Roman"/>
          <w:b/>
          <w:sz w:val="26"/>
        </w:rPr>
        <w:t xml:space="preserve">A.5 Reproduction and Label-Review Limits</w:t>
      </w:r>
      <w:bookmarkEnd w:id="182"/>
    </w:p>
    <w:p>
      <w:pPr>
        <w:pStyle w:val="FirstParagraph"/>
        <w:spacing w:before="0" w:after="200" w:line="276" w:lineRule="auto"/>
        <w:jc w:val="both"/>
      </w:pPr>
      <w:r>
        <w:rPr>
          <w:rFonts w:ascii="Times New Roman" w:hAnsi="Times New Roman" w:eastAsia="Times New Roman"/>
          <w:b w:val="0"/>
          <w:sz w:val="24"/>
        </w:rPr>
        <w:t xml:space="preserve">The command sequence is documented in</w:t>
      </w:r>
      <w:r>
        <w:rPr>
          <w:rFonts w:ascii="Times New Roman" w:hAnsi="Times New Roman" w:eastAsia="Times New Roman"/>
          <w:b w:val="0"/>
          <w:sz w:val="24"/>
        </w:rPr>
        <w:t xml:space="preserve"> </w:t>
      </w:r>
      <w:r>
        <w:rPr>
          <w:rStyle w:val="VerbatimChar"/>
          <w:rFonts w:ascii="Times New Roman" w:hAnsi="Times New Roman" w:eastAsia="Times New Roman"/>
          <w:b w:val="0"/>
          <w:sz w:val="24"/>
        </w:rPr>
        <w:t xml:space="preserve">docs/guides/workflow.md</w:t>
      </w:r>
      <w:r>
        <w:rPr>
          <w:rFonts w:ascii="Times New Roman" w:hAnsi="Times New Roman" w:eastAsia="Times New Roman"/>
          <w:b w:val="0"/>
          <w:sz w:val="24"/>
        </w:rPr>
        <w:t xml:space="preserve">. Tests cover information availability, restatements, period matching, conflicting facts, disclosure windows, chronological purging, preprocessing isolation, temporal folds, model selection and policy invariants. These tests verify implemented behavior; they do not establish that every filing fact is economically correct or that the policy is suitable for lending.</w:t>
      </w:r>
    </w:p>
    <w:p>
      <w:pPr>
        <w:pStyle w:val="BodyText"/>
        <w:spacing w:before="0" w:after="200" w:line="276" w:lineRule="auto"/>
        <w:jc w:val="both"/>
      </w:pPr>
      <w:r>
        <w:rPr>
          <w:rFonts w:ascii="Times New Roman" w:hAnsi="Times New Roman" w:eastAsia="Times New Roman"/>
          <w:b w:val="0"/>
          <w:sz w:val="24"/>
        </w:rPr>
        <w:t xml:space="preserve">Item 2.04-only filings were reviewed through an automated language-model workflow. A filing qualifies only when the saved review has high certainty, includes supporting quotations and explicitly identifies a missed principal or interest payment. Acceleration or enforcement alone does not qualify, and unresolved reviews remain excluded or censor affected outcomes. The saved classifications and hashes support reproduction, but no independent human-validation sample is available. A new automated review could produce different classifications.</w:t>
      </w:r>
    </w:p>
    <w:sectPr w:rsidR="006412AD" w:rsidRPr="005B273D" w:rsidSect="00B51C10">
      <w:headerReference w:type="default" r:id="rId58"/>
      <w:footerReference w:type="default" r:id="rId59"/>
      <w:headerReference w:type="first" r:id="rId1"/>
      <w:footerReference w:type="first" r:id="rId2"/>
      <w:pgSz w:w="11906" w:h="16838"/>
      <w:pgMar w:top="1134" w:right="1134" w:bottom="1134" w:left="1417" w:header="680" w:footer="454" w:gutter="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96E"/>
    <w:multiLevelType w:val="hybridMultilevel"/>
    <w:tmpl w:val="73561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F49E4"/>
    <w:multiLevelType w:val="hybridMultilevel"/>
    <w:tmpl w:val="10806B7E"/>
    <w:lvl w:ilvl="0" w:tplc="BFDA837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A48CC"/>
    <w:multiLevelType w:val="hybridMultilevel"/>
    <w:tmpl w:val="A378B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45F17"/>
    <w:multiLevelType w:val="multilevel"/>
    <w:tmpl w:val="72CC8412"/>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AC7B58"/>
    <w:multiLevelType w:val="hybridMultilevel"/>
    <w:tmpl w:val="65E8F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43793"/>
    <w:multiLevelType w:val="multilevel"/>
    <w:tmpl w:val="B4D26F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CDC4BEC"/>
    <w:multiLevelType w:val="hybridMultilevel"/>
    <w:tmpl w:val="C82E1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F5934"/>
    <w:multiLevelType w:val="multilevel"/>
    <w:tmpl w:val="B4D26F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1B72693"/>
    <w:multiLevelType w:val="multilevel"/>
    <w:tmpl w:val="31B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872CC"/>
    <w:multiLevelType w:val="hybridMultilevel"/>
    <w:tmpl w:val="F976D70E"/>
    <w:lvl w:ilvl="0" w:tplc="34B0AFB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83B2E"/>
    <w:multiLevelType w:val="multilevel"/>
    <w:tmpl w:val="283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A22F9"/>
    <w:multiLevelType w:val="multilevel"/>
    <w:tmpl w:val="A156DB0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3901EC"/>
    <w:multiLevelType w:val="hybridMultilevel"/>
    <w:tmpl w:val="1A6AA7BC"/>
    <w:lvl w:ilvl="0" w:tplc="E11ED98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42AFA"/>
    <w:multiLevelType w:val="multilevel"/>
    <w:tmpl w:val="E32CCDBE"/>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BFF02D4"/>
    <w:multiLevelType w:val="hybridMultilevel"/>
    <w:tmpl w:val="37B6A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84182"/>
    <w:multiLevelType w:val="hybridMultilevel"/>
    <w:tmpl w:val="CF0A45F6"/>
    <w:lvl w:ilvl="0" w:tplc="622A7EEC">
      <w:numFmt w:val="bullet"/>
      <w:lvlText w:val=""/>
      <w:lvlJc w:val="left"/>
      <w:pPr>
        <w:ind w:left="820" w:hanging="351"/>
      </w:pPr>
      <w:rPr>
        <w:rFonts w:ascii="Symbol" w:eastAsia="Symbol" w:hAnsi="Symbol" w:cs="Symbol" w:hint="default"/>
        <w:w w:val="101"/>
        <w:sz w:val="23"/>
        <w:szCs w:val="23"/>
        <w:lang w:val="hr-HR" w:eastAsia="en-US" w:bidi="ar-SA"/>
      </w:rPr>
    </w:lvl>
    <w:lvl w:ilvl="1" w:tplc="8E9EE9F8">
      <w:numFmt w:val="bullet"/>
      <w:lvlText w:val="•"/>
      <w:lvlJc w:val="left"/>
      <w:pPr>
        <w:ind w:left="1704" w:hanging="351"/>
      </w:pPr>
      <w:rPr>
        <w:rFonts w:hint="default"/>
        <w:lang w:val="hr-HR" w:eastAsia="en-US" w:bidi="ar-SA"/>
      </w:rPr>
    </w:lvl>
    <w:lvl w:ilvl="2" w:tplc="78E8021A">
      <w:numFmt w:val="bullet"/>
      <w:lvlText w:val="•"/>
      <w:lvlJc w:val="left"/>
      <w:pPr>
        <w:ind w:left="2588" w:hanging="351"/>
      </w:pPr>
      <w:rPr>
        <w:rFonts w:hint="default"/>
        <w:lang w:val="hr-HR" w:eastAsia="en-US" w:bidi="ar-SA"/>
      </w:rPr>
    </w:lvl>
    <w:lvl w:ilvl="3" w:tplc="F2F2E7D6">
      <w:numFmt w:val="bullet"/>
      <w:lvlText w:val="•"/>
      <w:lvlJc w:val="left"/>
      <w:pPr>
        <w:ind w:left="3472" w:hanging="351"/>
      </w:pPr>
      <w:rPr>
        <w:rFonts w:hint="default"/>
        <w:lang w:val="hr-HR" w:eastAsia="en-US" w:bidi="ar-SA"/>
      </w:rPr>
    </w:lvl>
    <w:lvl w:ilvl="4" w:tplc="C0ECA004">
      <w:numFmt w:val="bullet"/>
      <w:lvlText w:val="•"/>
      <w:lvlJc w:val="left"/>
      <w:pPr>
        <w:ind w:left="4356" w:hanging="351"/>
      </w:pPr>
      <w:rPr>
        <w:rFonts w:hint="default"/>
        <w:lang w:val="hr-HR" w:eastAsia="en-US" w:bidi="ar-SA"/>
      </w:rPr>
    </w:lvl>
    <w:lvl w:ilvl="5" w:tplc="5EAEB6DC">
      <w:numFmt w:val="bullet"/>
      <w:lvlText w:val="•"/>
      <w:lvlJc w:val="left"/>
      <w:pPr>
        <w:ind w:left="5240" w:hanging="351"/>
      </w:pPr>
      <w:rPr>
        <w:rFonts w:hint="default"/>
        <w:lang w:val="hr-HR" w:eastAsia="en-US" w:bidi="ar-SA"/>
      </w:rPr>
    </w:lvl>
    <w:lvl w:ilvl="6" w:tplc="9E2EC1FC">
      <w:numFmt w:val="bullet"/>
      <w:lvlText w:val="•"/>
      <w:lvlJc w:val="left"/>
      <w:pPr>
        <w:ind w:left="6124" w:hanging="351"/>
      </w:pPr>
      <w:rPr>
        <w:rFonts w:hint="default"/>
        <w:lang w:val="hr-HR" w:eastAsia="en-US" w:bidi="ar-SA"/>
      </w:rPr>
    </w:lvl>
    <w:lvl w:ilvl="7" w:tplc="5FE8DA5A">
      <w:numFmt w:val="bullet"/>
      <w:lvlText w:val="•"/>
      <w:lvlJc w:val="left"/>
      <w:pPr>
        <w:ind w:left="7008" w:hanging="351"/>
      </w:pPr>
      <w:rPr>
        <w:rFonts w:hint="default"/>
        <w:lang w:val="hr-HR" w:eastAsia="en-US" w:bidi="ar-SA"/>
      </w:rPr>
    </w:lvl>
    <w:lvl w:ilvl="8" w:tplc="309E91DC">
      <w:numFmt w:val="bullet"/>
      <w:lvlText w:val="•"/>
      <w:lvlJc w:val="left"/>
      <w:pPr>
        <w:ind w:left="7892" w:hanging="351"/>
      </w:pPr>
      <w:rPr>
        <w:rFonts w:hint="default"/>
        <w:lang w:val="hr-HR" w:eastAsia="en-US" w:bidi="ar-SA"/>
      </w:rPr>
    </w:lvl>
  </w:abstractNum>
  <w:abstractNum w:abstractNumId="16" w15:restartNumberingAfterBreak="0">
    <w:nsid w:val="38A30F81"/>
    <w:multiLevelType w:val="multilevel"/>
    <w:tmpl w:val="07A2510C"/>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8C22D41"/>
    <w:multiLevelType w:val="hybridMultilevel"/>
    <w:tmpl w:val="B99AD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B52B1"/>
    <w:multiLevelType w:val="hybridMultilevel"/>
    <w:tmpl w:val="35B8532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1394A"/>
    <w:multiLevelType w:val="multilevel"/>
    <w:tmpl w:val="3BA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B42C7"/>
    <w:multiLevelType w:val="hybridMultilevel"/>
    <w:tmpl w:val="54B04E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230213"/>
    <w:multiLevelType w:val="multilevel"/>
    <w:tmpl w:val="94C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D3A7A"/>
    <w:multiLevelType w:val="hybridMultilevel"/>
    <w:tmpl w:val="33B04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02343A"/>
    <w:multiLevelType w:val="hybridMultilevel"/>
    <w:tmpl w:val="84F42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F16E26"/>
    <w:multiLevelType w:val="multilevel"/>
    <w:tmpl w:val="B4D26F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6B80AF1"/>
    <w:multiLevelType w:val="multilevel"/>
    <w:tmpl w:val="E68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C6F07"/>
    <w:multiLevelType w:val="multilevel"/>
    <w:tmpl w:val="C2A25CF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B9064CD"/>
    <w:multiLevelType w:val="multilevel"/>
    <w:tmpl w:val="BE0C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C1552"/>
    <w:multiLevelType w:val="multilevel"/>
    <w:tmpl w:val="6308C5A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15:restartNumberingAfterBreak="0">
    <w:nsid w:val="61C7503F"/>
    <w:multiLevelType w:val="multilevel"/>
    <w:tmpl w:val="9F62F1B6"/>
    <w:lvl w:ilvl="0">
      <w:start w:val="4"/>
      <w:numFmt w:val="decimal"/>
      <w:lvlText w:val="%1."/>
      <w:lvlJc w:val="left"/>
      <w:pPr>
        <w:ind w:left="600" w:hanging="6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E297438"/>
    <w:multiLevelType w:val="hybridMultilevel"/>
    <w:tmpl w:val="9154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5367E4"/>
    <w:multiLevelType w:val="hybridMultilevel"/>
    <w:tmpl w:val="FD00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57617F"/>
    <w:multiLevelType w:val="hybridMultilevel"/>
    <w:tmpl w:val="1108B9A2"/>
    <w:lvl w:ilvl="0" w:tplc="364A0D1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EE0E5D"/>
    <w:multiLevelType w:val="hybridMultilevel"/>
    <w:tmpl w:val="7B9A3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8DB476C"/>
    <w:multiLevelType w:val="hybridMultilevel"/>
    <w:tmpl w:val="F59C2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5B773E"/>
    <w:multiLevelType w:val="multilevel"/>
    <w:tmpl w:val="929A9E7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D811C19"/>
    <w:multiLevelType w:val="hybridMultilevel"/>
    <w:tmpl w:val="63B23434"/>
    <w:lvl w:ilvl="0" w:tplc="26748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3289431">
    <w:abstractNumId w:val="15"/>
  </w:num>
  <w:num w:numId="2" w16cid:durableId="885801368">
    <w:abstractNumId w:val="7"/>
  </w:num>
  <w:num w:numId="3" w16cid:durableId="1027171602">
    <w:abstractNumId w:val="24"/>
  </w:num>
  <w:num w:numId="4" w16cid:durableId="2052923203">
    <w:abstractNumId w:val="5"/>
  </w:num>
  <w:num w:numId="5" w16cid:durableId="132408995">
    <w:abstractNumId w:val="32"/>
  </w:num>
  <w:num w:numId="6" w16cid:durableId="676421612">
    <w:abstractNumId w:val="18"/>
  </w:num>
  <w:num w:numId="7" w16cid:durableId="633414390">
    <w:abstractNumId w:val="35"/>
  </w:num>
  <w:num w:numId="8" w16cid:durableId="1611627714">
    <w:abstractNumId w:val="1"/>
  </w:num>
  <w:num w:numId="9" w16cid:durableId="467745730">
    <w:abstractNumId w:val="28"/>
  </w:num>
  <w:num w:numId="10" w16cid:durableId="611254357">
    <w:abstractNumId w:val="13"/>
  </w:num>
  <w:num w:numId="11" w16cid:durableId="221645373">
    <w:abstractNumId w:val="3"/>
  </w:num>
  <w:num w:numId="12" w16cid:durableId="1753424970">
    <w:abstractNumId w:val="29"/>
  </w:num>
  <w:num w:numId="13" w16cid:durableId="2016684707">
    <w:abstractNumId w:val="11"/>
  </w:num>
  <w:num w:numId="14" w16cid:durableId="1689671253">
    <w:abstractNumId w:val="36"/>
  </w:num>
  <w:num w:numId="15" w16cid:durableId="295526449">
    <w:abstractNumId w:val="17"/>
  </w:num>
  <w:num w:numId="16" w16cid:durableId="1544436880">
    <w:abstractNumId w:val="6"/>
  </w:num>
  <w:num w:numId="17" w16cid:durableId="1597249893">
    <w:abstractNumId w:val="22"/>
  </w:num>
  <w:num w:numId="18" w16cid:durableId="1977946522">
    <w:abstractNumId w:val="25"/>
  </w:num>
  <w:num w:numId="19" w16cid:durableId="1998879908">
    <w:abstractNumId w:val="4"/>
  </w:num>
  <w:num w:numId="20" w16cid:durableId="156195433">
    <w:abstractNumId w:val="21"/>
  </w:num>
  <w:num w:numId="21" w16cid:durableId="1832021992">
    <w:abstractNumId w:val="20"/>
  </w:num>
  <w:num w:numId="22" w16cid:durableId="1101025172">
    <w:abstractNumId w:val="0"/>
  </w:num>
  <w:num w:numId="23" w16cid:durableId="1580554388">
    <w:abstractNumId w:val="26"/>
  </w:num>
  <w:num w:numId="24" w16cid:durableId="1337616336">
    <w:abstractNumId w:val="14"/>
  </w:num>
  <w:num w:numId="25" w16cid:durableId="923488245">
    <w:abstractNumId w:val="30"/>
  </w:num>
  <w:num w:numId="26" w16cid:durableId="1386024633">
    <w:abstractNumId w:val="2"/>
  </w:num>
  <w:num w:numId="27" w16cid:durableId="371419860">
    <w:abstractNumId w:val="34"/>
  </w:num>
  <w:num w:numId="28" w16cid:durableId="614016926">
    <w:abstractNumId w:val="23"/>
  </w:num>
  <w:num w:numId="29" w16cid:durableId="338626551">
    <w:abstractNumId w:val="33"/>
  </w:num>
  <w:num w:numId="30" w16cid:durableId="41683521">
    <w:abstractNumId w:val="12"/>
  </w:num>
  <w:num w:numId="31" w16cid:durableId="1960065009">
    <w:abstractNumId w:val="16"/>
  </w:num>
  <w:num w:numId="32" w16cid:durableId="2048674387">
    <w:abstractNumId w:val="9"/>
  </w:num>
  <w:num w:numId="33" w16cid:durableId="1598127394">
    <w:abstractNumId w:val="19"/>
  </w:num>
  <w:num w:numId="34" w16cid:durableId="818963539">
    <w:abstractNumId w:val="27"/>
  </w:num>
  <w:num w:numId="35" w16cid:durableId="2144351528">
    <w:abstractNumId w:val="8"/>
  </w:num>
  <w:num w:numId="36" w16cid:durableId="1733503182">
    <w:abstractNumId w:val="10"/>
  </w:num>
  <w:num w:numId="37" w16cid:durableId="1344893168">
    <w:abstractNumId w:val="3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990"/>
    <w:rsid w:val="0000100B"/>
    <w:rsid w:val="0000140D"/>
    <w:rsid w:val="00002526"/>
    <w:rsid w:val="00004685"/>
    <w:rsid w:val="0001108D"/>
    <w:rsid w:val="00015989"/>
    <w:rsid w:val="00015DE5"/>
    <w:rsid w:val="00017060"/>
    <w:rsid w:val="00021F6A"/>
    <w:rsid w:val="00026C84"/>
    <w:rsid w:val="00030A58"/>
    <w:rsid w:val="00035F57"/>
    <w:rsid w:val="00037299"/>
    <w:rsid w:val="00037C21"/>
    <w:rsid w:val="00042D63"/>
    <w:rsid w:val="00043881"/>
    <w:rsid w:val="000441E1"/>
    <w:rsid w:val="000442E7"/>
    <w:rsid w:val="00046B06"/>
    <w:rsid w:val="0004768E"/>
    <w:rsid w:val="000509B0"/>
    <w:rsid w:val="00050E4C"/>
    <w:rsid w:val="00050E76"/>
    <w:rsid w:val="00053C84"/>
    <w:rsid w:val="00057131"/>
    <w:rsid w:val="00060371"/>
    <w:rsid w:val="00060A99"/>
    <w:rsid w:val="000628F1"/>
    <w:rsid w:val="00063EBD"/>
    <w:rsid w:val="00064861"/>
    <w:rsid w:val="00066404"/>
    <w:rsid w:val="00067DDE"/>
    <w:rsid w:val="000709FF"/>
    <w:rsid w:val="0007570D"/>
    <w:rsid w:val="0008183C"/>
    <w:rsid w:val="0008292B"/>
    <w:rsid w:val="00083FDD"/>
    <w:rsid w:val="00085A3D"/>
    <w:rsid w:val="0008681D"/>
    <w:rsid w:val="00086A65"/>
    <w:rsid w:val="00087367"/>
    <w:rsid w:val="00090ACD"/>
    <w:rsid w:val="00091B9E"/>
    <w:rsid w:val="00092AD5"/>
    <w:rsid w:val="0009347B"/>
    <w:rsid w:val="000948FA"/>
    <w:rsid w:val="000A1E75"/>
    <w:rsid w:val="000A2E16"/>
    <w:rsid w:val="000A3E34"/>
    <w:rsid w:val="000A5F9E"/>
    <w:rsid w:val="000A6959"/>
    <w:rsid w:val="000B5301"/>
    <w:rsid w:val="000B561B"/>
    <w:rsid w:val="000B6BFF"/>
    <w:rsid w:val="000B75BD"/>
    <w:rsid w:val="000B79ED"/>
    <w:rsid w:val="000C1727"/>
    <w:rsid w:val="000C29E2"/>
    <w:rsid w:val="000C3941"/>
    <w:rsid w:val="000C3E60"/>
    <w:rsid w:val="000C4E08"/>
    <w:rsid w:val="000C5FF5"/>
    <w:rsid w:val="000C6234"/>
    <w:rsid w:val="000C6AAE"/>
    <w:rsid w:val="000C74D8"/>
    <w:rsid w:val="000D08FF"/>
    <w:rsid w:val="000D1751"/>
    <w:rsid w:val="000D1F60"/>
    <w:rsid w:val="000D6E08"/>
    <w:rsid w:val="000D7022"/>
    <w:rsid w:val="000D7FE5"/>
    <w:rsid w:val="000E039D"/>
    <w:rsid w:val="000E4436"/>
    <w:rsid w:val="000F2AAC"/>
    <w:rsid w:val="000F47EC"/>
    <w:rsid w:val="000F61F9"/>
    <w:rsid w:val="000F6288"/>
    <w:rsid w:val="000F74AF"/>
    <w:rsid w:val="000F7BCA"/>
    <w:rsid w:val="0010102B"/>
    <w:rsid w:val="00101D5C"/>
    <w:rsid w:val="0010369D"/>
    <w:rsid w:val="00105F0A"/>
    <w:rsid w:val="00110EB2"/>
    <w:rsid w:val="0011149C"/>
    <w:rsid w:val="00112105"/>
    <w:rsid w:val="00113958"/>
    <w:rsid w:val="001164D7"/>
    <w:rsid w:val="00122333"/>
    <w:rsid w:val="00131510"/>
    <w:rsid w:val="0013252B"/>
    <w:rsid w:val="00132DA7"/>
    <w:rsid w:val="00133CAE"/>
    <w:rsid w:val="00134A5D"/>
    <w:rsid w:val="00135B98"/>
    <w:rsid w:val="00142C2D"/>
    <w:rsid w:val="00143546"/>
    <w:rsid w:val="001449D5"/>
    <w:rsid w:val="001462BD"/>
    <w:rsid w:val="00147A89"/>
    <w:rsid w:val="00150922"/>
    <w:rsid w:val="0015279E"/>
    <w:rsid w:val="00152A13"/>
    <w:rsid w:val="0015532F"/>
    <w:rsid w:val="0015651F"/>
    <w:rsid w:val="00157F70"/>
    <w:rsid w:val="00157F74"/>
    <w:rsid w:val="0016034D"/>
    <w:rsid w:val="00161BC1"/>
    <w:rsid w:val="0016371C"/>
    <w:rsid w:val="00163C7A"/>
    <w:rsid w:val="001647E3"/>
    <w:rsid w:val="00165C74"/>
    <w:rsid w:val="00165F8C"/>
    <w:rsid w:val="00166099"/>
    <w:rsid w:val="0016643A"/>
    <w:rsid w:val="00166BD8"/>
    <w:rsid w:val="00166E63"/>
    <w:rsid w:val="0016768C"/>
    <w:rsid w:val="001679E7"/>
    <w:rsid w:val="001700EA"/>
    <w:rsid w:val="00175742"/>
    <w:rsid w:val="00175F8C"/>
    <w:rsid w:val="001766CB"/>
    <w:rsid w:val="00176EC3"/>
    <w:rsid w:val="00184597"/>
    <w:rsid w:val="0019127E"/>
    <w:rsid w:val="0019312D"/>
    <w:rsid w:val="00193721"/>
    <w:rsid w:val="0019394A"/>
    <w:rsid w:val="00195F57"/>
    <w:rsid w:val="001965C7"/>
    <w:rsid w:val="00196C28"/>
    <w:rsid w:val="001A1B26"/>
    <w:rsid w:val="001A2C35"/>
    <w:rsid w:val="001A48D0"/>
    <w:rsid w:val="001A4B05"/>
    <w:rsid w:val="001A5EC2"/>
    <w:rsid w:val="001B0134"/>
    <w:rsid w:val="001B1323"/>
    <w:rsid w:val="001B1AB5"/>
    <w:rsid w:val="001B562B"/>
    <w:rsid w:val="001C453C"/>
    <w:rsid w:val="001C60D4"/>
    <w:rsid w:val="001D6029"/>
    <w:rsid w:val="001E5D2B"/>
    <w:rsid w:val="001E680C"/>
    <w:rsid w:val="001F06C4"/>
    <w:rsid w:val="001F0DE1"/>
    <w:rsid w:val="001F1469"/>
    <w:rsid w:val="001F1FB5"/>
    <w:rsid w:val="001F2045"/>
    <w:rsid w:val="001F310D"/>
    <w:rsid w:val="001F5851"/>
    <w:rsid w:val="002000DF"/>
    <w:rsid w:val="0020110B"/>
    <w:rsid w:val="00205CE8"/>
    <w:rsid w:val="00207C99"/>
    <w:rsid w:val="00210F68"/>
    <w:rsid w:val="00211669"/>
    <w:rsid w:val="0021177D"/>
    <w:rsid w:val="00211DAD"/>
    <w:rsid w:val="0021234B"/>
    <w:rsid w:val="002125ED"/>
    <w:rsid w:val="00213E0F"/>
    <w:rsid w:val="0022478A"/>
    <w:rsid w:val="00227B69"/>
    <w:rsid w:val="00227F14"/>
    <w:rsid w:val="002318D9"/>
    <w:rsid w:val="0023376E"/>
    <w:rsid w:val="00233BD1"/>
    <w:rsid w:val="00236014"/>
    <w:rsid w:val="00236224"/>
    <w:rsid w:val="00240B10"/>
    <w:rsid w:val="00240E83"/>
    <w:rsid w:val="00242138"/>
    <w:rsid w:val="00244CBE"/>
    <w:rsid w:val="00246670"/>
    <w:rsid w:val="0024674A"/>
    <w:rsid w:val="00250591"/>
    <w:rsid w:val="00251570"/>
    <w:rsid w:val="00252D33"/>
    <w:rsid w:val="0025708F"/>
    <w:rsid w:val="00260B82"/>
    <w:rsid w:val="00260DB5"/>
    <w:rsid w:val="002626D1"/>
    <w:rsid w:val="002636B4"/>
    <w:rsid w:val="00267514"/>
    <w:rsid w:val="00273CA2"/>
    <w:rsid w:val="002750D6"/>
    <w:rsid w:val="0027585B"/>
    <w:rsid w:val="00276615"/>
    <w:rsid w:val="002802AE"/>
    <w:rsid w:val="00284EDB"/>
    <w:rsid w:val="002911BB"/>
    <w:rsid w:val="00293EE1"/>
    <w:rsid w:val="002952E8"/>
    <w:rsid w:val="002954D3"/>
    <w:rsid w:val="002969BF"/>
    <w:rsid w:val="00297817"/>
    <w:rsid w:val="002A0D2C"/>
    <w:rsid w:val="002A3597"/>
    <w:rsid w:val="002A6086"/>
    <w:rsid w:val="002B0ED5"/>
    <w:rsid w:val="002B2DD1"/>
    <w:rsid w:val="002B564F"/>
    <w:rsid w:val="002B58EA"/>
    <w:rsid w:val="002C2039"/>
    <w:rsid w:val="002C4313"/>
    <w:rsid w:val="002D02B0"/>
    <w:rsid w:val="002D36D0"/>
    <w:rsid w:val="002D52A8"/>
    <w:rsid w:val="002D5F18"/>
    <w:rsid w:val="002D7F1B"/>
    <w:rsid w:val="002E163C"/>
    <w:rsid w:val="002E1729"/>
    <w:rsid w:val="002E1CDB"/>
    <w:rsid w:val="002E688D"/>
    <w:rsid w:val="002F1A53"/>
    <w:rsid w:val="002F1F16"/>
    <w:rsid w:val="002F47AC"/>
    <w:rsid w:val="002F4808"/>
    <w:rsid w:val="002F75B7"/>
    <w:rsid w:val="00301C19"/>
    <w:rsid w:val="00303031"/>
    <w:rsid w:val="00303ACB"/>
    <w:rsid w:val="00303C12"/>
    <w:rsid w:val="0030726F"/>
    <w:rsid w:val="00307411"/>
    <w:rsid w:val="00312DE1"/>
    <w:rsid w:val="00320AF7"/>
    <w:rsid w:val="00327A9C"/>
    <w:rsid w:val="003304CB"/>
    <w:rsid w:val="00335BE1"/>
    <w:rsid w:val="00340819"/>
    <w:rsid w:val="0034608D"/>
    <w:rsid w:val="00346F29"/>
    <w:rsid w:val="00347085"/>
    <w:rsid w:val="0035048D"/>
    <w:rsid w:val="0035057E"/>
    <w:rsid w:val="0035096B"/>
    <w:rsid w:val="00353609"/>
    <w:rsid w:val="003558EE"/>
    <w:rsid w:val="00355D4B"/>
    <w:rsid w:val="00356425"/>
    <w:rsid w:val="00362CC1"/>
    <w:rsid w:val="00362CE8"/>
    <w:rsid w:val="00362FC1"/>
    <w:rsid w:val="00364487"/>
    <w:rsid w:val="00366F9E"/>
    <w:rsid w:val="003726D2"/>
    <w:rsid w:val="003737F1"/>
    <w:rsid w:val="0037574A"/>
    <w:rsid w:val="00380BC8"/>
    <w:rsid w:val="00382E55"/>
    <w:rsid w:val="003877D2"/>
    <w:rsid w:val="00387BBD"/>
    <w:rsid w:val="00387E91"/>
    <w:rsid w:val="00390F13"/>
    <w:rsid w:val="0039187F"/>
    <w:rsid w:val="003919A6"/>
    <w:rsid w:val="003A19F4"/>
    <w:rsid w:val="003A3981"/>
    <w:rsid w:val="003A3CE8"/>
    <w:rsid w:val="003A4449"/>
    <w:rsid w:val="003A5EBC"/>
    <w:rsid w:val="003A751E"/>
    <w:rsid w:val="003B33E5"/>
    <w:rsid w:val="003C02F6"/>
    <w:rsid w:val="003C2BB5"/>
    <w:rsid w:val="003C37CD"/>
    <w:rsid w:val="003C51C2"/>
    <w:rsid w:val="003D016F"/>
    <w:rsid w:val="003D1A97"/>
    <w:rsid w:val="003D37CA"/>
    <w:rsid w:val="003D4B44"/>
    <w:rsid w:val="003D52F8"/>
    <w:rsid w:val="003D6810"/>
    <w:rsid w:val="003D6C63"/>
    <w:rsid w:val="003E051C"/>
    <w:rsid w:val="003E0AF2"/>
    <w:rsid w:val="003E103D"/>
    <w:rsid w:val="003E379D"/>
    <w:rsid w:val="003E68E1"/>
    <w:rsid w:val="003F2093"/>
    <w:rsid w:val="003F2C50"/>
    <w:rsid w:val="003F4234"/>
    <w:rsid w:val="003F704C"/>
    <w:rsid w:val="00400A71"/>
    <w:rsid w:val="0040116A"/>
    <w:rsid w:val="00402977"/>
    <w:rsid w:val="00406005"/>
    <w:rsid w:val="00406EF9"/>
    <w:rsid w:val="00407CB0"/>
    <w:rsid w:val="00413500"/>
    <w:rsid w:val="00413917"/>
    <w:rsid w:val="00417641"/>
    <w:rsid w:val="0042422C"/>
    <w:rsid w:val="00424362"/>
    <w:rsid w:val="004247F0"/>
    <w:rsid w:val="00426DFF"/>
    <w:rsid w:val="00427145"/>
    <w:rsid w:val="0043012F"/>
    <w:rsid w:val="004328D4"/>
    <w:rsid w:val="00433823"/>
    <w:rsid w:val="00434C83"/>
    <w:rsid w:val="00436BAD"/>
    <w:rsid w:val="00437A12"/>
    <w:rsid w:val="00440E4A"/>
    <w:rsid w:val="00441CC2"/>
    <w:rsid w:val="004427E6"/>
    <w:rsid w:val="00443206"/>
    <w:rsid w:val="00444D1B"/>
    <w:rsid w:val="0044619E"/>
    <w:rsid w:val="00447C9C"/>
    <w:rsid w:val="00447F65"/>
    <w:rsid w:val="00450C52"/>
    <w:rsid w:val="00452F3A"/>
    <w:rsid w:val="004533B6"/>
    <w:rsid w:val="004549EF"/>
    <w:rsid w:val="00457604"/>
    <w:rsid w:val="004579F7"/>
    <w:rsid w:val="004658B8"/>
    <w:rsid w:val="00466CCF"/>
    <w:rsid w:val="00467464"/>
    <w:rsid w:val="0047146A"/>
    <w:rsid w:val="00472440"/>
    <w:rsid w:val="00472896"/>
    <w:rsid w:val="0047311E"/>
    <w:rsid w:val="0047403F"/>
    <w:rsid w:val="004757F6"/>
    <w:rsid w:val="00477C80"/>
    <w:rsid w:val="00481A12"/>
    <w:rsid w:val="004838C5"/>
    <w:rsid w:val="00485236"/>
    <w:rsid w:val="00485AE8"/>
    <w:rsid w:val="00485D70"/>
    <w:rsid w:val="004865AC"/>
    <w:rsid w:val="004872E9"/>
    <w:rsid w:val="00487601"/>
    <w:rsid w:val="0048775D"/>
    <w:rsid w:val="00490108"/>
    <w:rsid w:val="00492351"/>
    <w:rsid w:val="0049239C"/>
    <w:rsid w:val="00493750"/>
    <w:rsid w:val="004942B4"/>
    <w:rsid w:val="004946F0"/>
    <w:rsid w:val="004949E6"/>
    <w:rsid w:val="00495C29"/>
    <w:rsid w:val="0049665F"/>
    <w:rsid w:val="00497FC5"/>
    <w:rsid w:val="004A1F4B"/>
    <w:rsid w:val="004A2234"/>
    <w:rsid w:val="004A4F97"/>
    <w:rsid w:val="004A687B"/>
    <w:rsid w:val="004A7C87"/>
    <w:rsid w:val="004B1340"/>
    <w:rsid w:val="004B3B4A"/>
    <w:rsid w:val="004B432B"/>
    <w:rsid w:val="004B5EDE"/>
    <w:rsid w:val="004C0C95"/>
    <w:rsid w:val="004C37C2"/>
    <w:rsid w:val="004C3ACB"/>
    <w:rsid w:val="004C61B6"/>
    <w:rsid w:val="004C7A52"/>
    <w:rsid w:val="004D1DB5"/>
    <w:rsid w:val="004D378B"/>
    <w:rsid w:val="004D3D57"/>
    <w:rsid w:val="004D5D23"/>
    <w:rsid w:val="004D5E47"/>
    <w:rsid w:val="004E2D61"/>
    <w:rsid w:val="004E4065"/>
    <w:rsid w:val="004E5702"/>
    <w:rsid w:val="004E5907"/>
    <w:rsid w:val="004E6C13"/>
    <w:rsid w:val="004E7192"/>
    <w:rsid w:val="004F698E"/>
    <w:rsid w:val="00502D75"/>
    <w:rsid w:val="00510528"/>
    <w:rsid w:val="00510613"/>
    <w:rsid w:val="00510EF2"/>
    <w:rsid w:val="00511DAF"/>
    <w:rsid w:val="005134E1"/>
    <w:rsid w:val="0052320E"/>
    <w:rsid w:val="005270D1"/>
    <w:rsid w:val="00527FC3"/>
    <w:rsid w:val="00531D06"/>
    <w:rsid w:val="00533B62"/>
    <w:rsid w:val="00533B68"/>
    <w:rsid w:val="00534329"/>
    <w:rsid w:val="005348C8"/>
    <w:rsid w:val="00534FA3"/>
    <w:rsid w:val="00534FB9"/>
    <w:rsid w:val="0053510A"/>
    <w:rsid w:val="00535B0F"/>
    <w:rsid w:val="00535CA6"/>
    <w:rsid w:val="00536D80"/>
    <w:rsid w:val="00542117"/>
    <w:rsid w:val="00542396"/>
    <w:rsid w:val="00542DBE"/>
    <w:rsid w:val="005464FC"/>
    <w:rsid w:val="00546C29"/>
    <w:rsid w:val="00552DCC"/>
    <w:rsid w:val="00561DA4"/>
    <w:rsid w:val="00565607"/>
    <w:rsid w:val="00565CF7"/>
    <w:rsid w:val="00566DC7"/>
    <w:rsid w:val="005677BB"/>
    <w:rsid w:val="005746D7"/>
    <w:rsid w:val="00575C5B"/>
    <w:rsid w:val="00576230"/>
    <w:rsid w:val="00582505"/>
    <w:rsid w:val="00582768"/>
    <w:rsid w:val="00584361"/>
    <w:rsid w:val="00585990"/>
    <w:rsid w:val="00585AF8"/>
    <w:rsid w:val="005864EC"/>
    <w:rsid w:val="00586693"/>
    <w:rsid w:val="00593FC1"/>
    <w:rsid w:val="005A2759"/>
    <w:rsid w:val="005A2A3A"/>
    <w:rsid w:val="005A3239"/>
    <w:rsid w:val="005A58D6"/>
    <w:rsid w:val="005B19C1"/>
    <w:rsid w:val="005B1D66"/>
    <w:rsid w:val="005B273D"/>
    <w:rsid w:val="005C3951"/>
    <w:rsid w:val="005C470B"/>
    <w:rsid w:val="005C4F1C"/>
    <w:rsid w:val="005C4F20"/>
    <w:rsid w:val="005D0513"/>
    <w:rsid w:val="005D106A"/>
    <w:rsid w:val="005D4616"/>
    <w:rsid w:val="005E1BC9"/>
    <w:rsid w:val="005E2255"/>
    <w:rsid w:val="005E5802"/>
    <w:rsid w:val="005E5CAC"/>
    <w:rsid w:val="005E6145"/>
    <w:rsid w:val="005E6872"/>
    <w:rsid w:val="005E700A"/>
    <w:rsid w:val="005F065B"/>
    <w:rsid w:val="005F3C52"/>
    <w:rsid w:val="005F51FE"/>
    <w:rsid w:val="005F5731"/>
    <w:rsid w:val="005F60CC"/>
    <w:rsid w:val="005F6F3C"/>
    <w:rsid w:val="00600F77"/>
    <w:rsid w:val="00601B51"/>
    <w:rsid w:val="006032BA"/>
    <w:rsid w:val="006058BE"/>
    <w:rsid w:val="00611946"/>
    <w:rsid w:val="006226B8"/>
    <w:rsid w:val="00622F17"/>
    <w:rsid w:val="00625AF2"/>
    <w:rsid w:val="00625EC2"/>
    <w:rsid w:val="0063102B"/>
    <w:rsid w:val="00634D24"/>
    <w:rsid w:val="00635218"/>
    <w:rsid w:val="006412AD"/>
    <w:rsid w:val="0064152B"/>
    <w:rsid w:val="00642A92"/>
    <w:rsid w:val="006435D0"/>
    <w:rsid w:val="006436DA"/>
    <w:rsid w:val="00650985"/>
    <w:rsid w:val="00651496"/>
    <w:rsid w:val="00651626"/>
    <w:rsid w:val="00655950"/>
    <w:rsid w:val="006574AE"/>
    <w:rsid w:val="00660C0F"/>
    <w:rsid w:val="00662891"/>
    <w:rsid w:val="00662DE2"/>
    <w:rsid w:val="00665643"/>
    <w:rsid w:val="00665935"/>
    <w:rsid w:val="00665A15"/>
    <w:rsid w:val="00665F85"/>
    <w:rsid w:val="0067295C"/>
    <w:rsid w:val="00674DEB"/>
    <w:rsid w:val="00674F6E"/>
    <w:rsid w:val="0067759A"/>
    <w:rsid w:val="00682B12"/>
    <w:rsid w:val="00683717"/>
    <w:rsid w:val="00687573"/>
    <w:rsid w:val="0069152D"/>
    <w:rsid w:val="00694EB6"/>
    <w:rsid w:val="00695905"/>
    <w:rsid w:val="006972D7"/>
    <w:rsid w:val="006A060B"/>
    <w:rsid w:val="006A161D"/>
    <w:rsid w:val="006A1711"/>
    <w:rsid w:val="006A249A"/>
    <w:rsid w:val="006A2EDB"/>
    <w:rsid w:val="006A3299"/>
    <w:rsid w:val="006A4AD1"/>
    <w:rsid w:val="006A6124"/>
    <w:rsid w:val="006A7EA7"/>
    <w:rsid w:val="006B1B32"/>
    <w:rsid w:val="006B4429"/>
    <w:rsid w:val="006B589D"/>
    <w:rsid w:val="006B600B"/>
    <w:rsid w:val="006B6447"/>
    <w:rsid w:val="006B79A0"/>
    <w:rsid w:val="006C36C5"/>
    <w:rsid w:val="006C3C32"/>
    <w:rsid w:val="006C5DCF"/>
    <w:rsid w:val="006C6388"/>
    <w:rsid w:val="006C6A2A"/>
    <w:rsid w:val="006C6B50"/>
    <w:rsid w:val="006C7271"/>
    <w:rsid w:val="006C743C"/>
    <w:rsid w:val="006D0E8D"/>
    <w:rsid w:val="006D314D"/>
    <w:rsid w:val="006D331A"/>
    <w:rsid w:val="006D71CA"/>
    <w:rsid w:val="006D7B01"/>
    <w:rsid w:val="006E615A"/>
    <w:rsid w:val="006E65A5"/>
    <w:rsid w:val="006E6EB2"/>
    <w:rsid w:val="006E787D"/>
    <w:rsid w:val="006F2E0D"/>
    <w:rsid w:val="006F35A4"/>
    <w:rsid w:val="00702D13"/>
    <w:rsid w:val="00703498"/>
    <w:rsid w:val="00703A26"/>
    <w:rsid w:val="00704A36"/>
    <w:rsid w:val="00706FE2"/>
    <w:rsid w:val="0071052D"/>
    <w:rsid w:val="00713398"/>
    <w:rsid w:val="00716A52"/>
    <w:rsid w:val="00717D8F"/>
    <w:rsid w:val="00724A8F"/>
    <w:rsid w:val="00730F7F"/>
    <w:rsid w:val="00733CEB"/>
    <w:rsid w:val="00743FF5"/>
    <w:rsid w:val="0074463A"/>
    <w:rsid w:val="007463AC"/>
    <w:rsid w:val="00747697"/>
    <w:rsid w:val="00747D2E"/>
    <w:rsid w:val="00750CCC"/>
    <w:rsid w:val="007521F3"/>
    <w:rsid w:val="0075273B"/>
    <w:rsid w:val="00754563"/>
    <w:rsid w:val="00754596"/>
    <w:rsid w:val="00761F53"/>
    <w:rsid w:val="007707C2"/>
    <w:rsid w:val="00772A63"/>
    <w:rsid w:val="00774167"/>
    <w:rsid w:val="00777EB7"/>
    <w:rsid w:val="007824AD"/>
    <w:rsid w:val="0078250F"/>
    <w:rsid w:val="00786EFE"/>
    <w:rsid w:val="007917DB"/>
    <w:rsid w:val="007920DF"/>
    <w:rsid w:val="0079603C"/>
    <w:rsid w:val="007A1134"/>
    <w:rsid w:val="007A14DF"/>
    <w:rsid w:val="007A1665"/>
    <w:rsid w:val="007A2043"/>
    <w:rsid w:val="007A288E"/>
    <w:rsid w:val="007A76E6"/>
    <w:rsid w:val="007B2D26"/>
    <w:rsid w:val="007B6B08"/>
    <w:rsid w:val="007B775E"/>
    <w:rsid w:val="007C0536"/>
    <w:rsid w:val="007C064D"/>
    <w:rsid w:val="007C06EA"/>
    <w:rsid w:val="007C33F0"/>
    <w:rsid w:val="007C67E5"/>
    <w:rsid w:val="007D0628"/>
    <w:rsid w:val="007D1935"/>
    <w:rsid w:val="007D7471"/>
    <w:rsid w:val="007D799B"/>
    <w:rsid w:val="007E233C"/>
    <w:rsid w:val="007E5A16"/>
    <w:rsid w:val="007F3DE9"/>
    <w:rsid w:val="007F6EC0"/>
    <w:rsid w:val="00800B6C"/>
    <w:rsid w:val="00803179"/>
    <w:rsid w:val="00810239"/>
    <w:rsid w:val="008148C1"/>
    <w:rsid w:val="00816E6B"/>
    <w:rsid w:val="0082079A"/>
    <w:rsid w:val="008207C7"/>
    <w:rsid w:val="008260F7"/>
    <w:rsid w:val="008271A1"/>
    <w:rsid w:val="008317CF"/>
    <w:rsid w:val="00832749"/>
    <w:rsid w:val="008328D3"/>
    <w:rsid w:val="0083573F"/>
    <w:rsid w:val="00835E93"/>
    <w:rsid w:val="008364D7"/>
    <w:rsid w:val="008416E0"/>
    <w:rsid w:val="008438DA"/>
    <w:rsid w:val="00844F69"/>
    <w:rsid w:val="00847CF4"/>
    <w:rsid w:val="008520AA"/>
    <w:rsid w:val="00852FDA"/>
    <w:rsid w:val="00853806"/>
    <w:rsid w:val="008546C9"/>
    <w:rsid w:val="008557B7"/>
    <w:rsid w:val="00860135"/>
    <w:rsid w:val="008604AF"/>
    <w:rsid w:val="00863D76"/>
    <w:rsid w:val="00864543"/>
    <w:rsid w:val="008660B0"/>
    <w:rsid w:val="0086789F"/>
    <w:rsid w:val="00874878"/>
    <w:rsid w:val="00875866"/>
    <w:rsid w:val="0087779C"/>
    <w:rsid w:val="00881BF6"/>
    <w:rsid w:val="00882213"/>
    <w:rsid w:val="00885AB1"/>
    <w:rsid w:val="00887B5D"/>
    <w:rsid w:val="00891A2E"/>
    <w:rsid w:val="0089699F"/>
    <w:rsid w:val="0089787D"/>
    <w:rsid w:val="008A048F"/>
    <w:rsid w:val="008A415F"/>
    <w:rsid w:val="008A46AD"/>
    <w:rsid w:val="008A56A7"/>
    <w:rsid w:val="008A75D4"/>
    <w:rsid w:val="008B0945"/>
    <w:rsid w:val="008B138F"/>
    <w:rsid w:val="008B6677"/>
    <w:rsid w:val="008C01A4"/>
    <w:rsid w:val="008C2D30"/>
    <w:rsid w:val="008C3661"/>
    <w:rsid w:val="008C46DC"/>
    <w:rsid w:val="008C532B"/>
    <w:rsid w:val="008C6B66"/>
    <w:rsid w:val="008C6DA9"/>
    <w:rsid w:val="008D1593"/>
    <w:rsid w:val="008D2020"/>
    <w:rsid w:val="008D40CB"/>
    <w:rsid w:val="008D69E7"/>
    <w:rsid w:val="008E7EFF"/>
    <w:rsid w:val="008F0F2F"/>
    <w:rsid w:val="008F41BA"/>
    <w:rsid w:val="008F41C6"/>
    <w:rsid w:val="008F4511"/>
    <w:rsid w:val="008F4868"/>
    <w:rsid w:val="008F5591"/>
    <w:rsid w:val="00901EA7"/>
    <w:rsid w:val="00902194"/>
    <w:rsid w:val="009021B1"/>
    <w:rsid w:val="009021EF"/>
    <w:rsid w:val="00905AFF"/>
    <w:rsid w:val="00912C3D"/>
    <w:rsid w:val="009134F9"/>
    <w:rsid w:val="00913A46"/>
    <w:rsid w:val="00913B33"/>
    <w:rsid w:val="009142C4"/>
    <w:rsid w:val="00920C47"/>
    <w:rsid w:val="009244D6"/>
    <w:rsid w:val="009245D2"/>
    <w:rsid w:val="0093172D"/>
    <w:rsid w:val="0093224C"/>
    <w:rsid w:val="00933A6A"/>
    <w:rsid w:val="00936242"/>
    <w:rsid w:val="00943EA3"/>
    <w:rsid w:val="00944533"/>
    <w:rsid w:val="00945652"/>
    <w:rsid w:val="009478A9"/>
    <w:rsid w:val="009506B3"/>
    <w:rsid w:val="00950C25"/>
    <w:rsid w:val="00950D8C"/>
    <w:rsid w:val="009531F8"/>
    <w:rsid w:val="00953858"/>
    <w:rsid w:val="00961045"/>
    <w:rsid w:val="00961520"/>
    <w:rsid w:val="0096272E"/>
    <w:rsid w:val="00962960"/>
    <w:rsid w:val="00963E8B"/>
    <w:rsid w:val="00966C05"/>
    <w:rsid w:val="00966EFA"/>
    <w:rsid w:val="00967D29"/>
    <w:rsid w:val="009704C8"/>
    <w:rsid w:val="0097527F"/>
    <w:rsid w:val="009802F9"/>
    <w:rsid w:val="00981A16"/>
    <w:rsid w:val="009820C0"/>
    <w:rsid w:val="009824D1"/>
    <w:rsid w:val="00982D82"/>
    <w:rsid w:val="00983CCE"/>
    <w:rsid w:val="009844BB"/>
    <w:rsid w:val="009849BB"/>
    <w:rsid w:val="009879AA"/>
    <w:rsid w:val="00990FBD"/>
    <w:rsid w:val="00994710"/>
    <w:rsid w:val="00995325"/>
    <w:rsid w:val="00996E8F"/>
    <w:rsid w:val="009977C9"/>
    <w:rsid w:val="00997D37"/>
    <w:rsid w:val="009A445E"/>
    <w:rsid w:val="009B23EC"/>
    <w:rsid w:val="009B38E3"/>
    <w:rsid w:val="009B5F40"/>
    <w:rsid w:val="009B65FA"/>
    <w:rsid w:val="009B7F2C"/>
    <w:rsid w:val="009C0E99"/>
    <w:rsid w:val="009C46DF"/>
    <w:rsid w:val="009C4976"/>
    <w:rsid w:val="009C4EEB"/>
    <w:rsid w:val="009C796C"/>
    <w:rsid w:val="009D0595"/>
    <w:rsid w:val="009D06D0"/>
    <w:rsid w:val="009D1F54"/>
    <w:rsid w:val="009D2095"/>
    <w:rsid w:val="009D2DD5"/>
    <w:rsid w:val="009D5964"/>
    <w:rsid w:val="009D73B1"/>
    <w:rsid w:val="009E0398"/>
    <w:rsid w:val="009E16B2"/>
    <w:rsid w:val="009E3D9B"/>
    <w:rsid w:val="009E4C60"/>
    <w:rsid w:val="009E5B61"/>
    <w:rsid w:val="009E67D7"/>
    <w:rsid w:val="009F0856"/>
    <w:rsid w:val="009F656B"/>
    <w:rsid w:val="00A010D9"/>
    <w:rsid w:val="00A019B4"/>
    <w:rsid w:val="00A021ED"/>
    <w:rsid w:val="00A04277"/>
    <w:rsid w:val="00A04D68"/>
    <w:rsid w:val="00A05491"/>
    <w:rsid w:val="00A068A1"/>
    <w:rsid w:val="00A177A0"/>
    <w:rsid w:val="00A17DCB"/>
    <w:rsid w:val="00A23EC8"/>
    <w:rsid w:val="00A27E60"/>
    <w:rsid w:val="00A339C8"/>
    <w:rsid w:val="00A424A2"/>
    <w:rsid w:val="00A42640"/>
    <w:rsid w:val="00A47143"/>
    <w:rsid w:val="00A51DE1"/>
    <w:rsid w:val="00A6039F"/>
    <w:rsid w:val="00A65B03"/>
    <w:rsid w:val="00A67AA7"/>
    <w:rsid w:val="00A70B4C"/>
    <w:rsid w:val="00A72925"/>
    <w:rsid w:val="00A76F98"/>
    <w:rsid w:val="00A83B72"/>
    <w:rsid w:val="00A906E5"/>
    <w:rsid w:val="00A934FD"/>
    <w:rsid w:val="00A93A5F"/>
    <w:rsid w:val="00A94878"/>
    <w:rsid w:val="00AA143A"/>
    <w:rsid w:val="00AA3CFC"/>
    <w:rsid w:val="00AA7623"/>
    <w:rsid w:val="00AB1FFD"/>
    <w:rsid w:val="00AB208F"/>
    <w:rsid w:val="00AB306C"/>
    <w:rsid w:val="00AB4191"/>
    <w:rsid w:val="00AB46EC"/>
    <w:rsid w:val="00AB626D"/>
    <w:rsid w:val="00AC29D1"/>
    <w:rsid w:val="00AC42E3"/>
    <w:rsid w:val="00AC7329"/>
    <w:rsid w:val="00AC7F9F"/>
    <w:rsid w:val="00AD1AE2"/>
    <w:rsid w:val="00AD2E2D"/>
    <w:rsid w:val="00AD7117"/>
    <w:rsid w:val="00AD75EE"/>
    <w:rsid w:val="00AE1AFB"/>
    <w:rsid w:val="00AE1F78"/>
    <w:rsid w:val="00AE2E14"/>
    <w:rsid w:val="00AE3624"/>
    <w:rsid w:val="00AE4483"/>
    <w:rsid w:val="00AE6820"/>
    <w:rsid w:val="00AE71F3"/>
    <w:rsid w:val="00AF0A95"/>
    <w:rsid w:val="00AF1254"/>
    <w:rsid w:val="00AF545B"/>
    <w:rsid w:val="00AF5518"/>
    <w:rsid w:val="00B0071A"/>
    <w:rsid w:val="00B0270B"/>
    <w:rsid w:val="00B07C6C"/>
    <w:rsid w:val="00B07E1F"/>
    <w:rsid w:val="00B10F86"/>
    <w:rsid w:val="00B11746"/>
    <w:rsid w:val="00B1383D"/>
    <w:rsid w:val="00B15A09"/>
    <w:rsid w:val="00B1754C"/>
    <w:rsid w:val="00B1772D"/>
    <w:rsid w:val="00B20AEC"/>
    <w:rsid w:val="00B20B9D"/>
    <w:rsid w:val="00B2308F"/>
    <w:rsid w:val="00B23827"/>
    <w:rsid w:val="00B24559"/>
    <w:rsid w:val="00B25828"/>
    <w:rsid w:val="00B270AA"/>
    <w:rsid w:val="00B27297"/>
    <w:rsid w:val="00B30DD1"/>
    <w:rsid w:val="00B34344"/>
    <w:rsid w:val="00B36038"/>
    <w:rsid w:val="00B40554"/>
    <w:rsid w:val="00B41681"/>
    <w:rsid w:val="00B41BD6"/>
    <w:rsid w:val="00B438D1"/>
    <w:rsid w:val="00B45B6D"/>
    <w:rsid w:val="00B50345"/>
    <w:rsid w:val="00B50C5A"/>
    <w:rsid w:val="00B51222"/>
    <w:rsid w:val="00B51C10"/>
    <w:rsid w:val="00B5258B"/>
    <w:rsid w:val="00B55470"/>
    <w:rsid w:val="00B61C15"/>
    <w:rsid w:val="00B62C8B"/>
    <w:rsid w:val="00B6332D"/>
    <w:rsid w:val="00B63980"/>
    <w:rsid w:val="00B67AA3"/>
    <w:rsid w:val="00B701BF"/>
    <w:rsid w:val="00B706BA"/>
    <w:rsid w:val="00B70FEB"/>
    <w:rsid w:val="00B71BE7"/>
    <w:rsid w:val="00B71FF8"/>
    <w:rsid w:val="00B7498E"/>
    <w:rsid w:val="00B755E0"/>
    <w:rsid w:val="00B75AE7"/>
    <w:rsid w:val="00B80047"/>
    <w:rsid w:val="00B802F8"/>
    <w:rsid w:val="00B80E4F"/>
    <w:rsid w:val="00B84C06"/>
    <w:rsid w:val="00B8579F"/>
    <w:rsid w:val="00B85DA0"/>
    <w:rsid w:val="00B9049E"/>
    <w:rsid w:val="00B93FA8"/>
    <w:rsid w:val="00B9446C"/>
    <w:rsid w:val="00B967EE"/>
    <w:rsid w:val="00B97B8E"/>
    <w:rsid w:val="00BA13E6"/>
    <w:rsid w:val="00BA22A2"/>
    <w:rsid w:val="00BA3D05"/>
    <w:rsid w:val="00BA4F3D"/>
    <w:rsid w:val="00BA5EEE"/>
    <w:rsid w:val="00BA669D"/>
    <w:rsid w:val="00BA7062"/>
    <w:rsid w:val="00BB13AE"/>
    <w:rsid w:val="00BB22A7"/>
    <w:rsid w:val="00BB68A3"/>
    <w:rsid w:val="00BC12AA"/>
    <w:rsid w:val="00BC1ED5"/>
    <w:rsid w:val="00BC31A0"/>
    <w:rsid w:val="00BC550D"/>
    <w:rsid w:val="00BC6DC1"/>
    <w:rsid w:val="00BC7FB2"/>
    <w:rsid w:val="00BC7FE1"/>
    <w:rsid w:val="00BD37E0"/>
    <w:rsid w:val="00BD78A9"/>
    <w:rsid w:val="00BE0516"/>
    <w:rsid w:val="00BE241B"/>
    <w:rsid w:val="00BE3767"/>
    <w:rsid w:val="00BE54D8"/>
    <w:rsid w:val="00BE6106"/>
    <w:rsid w:val="00BF0E19"/>
    <w:rsid w:val="00BF14F9"/>
    <w:rsid w:val="00BF2244"/>
    <w:rsid w:val="00BF2938"/>
    <w:rsid w:val="00BF440C"/>
    <w:rsid w:val="00BF5E23"/>
    <w:rsid w:val="00BF6383"/>
    <w:rsid w:val="00BF7D01"/>
    <w:rsid w:val="00C014CC"/>
    <w:rsid w:val="00C03281"/>
    <w:rsid w:val="00C03D39"/>
    <w:rsid w:val="00C0454B"/>
    <w:rsid w:val="00C054DF"/>
    <w:rsid w:val="00C07F0F"/>
    <w:rsid w:val="00C12F00"/>
    <w:rsid w:val="00C1557A"/>
    <w:rsid w:val="00C20EFE"/>
    <w:rsid w:val="00C2174D"/>
    <w:rsid w:val="00C225A3"/>
    <w:rsid w:val="00C2501F"/>
    <w:rsid w:val="00C27FF4"/>
    <w:rsid w:val="00C31A6F"/>
    <w:rsid w:val="00C33D16"/>
    <w:rsid w:val="00C35A06"/>
    <w:rsid w:val="00C35CF0"/>
    <w:rsid w:val="00C40AFE"/>
    <w:rsid w:val="00C42338"/>
    <w:rsid w:val="00C42403"/>
    <w:rsid w:val="00C43AD5"/>
    <w:rsid w:val="00C45459"/>
    <w:rsid w:val="00C52A30"/>
    <w:rsid w:val="00C579E2"/>
    <w:rsid w:val="00C60889"/>
    <w:rsid w:val="00C60E36"/>
    <w:rsid w:val="00C6206B"/>
    <w:rsid w:val="00C647E1"/>
    <w:rsid w:val="00C65A7D"/>
    <w:rsid w:val="00C66E5E"/>
    <w:rsid w:val="00C71EBB"/>
    <w:rsid w:val="00C7264D"/>
    <w:rsid w:val="00C72E08"/>
    <w:rsid w:val="00C75C22"/>
    <w:rsid w:val="00C76D3E"/>
    <w:rsid w:val="00C808B1"/>
    <w:rsid w:val="00C81BD6"/>
    <w:rsid w:val="00C835EB"/>
    <w:rsid w:val="00C83B1D"/>
    <w:rsid w:val="00C84206"/>
    <w:rsid w:val="00C85B29"/>
    <w:rsid w:val="00C86462"/>
    <w:rsid w:val="00C918C0"/>
    <w:rsid w:val="00C92263"/>
    <w:rsid w:val="00C929DB"/>
    <w:rsid w:val="00C95728"/>
    <w:rsid w:val="00C95F01"/>
    <w:rsid w:val="00C96E97"/>
    <w:rsid w:val="00CA1E69"/>
    <w:rsid w:val="00CA2734"/>
    <w:rsid w:val="00CA6256"/>
    <w:rsid w:val="00CA71E6"/>
    <w:rsid w:val="00CA782C"/>
    <w:rsid w:val="00CA7B52"/>
    <w:rsid w:val="00CB20D6"/>
    <w:rsid w:val="00CB223B"/>
    <w:rsid w:val="00CB289A"/>
    <w:rsid w:val="00CB4F6E"/>
    <w:rsid w:val="00CC7F8F"/>
    <w:rsid w:val="00CD102A"/>
    <w:rsid w:val="00CD219A"/>
    <w:rsid w:val="00CD30AF"/>
    <w:rsid w:val="00CD521A"/>
    <w:rsid w:val="00CD58DC"/>
    <w:rsid w:val="00CD59AB"/>
    <w:rsid w:val="00CD6102"/>
    <w:rsid w:val="00CD770F"/>
    <w:rsid w:val="00CD776D"/>
    <w:rsid w:val="00CE0218"/>
    <w:rsid w:val="00CE5124"/>
    <w:rsid w:val="00CF24F4"/>
    <w:rsid w:val="00CF3FC4"/>
    <w:rsid w:val="00CF6A31"/>
    <w:rsid w:val="00CF756D"/>
    <w:rsid w:val="00CF7C7E"/>
    <w:rsid w:val="00D00F9C"/>
    <w:rsid w:val="00D01907"/>
    <w:rsid w:val="00D04761"/>
    <w:rsid w:val="00D05832"/>
    <w:rsid w:val="00D066C7"/>
    <w:rsid w:val="00D066D7"/>
    <w:rsid w:val="00D077A0"/>
    <w:rsid w:val="00D127DD"/>
    <w:rsid w:val="00D13291"/>
    <w:rsid w:val="00D13333"/>
    <w:rsid w:val="00D13EDC"/>
    <w:rsid w:val="00D2023B"/>
    <w:rsid w:val="00D2058A"/>
    <w:rsid w:val="00D211E2"/>
    <w:rsid w:val="00D213C7"/>
    <w:rsid w:val="00D21975"/>
    <w:rsid w:val="00D21B7C"/>
    <w:rsid w:val="00D21C54"/>
    <w:rsid w:val="00D271A9"/>
    <w:rsid w:val="00D31BA6"/>
    <w:rsid w:val="00D3593A"/>
    <w:rsid w:val="00D3793A"/>
    <w:rsid w:val="00D40719"/>
    <w:rsid w:val="00D44B2E"/>
    <w:rsid w:val="00D4510D"/>
    <w:rsid w:val="00D5330A"/>
    <w:rsid w:val="00D53BA4"/>
    <w:rsid w:val="00D55D11"/>
    <w:rsid w:val="00D6122E"/>
    <w:rsid w:val="00D712F3"/>
    <w:rsid w:val="00D7261C"/>
    <w:rsid w:val="00D76421"/>
    <w:rsid w:val="00D76E12"/>
    <w:rsid w:val="00D800BA"/>
    <w:rsid w:val="00D81414"/>
    <w:rsid w:val="00D81CC1"/>
    <w:rsid w:val="00D81F23"/>
    <w:rsid w:val="00D8350A"/>
    <w:rsid w:val="00D83FC5"/>
    <w:rsid w:val="00D85FE0"/>
    <w:rsid w:val="00D92C70"/>
    <w:rsid w:val="00D939AD"/>
    <w:rsid w:val="00D94091"/>
    <w:rsid w:val="00D94D0E"/>
    <w:rsid w:val="00DA22A5"/>
    <w:rsid w:val="00DA5ACD"/>
    <w:rsid w:val="00DA6B18"/>
    <w:rsid w:val="00DB40BE"/>
    <w:rsid w:val="00DB5BEA"/>
    <w:rsid w:val="00DB774B"/>
    <w:rsid w:val="00DC04D6"/>
    <w:rsid w:val="00DC0F75"/>
    <w:rsid w:val="00DC11FB"/>
    <w:rsid w:val="00DC3AFD"/>
    <w:rsid w:val="00DC42F2"/>
    <w:rsid w:val="00DC644B"/>
    <w:rsid w:val="00DC6B24"/>
    <w:rsid w:val="00DD2329"/>
    <w:rsid w:val="00DD43F8"/>
    <w:rsid w:val="00DD4C2A"/>
    <w:rsid w:val="00DD51BA"/>
    <w:rsid w:val="00DE0DC5"/>
    <w:rsid w:val="00DE752B"/>
    <w:rsid w:val="00DE7789"/>
    <w:rsid w:val="00DF2210"/>
    <w:rsid w:val="00DF4176"/>
    <w:rsid w:val="00DF565C"/>
    <w:rsid w:val="00DF5DE7"/>
    <w:rsid w:val="00DF67D7"/>
    <w:rsid w:val="00DF6CEB"/>
    <w:rsid w:val="00DF75D3"/>
    <w:rsid w:val="00DF7FA7"/>
    <w:rsid w:val="00E052B9"/>
    <w:rsid w:val="00E250EF"/>
    <w:rsid w:val="00E3031D"/>
    <w:rsid w:val="00E326B9"/>
    <w:rsid w:val="00E33F4B"/>
    <w:rsid w:val="00E3783E"/>
    <w:rsid w:val="00E4056B"/>
    <w:rsid w:val="00E40696"/>
    <w:rsid w:val="00E4094E"/>
    <w:rsid w:val="00E44D84"/>
    <w:rsid w:val="00E4557C"/>
    <w:rsid w:val="00E4578A"/>
    <w:rsid w:val="00E45E12"/>
    <w:rsid w:val="00E46ED0"/>
    <w:rsid w:val="00E53BE1"/>
    <w:rsid w:val="00E541C8"/>
    <w:rsid w:val="00E54DC7"/>
    <w:rsid w:val="00E56074"/>
    <w:rsid w:val="00E57570"/>
    <w:rsid w:val="00E57881"/>
    <w:rsid w:val="00E616E5"/>
    <w:rsid w:val="00E61C74"/>
    <w:rsid w:val="00E63303"/>
    <w:rsid w:val="00E64755"/>
    <w:rsid w:val="00E74785"/>
    <w:rsid w:val="00E7522C"/>
    <w:rsid w:val="00E76458"/>
    <w:rsid w:val="00E76768"/>
    <w:rsid w:val="00E8494B"/>
    <w:rsid w:val="00E85484"/>
    <w:rsid w:val="00E863E7"/>
    <w:rsid w:val="00E91AD9"/>
    <w:rsid w:val="00E94B0D"/>
    <w:rsid w:val="00EA0CE9"/>
    <w:rsid w:val="00EA31A3"/>
    <w:rsid w:val="00EA7850"/>
    <w:rsid w:val="00EB1B57"/>
    <w:rsid w:val="00EB5DE9"/>
    <w:rsid w:val="00EB7905"/>
    <w:rsid w:val="00EC0E71"/>
    <w:rsid w:val="00ED0669"/>
    <w:rsid w:val="00ED0787"/>
    <w:rsid w:val="00ED7AB6"/>
    <w:rsid w:val="00EE25B1"/>
    <w:rsid w:val="00EE3F9B"/>
    <w:rsid w:val="00EE4DA7"/>
    <w:rsid w:val="00EE5CA4"/>
    <w:rsid w:val="00EE6C05"/>
    <w:rsid w:val="00EE7350"/>
    <w:rsid w:val="00EE7D44"/>
    <w:rsid w:val="00EF0251"/>
    <w:rsid w:val="00EF2376"/>
    <w:rsid w:val="00EF3585"/>
    <w:rsid w:val="00EF4AFA"/>
    <w:rsid w:val="00F013FA"/>
    <w:rsid w:val="00F03A8E"/>
    <w:rsid w:val="00F04002"/>
    <w:rsid w:val="00F05D68"/>
    <w:rsid w:val="00F108FD"/>
    <w:rsid w:val="00F11442"/>
    <w:rsid w:val="00F15236"/>
    <w:rsid w:val="00F15393"/>
    <w:rsid w:val="00F15FAD"/>
    <w:rsid w:val="00F20401"/>
    <w:rsid w:val="00F20F75"/>
    <w:rsid w:val="00F22711"/>
    <w:rsid w:val="00F25025"/>
    <w:rsid w:val="00F25115"/>
    <w:rsid w:val="00F26510"/>
    <w:rsid w:val="00F315A7"/>
    <w:rsid w:val="00F31E62"/>
    <w:rsid w:val="00F31FBF"/>
    <w:rsid w:val="00F322C2"/>
    <w:rsid w:val="00F327D2"/>
    <w:rsid w:val="00F32C2E"/>
    <w:rsid w:val="00F333A3"/>
    <w:rsid w:val="00F34D5F"/>
    <w:rsid w:val="00F3734E"/>
    <w:rsid w:val="00F375B3"/>
    <w:rsid w:val="00F37A72"/>
    <w:rsid w:val="00F446F9"/>
    <w:rsid w:val="00F46B72"/>
    <w:rsid w:val="00F56657"/>
    <w:rsid w:val="00F57240"/>
    <w:rsid w:val="00F60468"/>
    <w:rsid w:val="00F63122"/>
    <w:rsid w:val="00F6414A"/>
    <w:rsid w:val="00F66526"/>
    <w:rsid w:val="00F66627"/>
    <w:rsid w:val="00F671EF"/>
    <w:rsid w:val="00F67261"/>
    <w:rsid w:val="00F67896"/>
    <w:rsid w:val="00F72A3C"/>
    <w:rsid w:val="00F72C5E"/>
    <w:rsid w:val="00F73215"/>
    <w:rsid w:val="00F75DDD"/>
    <w:rsid w:val="00F81CCE"/>
    <w:rsid w:val="00F832ED"/>
    <w:rsid w:val="00F86080"/>
    <w:rsid w:val="00F8696B"/>
    <w:rsid w:val="00F87FAB"/>
    <w:rsid w:val="00F96EF8"/>
    <w:rsid w:val="00F970A4"/>
    <w:rsid w:val="00FA46A9"/>
    <w:rsid w:val="00FA59EA"/>
    <w:rsid w:val="00FA7E41"/>
    <w:rsid w:val="00FB02EA"/>
    <w:rsid w:val="00FB08F0"/>
    <w:rsid w:val="00FB124F"/>
    <w:rsid w:val="00FB5AA5"/>
    <w:rsid w:val="00FB64AF"/>
    <w:rsid w:val="00FB6760"/>
    <w:rsid w:val="00FC3FC3"/>
    <w:rsid w:val="00FC5364"/>
    <w:rsid w:val="00FC625F"/>
    <w:rsid w:val="00FC69A2"/>
    <w:rsid w:val="00FD3D4B"/>
    <w:rsid w:val="00FD466B"/>
    <w:rsid w:val="00FD51B6"/>
    <w:rsid w:val="00FD7839"/>
    <w:rsid w:val="00FE16E4"/>
    <w:rsid w:val="00FE17A5"/>
    <w:rsid w:val="00FE1BC7"/>
    <w:rsid w:val="00FE6AAF"/>
    <w:rsid w:val="00FE7767"/>
    <w:rsid w:val="00FF0E5D"/>
    <w:rsid w:val="00FF0F8B"/>
    <w:rsid w:val="00FF21A9"/>
    <w:rsid w:val="00FF69A4"/>
    <w:rsid w:val="00FF730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8D1"/>
    <w:pPr>
      <w:spacing w:line="276" w:lineRule="auto" w:before="0" w:after="200"/>
      <w:jc w:val="both"/>
    </w:pPr>
    <w:rPr>
      <w:rFonts w:ascii="Times New Roman" w:eastAsia="Times New Roman" w:hAnsi="Times New Roman" w:cs="Calibri"/>
      <w:b w:val="0"/>
      <w:i w:val="0"/>
      <w:sz w:val="24"/>
    </w:rPr>
  </w:style>
  <w:style w:type="paragraph" w:styleId="Heading1">
    <w:name w:val="heading 1"/>
    <w:basedOn w:val="Normal"/>
    <w:next w:val="Normal"/>
    <w:link w:val="Heading1Char"/>
    <w:uiPriority w:val="9"/>
    <w:qFormat/>
    <w:rsid w:val="00A42640"/>
    <w:pPr>
      <w:keepNext/>
      <w:keepLines/>
      <w:spacing w:before="240" w:line="240" w:lineRule="auto" w:after="120"/>
      <w:jc w:val="left"/>
      <w:outlineLvl w:val="0"/>
    </w:pPr>
    <w:rPr>
      <w:rFonts w:asciiTheme="majorHAnsi" w:eastAsiaTheme="majorEastAsia" w:hAnsiTheme="majorHAnsi" w:cstheme="majorBidi" w:ascii="Times New Roman" w:hAnsi="Times New Roman" w:eastAsia="Times New Roman"/>
      <w:b/>
      <w:color w:val="000000"/>
      <w:sz w:val="32"/>
      <w:szCs w:val="32"/>
    </w:rPr>
  </w:style>
  <w:style w:type="paragraph" w:styleId="Heading2">
    <w:name w:val="heading 2"/>
    <w:basedOn w:val="Normal"/>
    <w:next w:val="Normal"/>
    <w:link w:val="Heading2Char"/>
    <w:uiPriority w:val="9"/>
    <w:unhideWhenUsed/>
    <w:qFormat/>
    <w:rsid w:val="00D5330A"/>
    <w:pPr>
      <w:keepNext/>
      <w:keepLines/>
      <w:spacing w:before="160" w:line="240" w:lineRule="auto" w:after="120"/>
      <w:jc w:val="left"/>
      <w:outlineLvl w:val="1"/>
    </w:pPr>
    <w:rPr>
      <w:rFonts w:asciiTheme="majorHAnsi" w:eastAsiaTheme="majorEastAsia" w:hAnsiTheme="majorHAnsi" w:cstheme="majorBidi" w:ascii="Times New Roman" w:hAnsi="Times New Roman" w:eastAsia="Times New Roman"/>
      <w:b/>
      <w:color w:val="000000"/>
      <w:sz w:val="26"/>
      <w:szCs w:val="26"/>
    </w:rPr>
  </w:style>
  <w:style w:type="paragraph" w:styleId="Heading3">
    <w:name w:val="heading 3"/>
    <w:basedOn w:val="Normal"/>
    <w:next w:val="Normal"/>
    <w:link w:val="Heading3Char"/>
    <w:uiPriority w:val="9"/>
    <w:unhideWhenUsed/>
    <w:qFormat/>
    <w:rsid w:val="00037299"/>
    <w:pPr>
      <w:keepNext/>
      <w:keepLines/>
      <w:spacing w:before="160" w:after="120" w:line="240" w:lineRule="auto"/>
      <w:jc w:val="left"/>
      <w:outlineLvl w:val="2"/>
    </w:pPr>
    <w:rPr>
      <w:rFonts w:asciiTheme="majorHAnsi" w:eastAsiaTheme="majorEastAsia" w:hAnsiTheme="majorHAnsi" w:cstheme="majorBidi" w:ascii="Times New Roman" w:hAnsi="Times New Roman" w:eastAsia="Times New Roman"/>
      <w:b/>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38D1"/>
    <w:pPr>
      <w:spacing w:line="276" w:lineRule="auto" w:before="0" w:after="200"/>
      <w:jc w:val="both"/>
    </w:pPr>
    <w:rPr>
      <w:rFonts w:ascii="Times New Roman" w:hAnsi="Times New Roman" w:eastAsia="Times New Roman"/>
      <w:b w:val="0"/>
      <w:bCs/>
      <w:i w:val="0"/>
      <w:sz w:val="24"/>
      <w:szCs w:val="24"/>
    </w:rPr>
  </w:style>
  <w:style w:type="paragraph" w:styleId="ListParagraph">
    <w:name w:val="List Paragraph"/>
    <w:basedOn w:val="Normal"/>
    <w:uiPriority w:val="34"/>
    <w:qFormat/>
    <w:rsid w:val="00B438D1"/>
  </w:style>
  <w:style w:type="paragraph" w:customStyle="1" w:styleId="TableParagraph">
    <w:name w:val="Table Paragraph"/>
    <w:basedOn w:val="Normal"/>
    <w:uiPriority w:val="1"/>
    <w:qFormat/>
    <w:rsid w:val="00B438D1"/>
  </w:style>
  <w:style w:type="paragraph" w:styleId="Header">
    <w:name w:val="header"/>
    <w:basedOn w:val="Normal"/>
    <w:link w:val="HeaderChar"/>
    <w:uiPriority w:val="99"/>
    <w:unhideWhenUsed/>
    <w:rsid w:val="00BC6DC1"/>
    <w:pPr>
      <w:tabs>
        <w:tab w:val="center" w:pos="4680"/>
        <w:tab w:val="right" w:pos="9360"/>
      </w:tabs>
    </w:pPr>
  </w:style>
  <w:style w:type="character" w:customStyle="1" w:styleId="HeaderChar">
    <w:name w:val="Header Char"/>
    <w:basedOn w:val="DefaultParagraphFont"/>
    <w:link w:val="Header"/>
    <w:uiPriority w:val="99"/>
    <w:rsid w:val="00BC6DC1"/>
    <w:rPr>
      <w:rFonts w:ascii="Calibri" w:eastAsia="Calibri" w:hAnsi="Calibri" w:cs="Calibri"/>
    </w:rPr>
  </w:style>
  <w:style w:type="paragraph" w:styleId="Footer">
    <w:name w:val="footer"/>
    <w:basedOn w:val="Normal"/>
    <w:link w:val="FooterChar"/>
    <w:uiPriority w:val="99"/>
    <w:unhideWhenUsed/>
    <w:rsid w:val="00BC6DC1"/>
    <w:pPr>
      <w:tabs>
        <w:tab w:val="center" w:pos="4680"/>
        <w:tab w:val="right" w:pos="9360"/>
      </w:tabs>
    </w:pPr>
  </w:style>
  <w:style w:type="character" w:customStyle="1" w:styleId="FooterChar">
    <w:name w:val="Footer Char"/>
    <w:basedOn w:val="DefaultParagraphFont"/>
    <w:link w:val="Footer"/>
    <w:uiPriority w:val="99"/>
    <w:rsid w:val="00BC6DC1"/>
    <w:rPr>
      <w:rFonts w:ascii="Calibri" w:eastAsia="Calibri" w:hAnsi="Calibri" w:cs="Calibri"/>
    </w:rPr>
  </w:style>
  <w:style w:type="paragraph" w:styleId="Title">
    <w:name w:val="Title"/>
    <w:basedOn w:val="Normal"/>
    <w:link w:val="TitleChar"/>
    <w:uiPriority w:val="10"/>
    <w:qFormat/>
    <w:rsid w:val="004946F0"/>
    <w:pPr>
      <w:spacing w:before="38"/>
      <w:ind w:left="2893" w:right="2889"/>
      <w:jc w:val="center"/>
    </w:pPr>
    <w:rPr>
      <w:b/>
      <w:bCs/>
      <w:sz w:val="31"/>
      <w:szCs w:val="31"/>
      <w:lang w:val="hr-HR"/>
    </w:rPr>
  </w:style>
  <w:style w:type="character" w:customStyle="1" w:styleId="TitleChar">
    <w:name w:val="Title Char"/>
    <w:basedOn w:val="DefaultParagraphFont"/>
    <w:link w:val="Title"/>
    <w:uiPriority w:val="10"/>
    <w:rsid w:val="004946F0"/>
    <w:rPr>
      <w:rFonts w:ascii="Calibri" w:eastAsia="Calibri" w:hAnsi="Calibri" w:cs="Calibri"/>
      <w:b/>
      <w:bCs/>
      <w:sz w:val="31"/>
      <w:szCs w:val="31"/>
      <w:lang w:val="hr-HR"/>
    </w:rPr>
  </w:style>
  <w:style w:type="character" w:customStyle="1" w:styleId="Heading1Char">
    <w:name w:val="Heading 1 Char"/>
    <w:basedOn w:val="DefaultParagraphFont"/>
    <w:link w:val="Heading1"/>
    <w:uiPriority w:val="9"/>
    <w:rsid w:val="00A4264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42640"/>
    <w:pPr>
      <w:widowControl/>
      <w:autoSpaceDE/>
      <w:autoSpaceDN/>
      <w:spacing w:line="259" w:lineRule="auto"/>
      <w:outlineLvl w:val="9"/>
    </w:pPr>
  </w:style>
  <w:style w:type="paragraph" w:styleId="TOC1">
    <w:name w:val="toc 1"/>
    <w:basedOn w:val="Normal"/>
    <w:next w:val="Normal"/>
    <w:autoRedefine/>
    <w:uiPriority w:val="39"/>
    <w:unhideWhenUsed/>
    <w:rsid w:val="00A42640"/>
    <w:pPr>
      <w:spacing w:after="100"/>
    </w:pPr>
  </w:style>
  <w:style w:type="character" w:styleId="Hyperlink">
    <w:name w:val="Hyperlink"/>
    <w:basedOn w:val="DefaultParagraphFont"/>
    <w:uiPriority w:val="99"/>
    <w:unhideWhenUsed/>
    <w:rsid w:val="00A42640"/>
    <w:rPr>
      <w:color w:val="0000FF" w:themeColor="hyperlink"/>
      <w:u w:val="single"/>
    </w:rPr>
  </w:style>
  <w:style w:type="character" w:customStyle="1" w:styleId="Heading2Char">
    <w:name w:val="Heading 2 Char"/>
    <w:basedOn w:val="DefaultParagraphFont"/>
    <w:link w:val="Heading2"/>
    <w:uiPriority w:val="9"/>
    <w:rsid w:val="00D5330A"/>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246670"/>
    <w:pPr>
      <w:spacing w:after="100"/>
      <w:ind w:left="220"/>
    </w:pPr>
  </w:style>
  <w:style w:type="character" w:customStyle="1" w:styleId="UnresolvedMention1">
    <w:name w:val="Unresolved Mention1"/>
    <w:basedOn w:val="DefaultParagraphFont"/>
    <w:uiPriority w:val="99"/>
    <w:semiHidden/>
    <w:unhideWhenUsed/>
    <w:rsid w:val="00651496"/>
    <w:rPr>
      <w:color w:val="605E5C"/>
      <w:shd w:val="clear" w:color="auto" w:fill="E1DFDD"/>
    </w:rPr>
  </w:style>
  <w:style w:type="character" w:styleId="CommentReference">
    <w:name w:val="annotation reference"/>
    <w:basedOn w:val="DefaultParagraphFont"/>
    <w:uiPriority w:val="99"/>
    <w:semiHidden/>
    <w:unhideWhenUsed/>
    <w:rsid w:val="004E2D61"/>
    <w:rPr>
      <w:sz w:val="16"/>
      <w:szCs w:val="16"/>
    </w:rPr>
  </w:style>
  <w:style w:type="paragraph" w:styleId="CommentText">
    <w:name w:val="annotation text"/>
    <w:basedOn w:val="Normal"/>
    <w:link w:val="CommentTextChar"/>
    <w:uiPriority w:val="99"/>
    <w:semiHidden/>
    <w:unhideWhenUsed/>
    <w:rsid w:val="004E2D61"/>
    <w:pPr>
      <w:spacing w:line="240" w:lineRule="auto"/>
    </w:pPr>
    <w:rPr>
      <w:sz w:val="20"/>
      <w:szCs w:val="20"/>
    </w:rPr>
  </w:style>
  <w:style w:type="character" w:customStyle="1" w:styleId="CommentTextChar">
    <w:name w:val="Comment Text Char"/>
    <w:basedOn w:val="DefaultParagraphFont"/>
    <w:link w:val="CommentText"/>
    <w:uiPriority w:val="99"/>
    <w:semiHidden/>
    <w:rsid w:val="004E2D61"/>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4E2D61"/>
    <w:rPr>
      <w:b/>
      <w:bCs/>
    </w:rPr>
  </w:style>
  <w:style w:type="character" w:customStyle="1" w:styleId="CommentSubjectChar">
    <w:name w:val="Comment Subject Char"/>
    <w:basedOn w:val="CommentTextChar"/>
    <w:link w:val="CommentSubject"/>
    <w:uiPriority w:val="99"/>
    <w:semiHidden/>
    <w:rsid w:val="004E2D61"/>
    <w:rPr>
      <w:rFonts w:ascii="Calibri" w:eastAsia="Calibri" w:hAnsi="Calibri" w:cs="Calibri"/>
      <w:b/>
      <w:bCs/>
      <w:sz w:val="20"/>
      <w:szCs w:val="20"/>
    </w:rPr>
  </w:style>
  <w:style w:type="paragraph" w:styleId="Bibliography">
    <w:name w:val="Bibliography"/>
    <w:basedOn w:val="Normal"/>
    <w:next w:val="Normal"/>
    <w:uiPriority w:val="37"/>
    <w:unhideWhenUsed/>
    <w:rsid w:val="0025708F"/>
    <w:pPr>
      <w:spacing w:after="0" w:line="480" w:lineRule="auto"/>
      <w:ind w:left="720" w:hanging="720"/>
    </w:pPr>
  </w:style>
  <w:style w:type="character" w:styleId="PlaceholderText">
    <w:name w:val="Placeholder Text"/>
    <w:basedOn w:val="DefaultParagraphFont"/>
    <w:uiPriority w:val="99"/>
    <w:semiHidden/>
    <w:rsid w:val="00FA7E41"/>
    <w:rPr>
      <w:color w:val="666666"/>
    </w:rPr>
  </w:style>
  <w:style w:type="character" w:customStyle="1" w:styleId="Heading3Char">
    <w:name w:val="Heading 3 Char"/>
    <w:basedOn w:val="DefaultParagraphFont"/>
    <w:link w:val="Heading3"/>
    <w:uiPriority w:val="9"/>
    <w:rsid w:val="00037299"/>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F25115"/>
    <w:pPr>
      <w:spacing w:after="100"/>
      <w:ind w:left="440"/>
    </w:pPr>
  </w:style>
  <w:style w:type="paragraph" w:styleId="HTMLPreformatted">
    <w:name w:val="HTML Preformatted"/>
    <w:basedOn w:val="Normal"/>
    <w:link w:val="HTMLPreformattedChar"/>
    <w:uiPriority w:val="99"/>
    <w:semiHidden/>
    <w:unhideWhenUsed/>
    <w:rsid w:val="00B62C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2C8B"/>
    <w:rPr>
      <w:rFonts w:ascii="Courier New" w:eastAsia="Times New Roman" w:hAnsi="Courier New" w:cs="Courier New"/>
      <w:sz w:val="20"/>
      <w:szCs w:val="20"/>
    </w:rPr>
  </w:style>
  <w:style w:type="character" w:customStyle="1" w:styleId="y2iqfc">
    <w:name w:val="y2iqfc"/>
    <w:basedOn w:val="DefaultParagraphFont"/>
    <w:rsid w:val="00B62C8B"/>
  </w:style>
  <w:style w:type="character" w:customStyle="1" w:styleId="pre">
    <w:name w:val="pre"/>
    <w:basedOn w:val="DefaultParagraphFont"/>
    <w:rsid w:val="00810239"/>
  </w:style>
  <w:style w:type="character" w:customStyle="1" w:styleId="katex-mathml">
    <w:name w:val="katex-mathml"/>
    <w:basedOn w:val="DefaultParagraphFont"/>
    <w:rsid w:val="00166BD8"/>
  </w:style>
  <w:style w:type="character" w:customStyle="1" w:styleId="mord">
    <w:name w:val="mord"/>
    <w:basedOn w:val="DefaultParagraphFont"/>
    <w:rsid w:val="00166BD8"/>
  </w:style>
  <w:style w:type="paragraph" w:styleId="Caption">
    <w:name w:val="caption"/>
    <w:basedOn w:val="Normal"/>
    <w:next w:val="Normal"/>
    <w:uiPriority w:val="35"/>
    <w:unhideWhenUsed/>
    <w:qFormat/>
    <w:rsid w:val="004D1DB5"/>
    <w:pPr>
      <w:keepNext w:val="0"/>
      <w:keepLines/>
      <w:spacing w:after="160" w:line="240" w:lineRule="auto" w:before="80"/>
      <w:jc w:val="center"/>
    </w:pPr>
    <w:rPr>
      <w:rFonts w:ascii="Times New Roman" w:hAnsi="Times New Roman" w:eastAsia="Times New Roman"/>
      <w:i/>
      <w:iCs/>
      <w:color w:val="000000"/>
      <w:sz w:val="24"/>
      <w:szCs w:val="18"/>
    </w:rPr>
  </w:style>
  <w:style w:type="paragraph" w:styleId="NormalWeb">
    <w:name w:val="Normal (Web)"/>
    <w:basedOn w:val="Normal"/>
    <w:uiPriority w:val="99"/>
    <w:unhideWhenUsed/>
    <w:rsid w:val="00050E76"/>
    <w:pPr>
      <w:widowControl/>
      <w:autoSpaceDE/>
      <w:autoSpaceDN/>
      <w:spacing w:before="0" w:beforeAutospacing="1" w:after="200" w:afterAutospacing="1" w:line="276" w:lineRule="auto"/>
      <w:jc w:val="both"/>
    </w:pPr>
    <w:rPr>
      <w:rFonts w:ascii="Times New Roman" w:eastAsia="Times New Roman" w:hAnsi="Times New Roman" w:cs="Times New Roman"/>
      <w:b w:val="0"/>
      <w:i w:val="0"/>
      <w:sz w:val="24"/>
      <w:szCs w:val="24"/>
    </w:rPr>
  </w:style>
  <w:style w:type="character" w:styleId="Strong">
    <w:name w:val="Strong"/>
    <w:basedOn w:val="DefaultParagraphFont"/>
    <w:uiPriority w:val="22"/>
    <w:qFormat/>
    <w:rsid w:val="00050E76"/>
    <w:rPr>
      <w:b/>
      <w:bCs/>
    </w:rPr>
  </w:style>
  <w:style w:type="character" w:customStyle="1" w:styleId="mrel">
    <w:name w:val="mrel"/>
    <w:basedOn w:val="DefaultParagraphFont"/>
    <w:rsid w:val="00050E76"/>
  </w:style>
  <w:style w:type="character" w:customStyle="1" w:styleId="mopen">
    <w:name w:val="mopen"/>
    <w:basedOn w:val="DefaultParagraphFont"/>
    <w:rsid w:val="00050E76"/>
  </w:style>
  <w:style w:type="character" w:customStyle="1" w:styleId="mclose">
    <w:name w:val="mclose"/>
    <w:basedOn w:val="DefaultParagraphFont"/>
    <w:rsid w:val="00050E76"/>
  </w:style>
  <w:style w:type="character" w:customStyle="1" w:styleId="mbin">
    <w:name w:val="mbin"/>
    <w:basedOn w:val="DefaultParagraphFont"/>
    <w:rsid w:val="007A1134"/>
  </w:style>
  <w:style w:type="paragraph" w:customStyle="1" w:styleId="PargrafodaLista">
    <w:name w:val="Parágrafo da Lista"/>
    <w:basedOn w:val="Normal"/>
    <w:uiPriority w:val="34"/>
    <w:qFormat/>
    <w:rsid w:val="00534FA3"/>
    <w:pPr>
      <w:widowControl/>
      <w:autoSpaceDE/>
      <w:autoSpaceDN/>
      <w:spacing w:after="200" w:line="276" w:lineRule="auto"/>
      <w:ind w:left="720"/>
      <w:contextualSpacing/>
    </w:pPr>
    <w:rPr>
      <w:rFonts w:eastAsia="Times New Roman" w:cs="Times New Roman"/>
      <w:lang w:val="pt-BR" w:eastAsia="pt-BR"/>
    </w:rPr>
  </w:style>
  <w:style w:type="paragraph" w:styleId="FootnoteText">
    <w:name w:val="footnote text"/>
    <w:basedOn w:val="Normal"/>
    <w:link w:val="FootnoteTextChar1"/>
    <w:uiPriority w:val="99"/>
    <w:semiHidden/>
    <w:unhideWhenUsed/>
    <w:rsid w:val="000D08FF"/>
    <w:pPr>
      <w:widowControl/>
      <w:autoSpaceDE/>
      <w:autoSpaceDN/>
      <w:spacing w:after="0" w:line="240" w:lineRule="auto"/>
    </w:pPr>
    <w:rPr>
      <w:rFonts w:eastAsia="Times New Roman" w:cs="Times New Roman"/>
      <w:sz w:val="20"/>
      <w:szCs w:val="20"/>
      <w:lang w:val="pt-BR" w:eastAsia="pt-BR"/>
    </w:rPr>
  </w:style>
  <w:style w:type="character" w:customStyle="1" w:styleId="FootnoteTextChar">
    <w:name w:val="Footnote Text Char"/>
    <w:basedOn w:val="DefaultParagraphFont"/>
    <w:uiPriority w:val="99"/>
    <w:semiHidden/>
    <w:rsid w:val="000D08FF"/>
    <w:rPr>
      <w:rFonts w:ascii="Calibri" w:eastAsia="Calibri" w:hAnsi="Calibri" w:cs="Calibri"/>
      <w:sz w:val="20"/>
      <w:szCs w:val="20"/>
    </w:rPr>
  </w:style>
  <w:style w:type="character" w:customStyle="1" w:styleId="FootnoteTextChar1">
    <w:name w:val="Footnote Text Char1"/>
    <w:link w:val="FootnoteText"/>
    <w:uiPriority w:val="99"/>
    <w:semiHidden/>
    <w:rsid w:val="000D08FF"/>
    <w:rPr>
      <w:rFonts w:ascii="Calibri" w:eastAsia="Times New Roman" w:hAnsi="Calibri" w:cs="Times New Roman"/>
      <w:sz w:val="20"/>
      <w:szCs w:val="20"/>
      <w:lang w:val="pt-BR" w:eastAsia="pt-BR"/>
    </w:rPr>
  </w:style>
  <w:style w:type="character" w:styleId="FootnoteReference">
    <w:name w:val="footnote reference"/>
    <w:uiPriority w:val="99"/>
    <w:semiHidden/>
    <w:unhideWhenUsed/>
    <w:rsid w:val="000D08FF"/>
    <w:rPr>
      <w:vertAlign w:val="superscript"/>
    </w:rPr>
  </w:style>
  <w:style w:type="character" w:styleId="FollowedHyperlink">
    <w:name w:val="FollowedHyperlink"/>
    <w:basedOn w:val="DefaultParagraphFont"/>
    <w:uiPriority w:val="99"/>
    <w:semiHidden/>
    <w:unhideWhenUsed/>
    <w:rsid w:val="000A5F9E"/>
    <w:rPr>
      <w:color w:val="800080" w:themeColor="followedHyperlink"/>
      <w:u w:val="single"/>
    </w:rPr>
  </w:style>
  <w:style w:type="paragraph" w:styleId="BalloonText">
    <w:name w:val="Balloon Text"/>
    <w:basedOn w:val="Normal"/>
    <w:link w:val="BalloonTextChar"/>
    <w:uiPriority w:val="99"/>
    <w:semiHidden/>
    <w:unhideWhenUsed/>
    <w:rsid w:val="00406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005"/>
    <w:rPr>
      <w:rFonts w:ascii="Tahoma" w:eastAsia="Calibri" w:hAnsi="Tahoma" w:cs="Tahoma"/>
      <w:sz w:val="16"/>
      <w:szCs w:val="16"/>
    </w:rPr>
  </w:style>
  <w:style w:type="paragraph" w:styleId="Revision">
    <w:name w:val="Revision"/>
    <w:hidden/>
    <w:uiPriority w:val="99"/>
    <w:semiHidden/>
    <w:rsid w:val="001F0DE1"/>
    <w:pPr>
      <w:widowControl/>
      <w:autoSpaceDE/>
      <w:autoSpaceDN/>
      <w:spacing w:after="0" w:line="240" w:lineRule="auto"/>
    </w:pPr>
    <w:rPr>
      <w:rFonts w:ascii="Calibri" w:eastAsia="Calibri" w:hAnsi="Calibri" w:cs="Calibri"/>
    </w:rPr>
  </w:style>
  <w:style w:type="table" w:customStyle="1" w:styleId="TableGrid">
    <w:name w:val="TableGrid"/>
    <w:rsid w:val="00B706BA"/>
    <w:pPr>
      <w:widowControl/>
      <w:autoSpaceDE/>
      <w:autoSpaceDN/>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NoSpacing">
    <w:name w:val="No Spacing"/>
    <w:uiPriority w:val="1"/>
    <w:qFormat/>
    <w:rsid w:val="00B706BA"/>
    <w:pPr>
      <w:widowControl/>
      <w:autoSpaceDE/>
      <w:autoSpaceDN/>
      <w:spacing w:after="0" w:line="240" w:lineRule="auto"/>
      <w:ind w:left="10" w:right="48" w:hanging="10"/>
    </w:pPr>
    <w:rPr>
      <w:rFonts w:ascii="Times New Roman" w:eastAsia="Times New Roman" w:hAnsi="Times New Roman" w:cs="Times New Roman"/>
      <w:color w:val="000000"/>
      <w:kern w:val="2"/>
      <w:sz w:val="24"/>
      <w14:ligatures w14:val="standardContextual"/>
    </w:rPr>
  </w:style>
  <w:style w:type="character" w:customStyle="1" w:styleId="vlist-s">
    <w:name w:val="vlist-s"/>
    <w:basedOn w:val="DefaultParagraphFont"/>
    <w:rsid w:val="00B7498E"/>
  </w:style>
  <w:style w:type="character" w:customStyle="1" w:styleId="delimsizing">
    <w:name w:val="delimsizing"/>
    <w:basedOn w:val="DefaultParagraphFont"/>
    <w:rsid w:val="00B7498E"/>
  </w:style>
  <w:style w:type="table" w:styleId="TableGrid0">
    <w:name w:val="Table Grid"/>
    <w:basedOn w:val="TableNormal"/>
    <w:uiPriority w:val="39"/>
    <w:rsid w:val="00605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1CC2"/>
    <w:rPr>
      <w:color w:val="605E5C"/>
      <w:shd w:val="clear" w:color="auto" w:fill="E1DFDD"/>
    </w:rPr>
  </w:style>
  <w:style w:type="paragraph" w:styleId="TableofFigures">
    <w:name w:val="table of figures"/>
    <w:basedOn w:val="Normal"/>
    <w:next w:val="Normal"/>
    <w:uiPriority w:val="99"/>
    <w:unhideWhenUsed/>
    <w:rsid w:val="00A05491"/>
    <w:pPr>
      <w:spacing w:after="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757">
      <w:bodyDiv w:val="1"/>
      <w:marLeft w:val="0"/>
      <w:marRight w:val="0"/>
      <w:marTop w:val="0"/>
      <w:marBottom w:val="0"/>
      <w:divBdr>
        <w:top w:val="none" w:sz="0" w:space="0" w:color="auto"/>
        <w:left w:val="none" w:sz="0" w:space="0" w:color="auto"/>
        <w:bottom w:val="none" w:sz="0" w:space="0" w:color="auto"/>
        <w:right w:val="none" w:sz="0" w:space="0" w:color="auto"/>
      </w:divBdr>
    </w:div>
    <w:div w:id="495809507">
      <w:bodyDiv w:val="1"/>
      <w:marLeft w:val="0"/>
      <w:marRight w:val="0"/>
      <w:marTop w:val="0"/>
      <w:marBottom w:val="0"/>
      <w:divBdr>
        <w:top w:val="none" w:sz="0" w:space="0" w:color="auto"/>
        <w:left w:val="none" w:sz="0" w:space="0" w:color="auto"/>
        <w:bottom w:val="none" w:sz="0" w:space="0" w:color="auto"/>
        <w:right w:val="none" w:sz="0" w:space="0" w:color="auto"/>
      </w:divBdr>
    </w:div>
    <w:div w:id="552160766">
      <w:bodyDiv w:val="1"/>
      <w:marLeft w:val="0"/>
      <w:marRight w:val="0"/>
      <w:marTop w:val="0"/>
      <w:marBottom w:val="0"/>
      <w:divBdr>
        <w:top w:val="none" w:sz="0" w:space="0" w:color="auto"/>
        <w:left w:val="none" w:sz="0" w:space="0" w:color="auto"/>
        <w:bottom w:val="none" w:sz="0" w:space="0" w:color="auto"/>
        <w:right w:val="none" w:sz="0" w:space="0" w:color="auto"/>
      </w:divBdr>
    </w:div>
    <w:div w:id="641467063">
      <w:bodyDiv w:val="1"/>
      <w:marLeft w:val="0"/>
      <w:marRight w:val="0"/>
      <w:marTop w:val="0"/>
      <w:marBottom w:val="0"/>
      <w:divBdr>
        <w:top w:val="none" w:sz="0" w:space="0" w:color="auto"/>
        <w:left w:val="none" w:sz="0" w:space="0" w:color="auto"/>
        <w:bottom w:val="none" w:sz="0" w:space="0" w:color="auto"/>
        <w:right w:val="none" w:sz="0" w:space="0" w:color="auto"/>
      </w:divBdr>
    </w:div>
    <w:div w:id="643317880">
      <w:bodyDiv w:val="1"/>
      <w:marLeft w:val="0"/>
      <w:marRight w:val="0"/>
      <w:marTop w:val="0"/>
      <w:marBottom w:val="0"/>
      <w:divBdr>
        <w:top w:val="none" w:sz="0" w:space="0" w:color="auto"/>
        <w:left w:val="none" w:sz="0" w:space="0" w:color="auto"/>
        <w:bottom w:val="none" w:sz="0" w:space="0" w:color="auto"/>
        <w:right w:val="none" w:sz="0" w:space="0" w:color="auto"/>
      </w:divBdr>
    </w:div>
    <w:div w:id="662242559">
      <w:bodyDiv w:val="1"/>
      <w:marLeft w:val="0"/>
      <w:marRight w:val="0"/>
      <w:marTop w:val="0"/>
      <w:marBottom w:val="0"/>
      <w:divBdr>
        <w:top w:val="none" w:sz="0" w:space="0" w:color="auto"/>
        <w:left w:val="none" w:sz="0" w:space="0" w:color="auto"/>
        <w:bottom w:val="none" w:sz="0" w:space="0" w:color="auto"/>
        <w:right w:val="none" w:sz="0" w:space="0" w:color="auto"/>
      </w:divBdr>
    </w:div>
    <w:div w:id="672876079">
      <w:bodyDiv w:val="1"/>
      <w:marLeft w:val="0"/>
      <w:marRight w:val="0"/>
      <w:marTop w:val="0"/>
      <w:marBottom w:val="0"/>
      <w:divBdr>
        <w:top w:val="none" w:sz="0" w:space="0" w:color="auto"/>
        <w:left w:val="none" w:sz="0" w:space="0" w:color="auto"/>
        <w:bottom w:val="none" w:sz="0" w:space="0" w:color="auto"/>
        <w:right w:val="none" w:sz="0" w:space="0" w:color="auto"/>
      </w:divBdr>
    </w:div>
    <w:div w:id="736366683">
      <w:bodyDiv w:val="1"/>
      <w:marLeft w:val="0"/>
      <w:marRight w:val="0"/>
      <w:marTop w:val="0"/>
      <w:marBottom w:val="0"/>
      <w:divBdr>
        <w:top w:val="none" w:sz="0" w:space="0" w:color="auto"/>
        <w:left w:val="none" w:sz="0" w:space="0" w:color="auto"/>
        <w:bottom w:val="none" w:sz="0" w:space="0" w:color="auto"/>
        <w:right w:val="none" w:sz="0" w:space="0" w:color="auto"/>
      </w:divBdr>
    </w:div>
    <w:div w:id="789054505">
      <w:bodyDiv w:val="1"/>
      <w:marLeft w:val="0"/>
      <w:marRight w:val="0"/>
      <w:marTop w:val="0"/>
      <w:marBottom w:val="0"/>
      <w:divBdr>
        <w:top w:val="none" w:sz="0" w:space="0" w:color="auto"/>
        <w:left w:val="none" w:sz="0" w:space="0" w:color="auto"/>
        <w:bottom w:val="none" w:sz="0" w:space="0" w:color="auto"/>
        <w:right w:val="none" w:sz="0" w:space="0" w:color="auto"/>
      </w:divBdr>
    </w:div>
    <w:div w:id="864711924">
      <w:bodyDiv w:val="1"/>
      <w:marLeft w:val="0"/>
      <w:marRight w:val="0"/>
      <w:marTop w:val="0"/>
      <w:marBottom w:val="0"/>
      <w:divBdr>
        <w:top w:val="none" w:sz="0" w:space="0" w:color="auto"/>
        <w:left w:val="none" w:sz="0" w:space="0" w:color="auto"/>
        <w:bottom w:val="none" w:sz="0" w:space="0" w:color="auto"/>
        <w:right w:val="none" w:sz="0" w:space="0" w:color="auto"/>
      </w:divBdr>
    </w:div>
    <w:div w:id="1032615571">
      <w:bodyDiv w:val="1"/>
      <w:marLeft w:val="0"/>
      <w:marRight w:val="0"/>
      <w:marTop w:val="0"/>
      <w:marBottom w:val="0"/>
      <w:divBdr>
        <w:top w:val="none" w:sz="0" w:space="0" w:color="auto"/>
        <w:left w:val="none" w:sz="0" w:space="0" w:color="auto"/>
        <w:bottom w:val="none" w:sz="0" w:space="0" w:color="auto"/>
        <w:right w:val="none" w:sz="0" w:space="0" w:color="auto"/>
      </w:divBdr>
    </w:div>
    <w:div w:id="1042093083">
      <w:bodyDiv w:val="1"/>
      <w:marLeft w:val="0"/>
      <w:marRight w:val="0"/>
      <w:marTop w:val="0"/>
      <w:marBottom w:val="0"/>
      <w:divBdr>
        <w:top w:val="none" w:sz="0" w:space="0" w:color="auto"/>
        <w:left w:val="none" w:sz="0" w:space="0" w:color="auto"/>
        <w:bottom w:val="none" w:sz="0" w:space="0" w:color="auto"/>
        <w:right w:val="none" w:sz="0" w:space="0" w:color="auto"/>
      </w:divBdr>
    </w:div>
    <w:div w:id="1101991902">
      <w:bodyDiv w:val="1"/>
      <w:marLeft w:val="0"/>
      <w:marRight w:val="0"/>
      <w:marTop w:val="0"/>
      <w:marBottom w:val="0"/>
      <w:divBdr>
        <w:top w:val="none" w:sz="0" w:space="0" w:color="auto"/>
        <w:left w:val="none" w:sz="0" w:space="0" w:color="auto"/>
        <w:bottom w:val="none" w:sz="0" w:space="0" w:color="auto"/>
        <w:right w:val="none" w:sz="0" w:space="0" w:color="auto"/>
      </w:divBdr>
    </w:div>
    <w:div w:id="1102652971">
      <w:bodyDiv w:val="1"/>
      <w:marLeft w:val="0"/>
      <w:marRight w:val="0"/>
      <w:marTop w:val="0"/>
      <w:marBottom w:val="0"/>
      <w:divBdr>
        <w:top w:val="none" w:sz="0" w:space="0" w:color="auto"/>
        <w:left w:val="none" w:sz="0" w:space="0" w:color="auto"/>
        <w:bottom w:val="none" w:sz="0" w:space="0" w:color="auto"/>
        <w:right w:val="none" w:sz="0" w:space="0" w:color="auto"/>
      </w:divBdr>
    </w:div>
    <w:div w:id="1129280411">
      <w:bodyDiv w:val="1"/>
      <w:marLeft w:val="0"/>
      <w:marRight w:val="0"/>
      <w:marTop w:val="0"/>
      <w:marBottom w:val="0"/>
      <w:divBdr>
        <w:top w:val="none" w:sz="0" w:space="0" w:color="auto"/>
        <w:left w:val="none" w:sz="0" w:space="0" w:color="auto"/>
        <w:bottom w:val="none" w:sz="0" w:space="0" w:color="auto"/>
        <w:right w:val="none" w:sz="0" w:space="0" w:color="auto"/>
      </w:divBdr>
      <w:divsChild>
        <w:div w:id="1342465453">
          <w:marLeft w:val="0"/>
          <w:marRight w:val="0"/>
          <w:marTop w:val="0"/>
          <w:marBottom w:val="0"/>
          <w:divBdr>
            <w:top w:val="none" w:sz="0" w:space="0" w:color="auto"/>
            <w:left w:val="none" w:sz="0" w:space="0" w:color="auto"/>
            <w:bottom w:val="none" w:sz="0" w:space="0" w:color="auto"/>
            <w:right w:val="none" w:sz="0" w:space="0" w:color="auto"/>
          </w:divBdr>
          <w:divsChild>
            <w:div w:id="1944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30593">
      <w:bodyDiv w:val="1"/>
      <w:marLeft w:val="0"/>
      <w:marRight w:val="0"/>
      <w:marTop w:val="0"/>
      <w:marBottom w:val="0"/>
      <w:divBdr>
        <w:top w:val="none" w:sz="0" w:space="0" w:color="auto"/>
        <w:left w:val="none" w:sz="0" w:space="0" w:color="auto"/>
        <w:bottom w:val="none" w:sz="0" w:space="0" w:color="auto"/>
        <w:right w:val="none" w:sz="0" w:space="0" w:color="auto"/>
      </w:divBdr>
    </w:div>
    <w:div w:id="1247691616">
      <w:bodyDiv w:val="1"/>
      <w:marLeft w:val="0"/>
      <w:marRight w:val="0"/>
      <w:marTop w:val="0"/>
      <w:marBottom w:val="0"/>
      <w:divBdr>
        <w:top w:val="none" w:sz="0" w:space="0" w:color="auto"/>
        <w:left w:val="none" w:sz="0" w:space="0" w:color="auto"/>
        <w:bottom w:val="none" w:sz="0" w:space="0" w:color="auto"/>
        <w:right w:val="none" w:sz="0" w:space="0" w:color="auto"/>
      </w:divBdr>
    </w:div>
    <w:div w:id="1263221234">
      <w:bodyDiv w:val="1"/>
      <w:marLeft w:val="0"/>
      <w:marRight w:val="0"/>
      <w:marTop w:val="0"/>
      <w:marBottom w:val="0"/>
      <w:divBdr>
        <w:top w:val="none" w:sz="0" w:space="0" w:color="auto"/>
        <w:left w:val="none" w:sz="0" w:space="0" w:color="auto"/>
        <w:bottom w:val="none" w:sz="0" w:space="0" w:color="auto"/>
        <w:right w:val="none" w:sz="0" w:space="0" w:color="auto"/>
      </w:divBdr>
    </w:div>
    <w:div w:id="1383558946">
      <w:bodyDiv w:val="1"/>
      <w:marLeft w:val="0"/>
      <w:marRight w:val="0"/>
      <w:marTop w:val="0"/>
      <w:marBottom w:val="0"/>
      <w:divBdr>
        <w:top w:val="none" w:sz="0" w:space="0" w:color="auto"/>
        <w:left w:val="none" w:sz="0" w:space="0" w:color="auto"/>
        <w:bottom w:val="none" w:sz="0" w:space="0" w:color="auto"/>
        <w:right w:val="none" w:sz="0" w:space="0" w:color="auto"/>
      </w:divBdr>
      <w:divsChild>
        <w:div w:id="1882672049">
          <w:marLeft w:val="0"/>
          <w:marRight w:val="0"/>
          <w:marTop w:val="0"/>
          <w:marBottom w:val="0"/>
          <w:divBdr>
            <w:top w:val="none" w:sz="0" w:space="0" w:color="auto"/>
            <w:left w:val="none" w:sz="0" w:space="0" w:color="auto"/>
            <w:bottom w:val="none" w:sz="0" w:space="0" w:color="auto"/>
            <w:right w:val="none" w:sz="0" w:space="0" w:color="auto"/>
          </w:divBdr>
          <w:divsChild>
            <w:div w:id="11010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7555">
      <w:bodyDiv w:val="1"/>
      <w:marLeft w:val="0"/>
      <w:marRight w:val="0"/>
      <w:marTop w:val="0"/>
      <w:marBottom w:val="0"/>
      <w:divBdr>
        <w:top w:val="none" w:sz="0" w:space="0" w:color="auto"/>
        <w:left w:val="none" w:sz="0" w:space="0" w:color="auto"/>
        <w:bottom w:val="none" w:sz="0" w:space="0" w:color="auto"/>
        <w:right w:val="none" w:sz="0" w:space="0" w:color="auto"/>
      </w:divBdr>
    </w:div>
    <w:div w:id="1439521057">
      <w:bodyDiv w:val="1"/>
      <w:marLeft w:val="0"/>
      <w:marRight w:val="0"/>
      <w:marTop w:val="0"/>
      <w:marBottom w:val="0"/>
      <w:divBdr>
        <w:top w:val="none" w:sz="0" w:space="0" w:color="auto"/>
        <w:left w:val="none" w:sz="0" w:space="0" w:color="auto"/>
        <w:bottom w:val="none" w:sz="0" w:space="0" w:color="auto"/>
        <w:right w:val="none" w:sz="0" w:space="0" w:color="auto"/>
      </w:divBdr>
    </w:div>
    <w:div w:id="1445807651">
      <w:bodyDiv w:val="1"/>
      <w:marLeft w:val="0"/>
      <w:marRight w:val="0"/>
      <w:marTop w:val="0"/>
      <w:marBottom w:val="0"/>
      <w:divBdr>
        <w:top w:val="none" w:sz="0" w:space="0" w:color="auto"/>
        <w:left w:val="none" w:sz="0" w:space="0" w:color="auto"/>
        <w:bottom w:val="none" w:sz="0" w:space="0" w:color="auto"/>
        <w:right w:val="none" w:sz="0" w:space="0" w:color="auto"/>
      </w:divBdr>
    </w:div>
    <w:div w:id="1539388192">
      <w:bodyDiv w:val="1"/>
      <w:marLeft w:val="0"/>
      <w:marRight w:val="0"/>
      <w:marTop w:val="0"/>
      <w:marBottom w:val="0"/>
      <w:divBdr>
        <w:top w:val="none" w:sz="0" w:space="0" w:color="auto"/>
        <w:left w:val="none" w:sz="0" w:space="0" w:color="auto"/>
        <w:bottom w:val="none" w:sz="0" w:space="0" w:color="auto"/>
        <w:right w:val="none" w:sz="0" w:space="0" w:color="auto"/>
      </w:divBdr>
    </w:div>
    <w:div w:id="1562129914">
      <w:bodyDiv w:val="1"/>
      <w:marLeft w:val="0"/>
      <w:marRight w:val="0"/>
      <w:marTop w:val="0"/>
      <w:marBottom w:val="0"/>
      <w:divBdr>
        <w:top w:val="none" w:sz="0" w:space="0" w:color="auto"/>
        <w:left w:val="none" w:sz="0" w:space="0" w:color="auto"/>
        <w:bottom w:val="none" w:sz="0" w:space="0" w:color="auto"/>
        <w:right w:val="none" w:sz="0" w:space="0" w:color="auto"/>
      </w:divBdr>
    </w:div>
    <w:div w:id="1600405847">
      <w:bodyDiv w:val="1"/>
      <w:marLeft w:val="0"/>
      <w:marRight w:val="0"/>
      <w:marTop w:val="0"/>
      <w:marBottom w:val="0"/>
      <w:divBdr>
        <w:top w:val="none" w:sz="0" w:space="0" w:color="auto"/>
        <w:left w:val="none" w:sz="0" w:space="0" w:color="auto"/>
        <w:bottom w:val="none" w:sz="0" w:space="0" w:color="auto"/>
        <w:right w:val="none" w:sz="0" w:space="0" w:color="auto"/>
      </w:divBdr>
    </w:div>
    <w:div w:id="1789229727">
      <w:bodyDiv w:val="1"/>
      <w:marLeft w:val="0"/>
      <w:marRight w:val="0"/>
      <w:marTop w:val="0"/>
      <w:marBottom w:val="0"/>
      <w:divBdr>
        <w:top w:val="none" w:sz="0" w:space="0" w:color="auto"/>
        <w:left w:val="none" w:sz="0" w:space="0" w:color="auto"/>
        <w:bottom w:val="none" w:sz="0" w:space="0" w:color="auto"/>
        <w:right w:val="none" w:sz="0" w:space="0" w:color="auto"/>
      </w:divBdr>
    </w:div>
    <w:div w:id="1795514168">
      <w:bodyDiv w:val="1"/>
      <w:marLeft w:val="0"/>
      <w:marRight w:val="0"/>
      <w:marTop w:val="0"/>
      <w:marBottom w:val="0"/>
      <w:divBdr>
        <w:top w:val="none" w:sz="0" w:space="0" w:color="auto"/>
        <w:left w:val="none" w:sz="0" w:space="0" w:color="auto"/>
        <w:bottom w:val="none" w:sz="0" w:space="0" w:color="auto"/>
        <w:right w:val="none" w:sz="0" w:space="0" w:color="auto"/>
      </w:divBdr>
    </w:div>
    <w:div w:id="2102676301">
      <w:bodyDiv w:val="1"/>
      <w:marLeft w:val="0"/>
      <w:marRight w:val="0"/>
      <w:marTop w:val="0"/>
      <w:marBottom w:val="0"/>
      <w:divBdr>
        <w:top w:val="none" w:sz="0" w:space="0" w:color="auto"/>
        <w:left w:val="none" w:sz="0" w:space="0" w:color="auto"/>
        <w:bottom w:val="none" w:sz="0" w:space="0" w:color="auto"/>
        <w:right w:val="none" w:sz="0" w:space="0" w:color="auto"/>
      </w:divBdr>
    </w:div>
    <w:div w:id="2106071707">
      <w:bodyDiv w:val="1"/>
      <w:marLeft w:val="0"/>
      <w:marRight w:val="0"/>
      <w:marTop w:val="0"/>
      <w:marBottom w:val="0"/>
      <w:divBdr>
        <w:top w:val="none" w:sz="0" w:space="0" w:color="auto"/>
        <w:left w:val="none" w:sz="0" w:space="0" w:color="auto"/>
        <w:bottom w:val="none" w:sz="0" w:space="0" w:color="auto"/>
        <w:right w:val="none" w:sz="0" w:space="0" w:color="auto"/>
      </w:divBdr>
    </w:div>
    <w:div w:id="2141142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7" Type="http://schemas.openxmlformats.org/officeDocument/2006/relationships/numbering" Target="numbering.xml"/><Relationship Id="rId66" Type="http://schemas.openxmlformats.org/officeDocument/2006/relationships/styles" Target="styles.xml"/><Relationship Id="rId65" Type="http://schemas.openxmlformats.org/officeDocument/2006/relationships/settings" Target="settings.xml"/><Relationship Id="rId64" Type="http://schemas.openxmlformats.org/officeDocument/2006/relationships/webSettings" Target="webSettings.xml"/><Relationship Id="rId63" Type="http://schemas.openxmlformats.org/officeDocument/2006/relationships/fontTable" Target="fontTable.xml"/><Relationship Id="rId62" Type="http://schemas.openxmlformats.org/officeDocument/2006/relationships/theme" Target="theme/theme1.xml"/><Relationship Id="rId61" Type="http://schemas.openxmlformats.org/officeDocument/2006/relationships/footnotes" Target="footnotes.xml"/><Relationship Id="rId60"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8" Type="http://schemas.openxmlformats.org/officeDocument/2006/relationships/header" Target="header1.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59" Type="http://schemas.openxmlformats.org/officeDocument/2006/relationships/footer" Target="footer1.xml"/><Relationship Id="rId68" Type="http://schemas.openxmlformats.org/officeDocument/2006/relationships/image" Target="media/rId68.jpg"/><Relationship Id="rId148" Type="http://schemas.openxmlformats.org/officeDocument/2006/relationships/image" Target="media/rId148.png"/><Relationship Id="rId157" Type="http://schemas.openxmlformats.org/officeDocument/2006/relationships/image" Target="media/rId157.png"/><Relationship Id="rId142" Type="http://schemas.openxmlformats.org/officeDocument/2006/relationships/image" Target="media/rId142.png"/><Relationship Id="rId99" Type="http://schemas.openxmlformats.org/officeDocument/2006/relationships/hyperlink" Target="https://arxiv.org/abs/1603.02754" TargetMode="External"/><Relationship Id="rId173" Type="http://schemas.openxmlformats.org/officeDocument/2006/relationships/hyperlink" Target="https://doi.org/10.1023/A:1010933404324" TargetMode="External"/><Relationship Id="rId77" Type="http://schemas.openxmlformats.org/officeDocument/2006/relationships/hyperlink" Target="https://doi.org/10.1111/j.1540-6261.1968.tb00843.x" TargetMode="External"/><Relationship Id="rId174" Type="http://schemas.openxmlformats.org/officeDocument/2006/relationships/hyperlink" Target="https://doi.org/10.1145/2939672.2939785" TargetMode="External"/><Relationship Id="rId102" Type="http://schemas.openxmlformats.org/officeDocument/2006/relationships/hyperlink" Target="https://doi.org/10.1175/1520-0493(1950)078%3C0001:VOFEIT%3E2.0.CO;2" TargetMode="External"/><Relationship Id="rId98" Type="http://schemas.openxmlformats.org/officeDocument/2006/relationships/hyperlink" Target="https://doi.org/10.1214/aos/1013203451" TargetMode="External"/><Relationship Id="rId175" Type="http://schemas.openxmlformats.org/officeDocument/2006/relationships/hyperlink" Target="https://doi.org/10.1371/journal.pone.0118432" TargetMode="External"/><Relationship Id="rId101" Type="http://schemas.openxmlformats.org/officeDocument/2006/relationships/hyperlink" Target="https://journals.plos.org/plosone/article?id=10.1371/journal.pone.0118432" TargetMode="External"/><Relationship Id="rId176" Type="http://schemas.openxmlformats.org/officeDocument/2006/relationships/hyperlink" Target="https://scikit-learn.org/1.6/modules/generated/sklearn.calibration.CalibratedClassifierCV.html" TargetMode="External"/><Relationship Id="rId94" Type="http://schemas.openxmlformats.org/officeDocument/2006/relationships/hyperlink" Target="https://scikit-learn.org/1.6/modules/linear_model.html#logistic-regression" TargetMode="External"/><Relationship Id="rId79" Type="http://schemas.openxmlformats.org/officeDocument/2006/relationships/hyperlink" Target="https://www.jstor.org/stable/10.1086/209665" TargetMode="External"/><Relationship Id="rId78" Type="http://schemas.openxmlformats.org/officeDocument/2006/relationships/hyperlink" Target="https://www.jstor.org/stable/2490395" TargetMode="External"/><Relationship Id="rId113" Type="http://schemas.openxmlformats.org/officeDocument/2006/relationships/hyperlink" Target="https://www.sec.gov/dera/data/fsnds.pdf" TargetMode="External"/><Relationship Id="rId81" Type="http://schemas.openxmlformats.org/officeDocument/2006/relationships/hyperlink" Target="https://www.sec.gov/files/form8-k.pdf" TargetMode="External"/><Relationship Id="rId112" Type="http://schemas.openxmlformats.org/officeDocument/2006/relationships/hyperlink" Target="https://www.sec.gov/search-filings/edgar-application-programming-interfaces" TargetMode="External"/><Relationship Id="rId108" Type="http://schemas.openxmlformats.org/officeDocument/2006/relationships/hyperlink" Target="https://www.sec.gov/search-filings/standard-industrial-classification-sic-code-list" TargetMode="External"/><Relationship Id="rId96" Type="http://schemas.openxmlformats.org/officeDocument/2006/relationships/hyperlink" Target="https://www.stat.berkeley.edu/~breiman/randomforest2001.pdf" TargetMode="External"/><Relationship Id="rId1" Type="http://schemas.openxmlformats.org/officeDocument/2006/relationships/header" Target="header2.xml"/><Relationship Id="rId2" Type="http://schemas.openxmlformats.org/officeDocument/2006/relationships/footer" Target="footer2.xml"/></Relationships>
</file>

<file path=word/_rels/footnotes.xml.rels><?xml version='1.0' encoding='UTF-8' standalone='yes'?>
<Relationships xmlns="http://schemas.openxmlformats.org/package/2006/relationships"><Relationship Id="rId99" Type="http://schemas.openxmlformats.org/officeDocument/2006/relationships/hyperlink" Target="https://arxiv.org/abs/1603.02754" TargetMode="External"/><Relationship Id="rId173" Type="http://schemas.openxmlformats.org/officeDocument/2006/relationships/hyperlink" Target="https://doi.org/10.1023/A:1010933404324" TargetMode="External"/><Relationship Id="rId77" Type="http://schemas.openxmlformats.org/officeDocument/2006/relationships/hyperlink" Target="https://doi.org/10.1111/j.1540-6261.1968.tb00843.x" TargetMode="External"/><Relationship Id="rId174" Type="http://schemas.openxmlformats.org/officeDocument/2006/relationships/hyperlink" Target="https://doi.org/10.1145/2939672.2939785" TargetMode="External"/><Relationship Id="rId102" Type="http://schemas.openxmlformats.org/officeDocument/2006/relationships/hyperlink" Target="https://doi.org/10.1175/1520-0493(1950)078%3C0001:VOFEIT%3E2.0.CO;2" TargetMode="External"/><Relationship Id="rId98" Type="http://schemas.openxmlformats.org/officeDocument/2006/relationships/hyperlink" Target="https://doi.org/10.1214/aos/1013203451" TargetMode="External"/><Relationship Id="rId175" Type="http://schemas.openxmlformats.org/officeDocument/2006/relationships/hyperlink" Target="https://doi.org/10.1371/journal.pone.0118432" TargetMode="External"/><Relationship Id="rId101" Type="http://schemas.openxmlformats.org/officeDocument/2006/relationships/hyperlink" Target="https://journals.plos.org/plosone/article?id=10.1371/journal.pone.0118432" TargetMode="External"/><Relationship Id="rId176" Type="http://schemas.openxmlformats.org/officeDocument/2006/relationships/hyperlink" Target="https://scikit-learn.org/1.6/modules/generated/sklearn.calibration.CalibratedClassifierCV.html" TargetMode="External"/><Relationship Id="rId94" Type="http://schemas.openxmlformats.org/officeDocument/2006/relationships/hyperlink" Target="https://scikit-learn.org/1.6/modules/linear_model.html#logistic-regression" TargetMode="External"/><Relationship Id="rId79" Type="http://schemas.openxmlformats.org/officeDocument/2006/relationships/hyperlink" Target="https://www.jstor.org/stable/10.1086/209665" TargetMode="External"/><Relationship Id="rId78" Type="http://schemas.openxmlformats.org/officeDocument/2006/relationships/hyperlink" Target="https://www.jstor.org/stable/2490395" TargetMode="External"/><Relationship Id="rId113" Type="http://schemas.openxmlformats.org/officeDocument/2006/relationships/hyperlink" Target="https://www.sec.gov/dera/data/fsnds.pdf" TargetMode="External"/><Relationship Id="rId81" Type="http://schemas.openxmlformats.org/officeDocument/2006/relationships/hyperlink" Target="https://www.sec.gov/files/form8-k.pdf" TargetMode="External"/><Relationship Id="rId112" Type="http://schemas.openxmlformats.org/officeDocument/2006/relationships/hyperlink" Target="https://www.sec.gov/search-filings/edgar-application-programming-interfaces" TargetMode="External"/><Relationship Id="rId108" Type="http://schemas.openxmlformats.org/officeDocument/2006/relationships/hyperlink" Target="https://www.sec.gov/search-filings/standard-industrial-classification-sic-code-list" TargetMode="External"/><Relationship Id="rId96" Type="http://schemas.openxmlformats.org/officeDocument/2006/relationships/hyperlink" Target="https://www.stat.berkeley.edu/~breiman/randomforest2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3401</TotalTime>
  <Pages>51</Pages>
  <Words>17696</Words>
  <Characters>100868</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(Microsoft Word - Prva strana master rada latini\350na i \346irili\350na verzija.docx)</vt:lpstr>
    </vt:vector>
  </TitlesOfParts>
  <Company/>
  <LinksUpToDate>false</LinksUpToDate>
  <CharactersWithSpaces>118328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Determination of Short-Term Corporate Credit Limits Using Machine Learning</dc:title>
  <dc:creator>Đorđe Veličković</dc:creator>
  <cp:keywords>corporate credit risk; credit limits; machine learning; SEC disclosures</cp:keywords>
  <dcterms:created xsi:type="dcterms:W3CDTF">2026-10-19T22:02:05Z</dcterms:created>
  <dcterms:modified xsi:type="dcterms:W3CDTF">2026-10-19T22:02:05Z</dcterms:modified>
  <dc:subject>Master's thesis in Computational Finance</dc:subject>
  <dc:description>Formatted from the RAF reference thesis.</dc:description>
</cp:coreProperties>
</file>

<file path=docProps/custom.xml><?xml version="1.0" encoding="utf-8"?>
<Properties xmlns="http://schemas.openxmlformats.org/officeDocument/2006/custom-properties" xmlns:vt="http://schemas.openxmlformats.org/officeDocument/2006/docPropsVTypes"/>
</file>