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14="http://schemas.microsoft.com/office/word/2010/wordml" xmlns:wp14="http://schemas.microsoft.com/office/word/2010/wordprocessingDrawing">
      <w:tblPr>
        <w:tblStyle w:val="TableGrid"/>
        <w:tblW w:w="9359" w:type="dxa"/>
        <w:tblInd w:w="130" w:type="dxa"/>
        <w:tblCellMar>
          <w:top w:w="52" w:type="dxa"/>
          <w:left w:w="117" w:type="dxa"/>
          <w:bottom w:w="44" w:type="dxa"/>
          <w:right w:w="80" w:type="dxa"/>
        </w:tblCellMar>
        <w:tblLook w:val="04A0" w:firstRow="1" w:lastRow="0" w:firstColumn="1" w:lastColumn="0" w:noHBand="0" w:noVBand="1"/>
      </w:tblPr>
      <w:tblGrid>
        <w:gridCol w:w="1697"/>
        <w:gridCol w:w="5955"/>
        <w:gridCol w:w="1707"/>
      </w:tblGrid>
      <w:tr w:rsidR="002B58EA" w14:paraId="728DB1E7" w14:textId="77777777" w:rsidTr="002B58EA">
        <w:trPr>
          <w:trHeight w:val="377"/>
        </w:trPr>
        <w:tc>
          <w:tcPr>
            <w:tcW w:w="1697" w:type="dxa"/>
            <w:vMerge w:val="restart"/>
            <w:tcBorders>
              <w:top w:val="single" w:sz="12" w:space="0" w:color="000000"/>
              <w:left w:val="single" w:sz="12" w:space="0" w:color="000000"/>
              <w:bottom w:val="single" w:sz="14" w:space="0" w:color="000000"/>
              <w:right w:val="single" w:sz="12" w:space="0" w:color="000000"/>
            </w:tcBorders>
            <w:vAlign w:val="bottom"/>
          </w:tcPr>
          <w:p w14:paraId="1C8367DC" w14:textId="018A8B76" w:rsidR="002B58EA" w:rsidRDefault="002B58EA" w:rsidP="002B58EA">
            <w:pPr>
              <w:pStyle w:val="NoSpacing"/>
              <w:ind w:left="0" w:firstLine="0"/>
            </w:pPr>
            <w:r>
              <w:rPr>
                <w:noProof/>
              </w:rPr>
              <w:drawing>
                <wp:anchor distT="0" distB="0" distL="114300" distR="114300" simplePos="0" relativeHeight="251658240" behindDoc="0" locked="0" layoutInCell="1" allowOverlap="1" wp14:anchorId="61FF548D" wp14:editId="09E2A606">
                  <wp:simplePos x="1066800" y="1409700"/>
                  <wp:positionH relativeFrom="margin">
                    <wp:posOffset>17780</wp:posOffset>
                  </wp:positionH>
                  <wp:positionV relativeFrom="margin">
                    <wp:posOffset>-132080</wp:posOffset>
                  </wp:positionV>
                  <wp:extent cx="885190" cy="609600"/>
                  <wp:effectExtent l="0" t="0" r="0" b="0"/>
                  <wp:wrapSquare wrapText="bothSides"/>
                  <wp:docPr id="160" name="Picture 160"/>
                  <wp:cNvGraphicFramePr/>
                  <a:graphic>
                    <a:graphicData uri="http://schemas.openxmlformats.org/drawingml/2006/picture">
                      <pic:pic>
                        <pic:nvPicPr>
                          <pic:cNvPr id="160" name="Picture 160"/>
                          <pic:cNvPicPr/>
                        </pic:nvPicPr>
                        <pic:blipFill>
                          <a:blip r:embed="rId8">
                            <a:extLst>
                              <a:ext uri="{28A0092B-C50C-407E-A947-70E740481C1C}">
                                <a14:useLocalDpi xmlns:a14="http://schemas.microsoft.com/office/drawing/2010/main" val="0"/>
                              </a:ext>
                            </a:extLst>
                          </a:blip>
                          <a:stretch>
                            <a:fillRect/>
                          </a:stretch>
                        </pic:blipFill>
                        <pic:spPr>
                          <a:xfrm>
                            <a:off x="0" y="0"/>
                            <a:ext cx="885190" cy="609600"/>
                          </a:xfrm>
                          <a:prstGeom prst="rect">
                            <a:avLst/>
                          </a:prstGeom>
                        </pic:spPr>
                      </pic:pic>
                    </a:graphicData>
                  </a:graphic>
                  <wp14:sizeRelH relativeFrom="margin">
                    <wp14:pctWidth>0</wp14:pctWidth>
                  </wp14:sizeRelH>
                  <wp14:sizeRelV relativeFrom="margin">
                    <wp14:pctHeight>0</wp14:pctHeight>
                  </wp14:sizeRelV>
                </wp:anchor>
              </w:drawing>
            </w:r>
          </w:p>
        </w:tc>
        <w:tc>
          <w:tcPr>
            <w:tcW w:w="5955" w:type="dxa"/>
            <w:vMerge w:val="restart"/>
            <w:tcBorders>
              <w:top w:val="single" w:sz="12" w:space="0" w:color="000000"/>
              <w:left w:val="single" w:sz="12" w:space="0" w:color="000000"/>
              <w:bottom w:val="single" w:sz="14" w:space="0" w:color="000000"/>
              <w:right w:val="single" w:sz="12" w:space="0" w:color="000000"/>
            </w:tcBorders>
            <w:vAlign w:val="center"/>
          </w:tcPr>
          <w:p w14:paraId="78341CFD" w14:textId="77777777" w:rsidR="002B58EA" w:rsidRDefault="002B58EA" w:rsidP="008471C7">
            <w:pPr>
              <w:spacing w:line="259" w:lineRule="auto"/>
            </w:pPr>
            <w:r>
              <w:t xml:space="preserve">UNION UNIVERSITY </w:t>
            </w:r>
          </w:p>
          <w:p w14:paraId="02490D5A" w14:textId="77777777" w:rsidR="002B58EA" w:rsidRDefault="002B58EA" w:rsidP="008471C7">
            <w:pPr>
              <w:spacing w:after="38" w:line="259" w:lineRule="auto"/>
            </w:pPr>
            <w:r>
              <w:rPr>
                <w:b/>
              </w:rPr>
              <w:t>SCHOOL OF COMPUTING</w:t>
            </w:r>
            <w:r>
              <w:t xml:space="preserve">  </w:t>
            </w:r>
          </w:p>
          <w:p w14:paraId="4791D77D" w14:textId="77777777" w:rsidR="002B58EA" w:rsidRDefault="002B58EA" w:rsidP="008471C7">
            <w:pPr>
              <w:spacing w:line="259" w:lineRule="auto"/>
            </w:pPr>
            <w:r>
              <w:t xml:space="preserve">Knez Mihailova 6/VI  </w:t>
            </w:r>
          </w:p>
          <w:p w14:paraId="4104AD2E" w14:textId="77777777" w:rsidR="002B58EA" w:rsidRDefault="002B58EA" w:rsidP="008471C7">
            <w:pPr>
              <w:spacing w:line="259" w:lineRule="auto"/>
            </w:pPr>
            <w:r>
              <w:t>11000 BELGRADE, SERBIA</w:t>
            </w:r>
            <w:r>
              <w:rPr>
                <w:sz w:val="20"/>
              </w:rPr>
              <w:t xml:space="preserve"> </w:t>
            </w:r>
          </w:p>
        </w:tc>
        <w:tc>
          <w:tcPr>
            <w:tcW w:w="1707" w:type="dxa"/>
            <w:tcBorders>
              <w:top w:val="single" w:sz="12" w:space="0" w:color="000000"/>
              <w:left w:val="single" w:sz="12" w:space="0" w:color="000000"/>
              <w:bottom w:val="single" w:sz="12" w:space="0" w:color="auto"/>
              <w:right w:val="single" w:sz="12" w:space="0" w:color="000000"/>
            </w:tcBorders>
          </w:tcPr>
          <w:p w14:paraId="6B74953A" w14:textId="77777777" w:rsidR="002B58EA" w:rsidRDefault="002B58EA" w:rsidP="008471C7">
            <w:pPr>
              <w:spacing w:line="259" w:lineRule="auto"/>
              <w:ind w:left="24"/>
            </w:pPr>
            <w:r>
              <w:rPr>
                <w:sz w:val="20"/>
              </w:rPr>
              <w:t xml:space="preserve">Number:  </w:t>
            </w:r>
          </w:p>
        </w:tc>
      </w:tr>
      <w:tr w:rsidR="002B58EA" w14:paraId="739E6E88" w14:textId="77777777" w:rsidTr="002B58EA">
        <w:trPr>
          <w:trHeight w:val="346"/>
        </w:trPr>
        <w:tc>
          <w:tcPr>
            <w:tcW w:w="0" w:type="auto"/>
            <w:vMerge/>
            <w:tcBorders>
              <w:top w:val="nil"/>
              <w:left w:val="single" w:sz="12" w:space="0" w:color="000000"/>
              <w:bottom w:val="nil"/>
              <w:right w:val="single" w:sz="12" w:space="0" w:color="000000"/>
            </w:tcBorders>
          </w:tcPr>
          <w:p w14:paraId="40EED10C" w14:textId="77777777" w:rsidR="002B58EA" w:rsidRDefault="002B58EA" w:rsidP="008471C7">
            <w:pPr>
              <w:spacing w:after="160" w:line="259" w:lineRule="auto"/>
            </w:pPr>
          </w:p>
        </w:tc>
        <w:tc>
          <w:tcPr>
            <w:tcW w:w="0" w:type="auto"/>
            <w:vMerge/>
            <w:tcBorders>
              <w:top w:val="nil"/>
              <w:left w:val="single" w:sz="12" w:space="0" w:color="000000"/>
              <w:bottom w:val="nil"/>
              <w:right w:val="single" w:sz="12" w:space="0" w:color="000000"/>
            </w:tcBorders>
          </w:tcPr>
          <w:p w14:paraId="24D68304" w14:textId="77777777" w:rsidR="002B58EA" w:rsidRDefault="002B58EA" w:rsidP="008471C7">
            <w:pPr>
              <w:spacing w:after="160" w:line="259" w:lineRule="auto"/>
            </w:pPr>
          </w:p>
        </w:tc>
        <w:tc>
          <w:tcPr>
            <w:tcW w:w="1707" w:type="dxa"/>
            <w:tcBorders>
              <w:top w:val="single" w:sz="12" w:space="0" w:color="auto"/>
              <w:left w:val="single" w:sz="12" w:space="0" w:color="000000"/>
              <w:bottom w:val="single" w:sz="12" w:space="0" w:color="000000"/>
              <w:right w:val="single" w:sz="12" w:space="0" w:color="000000"/>
            </w:tcBorders>
          </w:tcPr>
          <w:p w14:paraId="546CF922" w14:textId="77777777" w:rsidR="002B58EA" w:rsidRDefault="002B58EA" w:rsidP="008471C7">
            <w:pPr>
              <w:spacing w:line="259" w:lineRule="auto"/>
              <w:ind w:left="24"/>
            </w:pPr>
            <w:r>
              <w:rPr>
                <w:sz w:val="20"/>
              </w:rPr>
              <w:t xml:space="preserve">  </w:t>
            </w:r>
          </w:p>
        </w:tc>
      </w:tr>
      <w:tr w:rsidR="002B58EA" w14:paraId="605DB6DD" w14:textId="77777777" w:rsidTr="008471C7">
        <w:trPr>
          <w:trHeight w:val="384"/>
        </w:trPr>
        <w:tc>
          <w:tcPr>
            <w:tcW w:w="0" w:type="auto"/>
            <w:vMerge/>
            <w:tcBorders>
              <w:top w:val="nil"/>
              <w:left w:val="single" w:sz="12" w:space="0" w:color="000000"/>
              <w:bottom w:val="nil"/>
              <w:right w:val="single" w:sz="12" w:space="0" w:color="000000"/>
            </w:tcBorders>
          </w:tcPr>
          <w:p w14:paraId="200347CD" w14:textId="77777777" w:rsidR="002B58EA" w:rsidRDefault="002B58EA" w:rsidP="008471C7">
            <w:pPr>
              <w:spacing w:after="160" w:line="259" w:lineRule="auto"/>
            </w:pPr>
          </w:p>
        </w:tc>
        <w:tc>
          <w:tcPr>
            <w:tcW w:w="0" w:type="auto"/>
            <w:vMerge/>
            <w:tcBorders>
              <w:top w:val="nil"/>
              <w:left w:val="single" w:sz="12" w:space="0" w:color="000000"/>
              <w:bottom w:val="nil"/>
              <w:right w:val="single" w:sz="12" w:space="0" w:color="000000"/>
            </w:tcBorders>
          </w:tcPr>
          <w:p w14:paraId="38E648A2" w14:textId="77777777" w:rsidR="002B58EA" w:rsidRDefault="002B58EA" w:rsidP="008471C7">
            <w:pPr>
              <w:spacing w:after="160" w:line="259" w:lineRule="auto"/>
            </w:pPr>
          </w:p>
        </w:tc>
        <w:tc>
          <w:tcPr>
            <w:tcW w:w="1707" w:type="dxa"/>
            <w:tcBorders>
              <w:top w:val="single" w:sz="12" w:space="0" w:color="000000"/>
              <w:left w:val="single" w:sz="12" w:space="0" w:color="000000"/>
              <w:bottom w:val="single" w:sz="8" w:space="0" w:color="000000"/>
              <w:right w:val="single" w:sz="12" w:space="0" w:color="000000"/>
            </w:tcBorders>
          </w:tcPr>
          <w:p w14:paraId="757D3B6D" w14:textId="77777777" w:rsidR="002B58EA" w:rsidRDefault="002B58EA" w:rsidP="008471C7">
            <w:pPr>
              <w:spacing w:line="259" w:lineRule="auto"/>
              <w:ind w:left="24"/>
            </w:pPr>
            <w:r>
              <w:rPr>
                <w:sz w:val="20"/>
              </w:rPr>
              <w:t xml:space="preserve">Date:  </w:t>
            </w:r>
          </w:p>
        </w:tc>
      </w:tr>
      <w:tr w:rsidR="002B58EA" w14:paraId="71A04AB4" w14:textId="77777777" w:rsidTr="002B58EA">
        <w:trPr>
          <w:trHeight w:val="299"/>
        </w:trPr>
        <w:tc>
          <w:tcPr>
            <w:tcW w:w="0" w:type="auto"/>
            <w:vMerge/>
            <w:tcBorders>
              <w:top w:val="nil"/>
              <w:left w:val="single" w:sz="12" w:space="0" w:color="000000"/>
              <w:bottom w:val="single" w:sz="12" w:space="0" w:color="auto"/>
              <w:right w:val="single" w:sz="12" w:space="0" w:color="000000"/>
            </w:tcBorders>
          </w:tcPr>
          <w:p w14:paraId="063D1647" w14:textId="77777777" w:rsidR="002B58EA" w:rsidRDefault="002B58EA" w:rsidP="008471C7">
            <w:pPr>
              <w:spacing w:after="160" w:line="259" w:lineRule="auto"/>
            </w:pPr>
          </w:p>
        </w:tc>
        <w:tc>
          <w:tcPr>
            <w:tcW w:w="0" w:type="auto"/>
            <w:vMerge/>
            <w:tcBorders>
              <w:top w:val="nil"/>
              <w:left w:val="single" w:sz="12" w:space="0" w:color="000000"/>
              <w:bottom w:val="single" w:sz="12" w:space="0" w:color="auto"/>
              <w:right w:val="single" w:sz="12" w:space="0" w:color="000000"/>
            </w:tcBorders>
          </w:tcPr>
          <w:p w14:paraId="708C5B09" w14:textId="77777777" w:rsidR="002B58EA" w:rsidRDefault="002B58EA" w:rsidP="008471C7">
            <w:pPr>
              <w:spacing w:after="160" w:line="259" w:lineRule="auto"/>
            </w:pPr>
          </w:p>
        </w:tc>
        <w:tc>
          <w:tcPr>
            <w:tcW w:w="1707" w:type="dxa"/>
            <w:tcBorders>
              <w:top w:val="single" w:sz="8" w:space="0" w:color="000000"/>
              <w:left w:val="single" w:sz="12" w:space="0" w:color="000000"/>
              <w:bottom w:val="single" w:sz="12" w:space="0" w:color="auto"/>
              <w:right w:val="single" w:sz="12" w:space="0" w:color="000000"/>
            </w:tcBorders>
          </w:tcPr>
          <w:p w14:paraId="538D5FC7" w14:textId="77777777" w:rsidR="002B58EA" w:rsidRDefault="002B58EA" w:rsidP="008471C7">
            <w:pPr>
              <w:spacing w:line="259" w:lineRule="auto"/>
              <w:ind w:left="24"/>
            </w:pPr>
            <w:r>
              <w:rPr>
                <w:sz w:val="20"/>
              </w:rPr>
              <w:t xml:space="preserve"> </w:t>
            </w:r>
          </w:p>
        </w:tc>
      </w:tr>
      <w:tr w:rsidR="002B58EA" w14:paraId="7711128E" w14:textId="77777777" w:rsidTr="002B58EA">
        <w:trPr>
          <w:trHeight w:val="11000" w:hRule="atLeast"/>
          <w:cantSplit/>
        </w:trPr>
        <w:tc>
          <w:tcPr>
            <w:tcW w:w="9359" w:type="dxa"/>
            <w:gridSpan w:val="3"/>
            <w:tcBorders>
              <w:top w:val="nil"/>
              <w:left w:val="single" w:sz="12" w:space="0" w:color="000000"/>
              <w:bottom w:val="single" w:sz="12" w:space="0" w:color="auto"/>
              <w:right w:val="single" w:sz="12" w:space="0" w:color="000000"/>
            </w:tcBorders>
          </w:tcPr>
          <w:p w14:paraId="6F7F5AB5" w14:textId="77777777" w:rsidR="002B58EA" w:rsidRDefault="002B58EA" w:rsidP="002B58EA">
            <w:pPr>
              <w:spacing w:line="240" w:lineRule="auto" w:before="0" w:after="200"/>
              <w:ind w:left="187"/>
              <w:jc w:val="left"/>
              <w:rPr>
                <w:b/>
                <w:sz w:val="28"/>
              </w:rPr>
            </w:pPr>
            <w:r>
              <w:rPr>
                <w:rFonts w:ascii="Times New Roman" w:hAnsi="Times New Roman" w:eastAsia="Times New Roman"/>
                <w:b/>
                <w:sz w:val="28"/>
                <w:u w:val="none"/>
              </w:rPr>
              <w:t>UNION UNIVERSITY</w:t>
            </w:r>
          </w:p>
          <w:p>
            <w:pPr>
              <w:spacing w:line="240" w:lineRule="auto" w:before="0" w:after="200"/>
              <w:ind w:left="187"/>
              <w:jc w:val="left"/>
            </w:pPr>
            <w:r>
              <w:rPr>
                <w:rFonts w:ascii="Times New Roman" w:hAnsi="Times New Roman" w:eastAsia="Times New Roman"/>
                <w:b/>
                <w:sz w:val="28"/>
                <w:u w:val="none"/>
              </w:rPr>
              <w:t>SCHOOL OF COMPUTING BELGRADE, SERBIA</w:t>
            </w:r>
          </w:p>
          <w:p>
            <w:pPr>
              <w:spacing w:line="240" w:lineRule="auto" w:before="0" w:after="840"/>
              <w:ind w:left="187"/>
              <w:jc w:val="left"/>
            </w:pPr>
            <w:r>
              <w:rPr>
                <w:rFonts w:ascii="Times New Roman" w:hAnsi="Times New Roman" w:eastAsia="Times New Roman"/>
                <w:b/>
                <w:sz w:val="28"/>
                <w:u w:val="none"/>
              </w:rPr>
              <w:t>MASTER IN COMPUTATIONAL FINANCE</w:t>
            </w:r>
          </w:p>
          <w:p>
            <w:pPr>
              <w:spacing w:line="240" w:lineRule="auto" w:before="0" w:after="960"/>
              <w:jc w:val="center"/>
            </w:pPr>
            <w:r>
              <w:rPr>
                <w:rFonts w:ascii="Times New Roman" w:hAnsi="Times New Roman" w:eastAsia="Times New Roman"/>
                <w:b/>
                <w:sz w:val="44"/>
                <w:u w:val="none"/>
              </w:rPr>
              <w:t>MASTER'S THESIS</w:t>
            </w:r>
          </w:p>
          <w:p>
            <w:pPr>
              <w:spacing w:line="240" w:lineRule="auto" w:before="0" w:after="60"/>
              <w:ind w:left="187"/>
              <w:jc w:val="left"/>
            </w:pPr>
            <w:r>
              <w:rPr>
                <w:rFonts w:ascii="Times New Roman" w:hAnsi="Times New Roman" w:eastAsia="Times New Roman"/>
                <w:b/>
                <w:sz w:val="28"/>
                <w:u w:val="single"/>
              </w:rPr>
              <w:t>Student:</w:t>
            </w:r>
            <w:r>
              <w:rPr>
                <w:rFonts w:ascii="Times New Roman" w:hAnsi="Times New Roman" w:eastAsia="Times New Roman"/>
                <w:b/>
                <w:sz w:val="28"/>
                <w:u w:val="none"/>
              </w:rPr>
              <w:t xml:space="preserve"> Đorđe Veličković</w:t>
            </w:r>
          </w:p>
          <w:p>
            <w:pPr>
              <w:spacing w:line="240" w:lineRule="auto" w:before="0" w:after="680"/>
              <w:ind w:left="187"/>
              <w:jc w:val="left"/>
            </w:pPr>
            <w:r>
              <w:rPr>
                <w:rFonts w:ascii="Times New Roman" w:hAnsi="Times New Roman" w:eastAsia="Times New Roman"/>
                <w:b/>
                <w:sz w:val="28"/>
                <w:u w:val="single"/>
              </w:rPr>
              <w:t>Student ID number:</w:t>
            </w:r>
            <w:r>
              <w:rPr>
                <w:rFonts w:ascii="Times New Roman" w:hAnsi="Times New Roman" w:eastAsia="Times New Roman"/>
                <w:b/>
                <w:sz w:val="28"/>
                <w:u w:val="none"/>
              </w:rPr>
              <w:t xml:space="preserve"> [TO BE ENTERED]</w:t>
            </w:r>
          </w:p>
          <w:p>
            <w:pPr>
              <w:spacing w:line="240" w:lineRule="auto" w:before="0" w:after="200"/>
              <w:ind w:left="187"/>
              <w:jc w:val="left"/>
            </w:pPr>
            <w:r>
              <w:rPr>
                <w:rFonts w:ascii="Times New Roman" w:hAnsi="Times New Roman" w:eastAsia="Times New Roman"/>
                <w:b/>
                <w:sz w:val="28"/>
                <w:u w:val="single"/>
              </w:rPr>
              <w:t>Title:</w:t>
            </w:r>
          </w:p>
          <w:p>
            <w:pPr>
              <w:spacing w:line="240" w:lineRule="auto" w:before="0" w:after="0"/>
              <w:jc w:val="center"/>
            </w:pPr>
            <w:r>
              <w:rPr>
                <w:rFonts w:ascii="Times New Roman" w:hAnsi="Times New Roman" w:eastAsia="Times New Roman"/>
                <w:b/>
                <w:sz w:val="32"/>
                <w:u w:val="none"/>
              </w:rPr>
              <w:t>Dynamic Determination of Short-Term</w:t>
            </w:r>
          </w:p>
          <w:p>
            <w:pPr>
              <w:spacing w:line="240" w:lineRule="auto" w:before="0" w:after="0"/>
              <w:jc w:val="center"/>
            </w:pPr>
            <w:r>
              <w:rPr>
                <w:rFonts w:ascii="Times New Roman" w:hAnsi="Times New Roman" w:eastAsia="Times New Roman"/>
                <w:b/>
                <w:sz w:val="32"/>
                <w:u w:val="none"/>
              </w:rPr>
              <w:t>Corporate Credit Limits Using</w:t>
            </w:r>
          </w:p>
          <w:p>
            <w:pPr>
              <w:spacing w:line="240" w:lineRule="auto" w:before="0" w:after="680"/>
              <w:jc w:val="center"/>
            </w:pPr>
            <w:r>
              <w:rPr>
                <w:rFonts w:ascii="Times New Roman" w:hAnsi="Times New Roman" w:eastAsia="Times New Roman"/>
                <w:b/>
                <w:sz w:val="32"/>
                <w:u w:val="none"/>
              </w:rPr>
              <w:t>Machine Learning</w:t>
            </w:r>
          </w:p>
          <w:p>
            <w:pPr>
              <w:spacing w:line="240" w:lineRule="auto" w:before="0" w:after="1240"/>
              <w:ind w:left="187"/>
              <w:jc w:val="left"/>
            </w:pPr>
            <w:r>
              <w:rPr>
                <w:rFonts w:ascii="Times New Roman" w:hAnsi="Times New Roman" w:eastAsia="Times New Roman"/>
                <w:b/>
                <w:sz w:val="28"/>
                <w:u w:val="single"/>
              </w:rPr>
              <w:t>Supervisor:</w:t>
            </w:r>
            <w:r>
              <w:rPr>
                <w:rFonts w:ascii="Times New Roman" w:hAnsi="Times New Roman" w:eastAsia="Times New Roman"/>
                <w:b/>
                <w:sz w:val="28"/>
                <w:u w:val="none"/>
              </w:rPr>
              <w:t xml:space="preserve"> Prof. Dr. Branko Urošević</w:t>
            </w:r>
          </w:p>
          <w:p>
            <w:pPr>
              <w:spacing w:line="240" w:lineRule="auto" w:before="0" w:after="0"/>
              <w:jc w:val="center"/>
            </w:pPr>
            <w:r>
              <w:rPr>
                <w:rFonts w:ascii="Times New Roman" w:hAnsi="Times New Roman" w:eastAsia="Times New Roman"/>
                <w:b/>
                <w:sz w:val="28"/>
                <w:u w:val="none"/>
              </w:rPr>
              <w:t>Belgrade, October 2026</w:t>
            </w:r>
          </w:p>
        </w:tc>
      </w:tr>
    </w:tbl>
    <w:p>
      <w:pPr>
        <w:pStyle w:val="Heading1"/>
        <w:pageBreakBefore/>
        <w:jc w:val="center"/>
      </w:pPr>
      <w:bookmarkStart w:id="71" w:name="_abstract"/>
      <w:r>
        <w:rPr>
          <w:rFonts w:ascii="Times New Roman" w:hAnsi="Times New Roman" w:eastAsia="Times New Roman"/>
          <w:b w:val="0"/>
          <w:sz w:val="28"/>
        </w:rPr>
        <w:t xml:space="preserve">Abstract</w:t>
      </w:r>
      <w:bookmarkEnd w:id="71"/>
    </w:p>
    <w:p>
      <w:pPr>
        <w:pStyle w:val="BodyText"/>
        <w:spacing w:before="0" w:after="200" w:line="276" w:lineRule="auto"/>
        <w:jc w:val="both"/>
      </w:pPr>
      <w:r>
        <w:rPr>
          <w:rFonts w:ascii="Times New Roman" w:hAnsi="Times New Roman" w:eastAsia="Times New Roman"/>
          <w:b w:val="0"/>
          <w:sz w:val="24"/>
        </w:rPr>
        <w:t xml:space="preserve">This thesis develops a framework for dynamic short-term corporate credit limits, separating event-risk prediction from a monetary policy based on capacity, risk and an exposure cap. The proposed facility has a 30-day statement period and up to 30 further days for payment.</w:t>
      </w:r>
    </w:p>
    <w:p>
      <w:pPr>
        <w:pStyle w:val="BodyText"/>
        <w:spacing w:before="0" w:after="200" w:line="276" w:lineRule="auto"/>
        <w:jc w:val="both"/>
      </w:pPr>
      <w:r>
        <w:rPr>
          <w:rFonts w:ascii="Times New Roman" w:hAnsi="Times New Roman" w:eastAsia="Times New Roman"/>
          <w:b w:val="0"/>
          <w:sz w:val="24"/>
        </w:rPr>
        <w:t xml:space="preserve">SEC Company Facts, Financial Statement and Notes data, and submissions are combined into 565,222 labeled company-months for 8,780 companies over 2011–2025. Twelve point-in-time accounting predictors cover liquidity, leverage, profitability, cash flow, growth and size. The target is a new bankruptcy or reviewed payment-failure disclosure episode within 60 days, not verified payment default.</w:t>
      </w:r>
    </w:p>
    <w:p>
      <w:pPr>
        <w:pStyle w:val="BodyText"/>
        <w:spacing w:before="0" w:after="200" w:line="276" w:lineRule="auto"/>
        <w:jc w:val="both"/>
      </w:pPr>
      <w:r>
        <w:rPr>
          <w:rFonts w:ascii="Times New Roman" w:hAnsi="Times New Roman" w:eastAsia="Times New Roman"/>
          <w:b w:val="0"/>
          <w:sz w:val="24"/>
        </w:rPr>
        <w:t xml:space="preserve">Logistic regression, L2 logistic regression, random forest and XGBoost are compared chronologically. The selected random forest uses raw probabilities. On 131,842 observations from 2023–2025, it achieves ROC-AUC 0.8866 and average precision 2.60%, or 10.77 times the 0.241% event share. Its Brier score is 0.95% below the constant benchmark. Frozen-threshold precision is 5.63% and recall 9.12%. Thus, ranking is useful, but probability improvement and detection are limited.</w:t>
      </w:r>
    </w:p>
    <w:p>
      <w:pPr>
        <w:pStyle w:val="BodyText"/>
        <w:spacing w:before="0" w:after="200" w:line="276" w:lineRule="auto"/>
        <w:jc w:val="both"/>
      </w:pPr>
      <w:r>
        <w:rPr>
          <w:rFonts w:ascii="Times New Roman" w:hAnsi="Times New Roman" w:eastAsia="Times New Roman"/>
          <w:b w:val="0"/>
          <w:sz w:val="24"/>
        </w:rPr>
        <w:t xml:space="preserve">The hypothetical policy replay covers 99,619 observations from 3,869 companies. The median limit is USD 4.23 million and the mean is 0.668% of assets. Capacity assumptions and caps affect aggregate limits more than the risk adjustment. Because realized exposure, losses, pricing and profitability are unavailable, lending benefits cannot be established. The 2023–2025 evaluation is retrospective rather than untouched external validation.</w:t>
      </w:r>
    </w:p>
    <w:p>
      <w:pPr>
        <w:pStyle w:val="BodyText"/>
        <w:spacing w:before="0" w:after="200" w:line="276" w:lineRule="auto"/>
        <w:jc w:val="both"/>
      </w:pPr>
      <w:r>
        <w:rPr>
          <w:rFonts w:ascii="Times New Roman" w:hAnsi="Times New Roman" w:eastAsia="Times New Roman"/>
          <w:b w:val="0"/>
          <w:bCs/>
          <w:sz w:val="24"/>
        </w:rPr>
        <w:t xml:space="preserve">Keywords:</w:t>
      </w:r>
      <w:r>
        <w:rPr>
          <w:rFonts w:ascii="Times New Roman" w:hAnsi="Times New Roman" w:eastAsia="Times New Roman"/>
          <w:b w:val="0"/>
          <w:sz w:val="24"/>
        </w:rPr>
        <w:t xml:space="preserve"> </w:t>
      </w:r>
      <w:r>
        <w:rPr>
          <w:rFonts w:ascii="Times New Roman" w:hAnsi="Times New Roman" w:eastAsia="Times New Roman"/>
          <w:b w:val="0"/>
          <w:sz w:val="24"/>
        </w:rPr>
        <w:t xml:space="preserve">corporate credit risk, credit limits, SEC disclosures, machine learning, probability calibration, historical simulation.</w:t>
      </w:r>
    </w:p>
    <w:p>
      <w:pPr>
        <w:pStyle w:val="Heading1"/>
        <w:pageBreakBefore/>
        <w:jc w:val="center"/>
      </w:pPr>
      <w:bookmarkStart w:id="72" w:name="_07062b668b7708f9a8b17187d32941e697cc337"/>
      <w:r>
        <w:rPr>
          <w:rFonts w:ascii="Times New Roman" w:hAnsi="Times New Roman" w:eastAsia="Times New Roman"/>
          <w:b/>
          <w:sz w:val="32"/>
        </w:rPr>
        <w:t xml:space="preserve">Table of Contents</w:t>
      </w:r>
      <w:bookmarkEnd w:id="72"/>
    </w:p>
    <w:p>
      <w:pPr>
        <w:pStyle w:val="BodyText"/>
        <w:tabs>
          <w:tab w:pos="8787" w:val="right" w:leader="dot"/>
        </w:tabs>
        <w:spacing w:line="240" w:lineRule="auto" w:after="40"/>
        <w:ind w:left="0"/>
        <w:jc w:val="left"/>
      </w:pPr>
      <w:r>
        <w:rPr>
          <w:rFonts w:ascii="Times New Roman" w:hAnsi="Times New Roman" w:eastAsia="Times New Roman"/>
          <w:sz w:val="24"/>
        </w:rPr>
        <w:t>Abstract</w:t>
      </w:r>
      <w:r>
        <w:tab/>
      </w:r>
      <w:r>
        <w:rPr>
          <w:rFonts w:ascii="Times New Roman" w:hAnsi="Times New Roman" w:eastAsia="Times New Roman"/>
          <w:sz w:val="24"/>
        </w:rPr>
        <w:t>2</w:t>
      </w:r>
    </w:p>
    <w:p>
      <w:pPr>
        <w:pStyle w:val="BodyText"/>
        <w:tabs>
          <w:tab w:pos="8787" w:val="right" w:leader="dot"/>
        </w:tabs>
        <w:spacing w:line="240" w:lineRule="auto" w:after="40"/>
        <w:ind w:left="0"/>
        <w:jc w:val="left"/>
      </w:pPr>
      <w:r>
        <w:rPr>
          <w:rFonts w:ascii="Times New Roman" w:hAnsi="Times New Roman" w:eastAsia="Times New Roman"/>
          <w:sz w:val="24"/>
        </w:rPr>
        <w:t>1 Introduction</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1.1 Background</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1.2 Research Problem</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1.3 Research Questions</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1.4 Objectives and Contribution</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1.5 Scope and Limitations</w:t>
      </w:r>
      <w:r>
        <w:tab/>
      </w:r>
      <w:r>
        <w:rPr>
          <w:rFonts w:ascii="Times New Roman" w:hAnsi="Times New Roman" w:eastAsia="Times New Roman"/>
          <w:sz w:val="24"/>
        </w:rPr>
        <w:t>8</w:t>
      </w:r>
    </w:p>
    <w:p>
      <w:pPr>
        <w:pStyle w:val="BodyText"/>
        <w:tabs>
          <w:tab w:pos="8787" w:val="right" w:leader="dot"/>
        </w:tabs>
        <w:spacing w:line="240" w:lineRule="auto" w:after="40"/>
        <w:ind w:left="312"/>
        <w:jc w:val="left"/>
      </w:pPr>
      <w:r>
        <w:rPr>
          <w:rFonts w:ascii="Times New Roman" w:hAnsi="Times New Roman" w:eastAsia="Times New Roman"/>
          <w:sz w:val="24"/>
        </w:rPr>
        <w:t>1.6 Structure of the Thesis</w:t>
      </w:r>
      <w:r>
        <w:tab/>
      </w:r>
      <w:r>
        <w:rPr>
          <w:rFonts w:ascii="Times New Roman" w:hAnsi="Times New Roman" w:eastAsia="Times New Roman"/>
          <w:sz w:val="24"/>
        </w:rPr>
        <w:t>8</w:t>
      </w:r>
    </w:p>
    <w:p>
      <w:pPr>
        <w:pStyle w:val="BodyText"/>
        <w:tabs>
          <w:tab w:pos="8787" w:val="right" w:leader="dot"/>
        </w:tabs>
        <w:spacing w:line="240" w:lineRule="auto" w:after="40"/>
        <w:ind w:left="0"/>
        <w:jc w:val="left"/>
      </w:pPr>
      <w:r>
        <w:rPr>
          <w:rFonts w:ascii="Times New Roman" w:hAnsi="Times New Roman" w:eastAsia="Times New Roman"/>
          <w:sz w:val="24"/>
        </w:rPr>
        <w:t>2 Theoretical Background and Literature Review</w:t>
      </w:r>
      <w:r>
        <w:tab/>
      </w:r>
      <w:r>
        <w:rPr>
          <w:rFonts w:ascii="Times New Roman" w:hAnsi="Times New Roman" w:eastAsia="Times New Roman"/>
          <w:sz w:val="24"/>
        </w:rPr>
        <w:t>9</w:t>
      </w:r>
    </w:p>
    <w:p>
      <w:pPr>
        <w:pStyle w:val="BodyText"/>
        <w:tabs>
          <w:tab w:pos="8787" w:val="right" w:leader="dot"/>
        </w:tabs>
        <w:spacing w:line="240" w:lineRule="auto" w:after="40"/>
        <w:ind w:left="312"/>
        <w:jc w:val="left"/>
      </w:pPr>
      <w:r>
        <w:rPr>
          <w:rFonts w:ascii="Times New Roman" w:hAnsi="Times New Roman" w:eastAsia="Times New Roman"/>
          <w:sz w:val="24"/>
        </w:rPr>
        <w:t>2.1 Corporate Credit Risk</w:t>
      </w:r>
      <w:r>
        <w:tab/>
      </w:r>
      <w:r>
        <w:rPr>
          <w:rFonts w:ascii="Times New Roman" w:hAnsi="Times New Roman" w:eastAsia="Times New Roman"/>
          <w:sz w:val="24"/>
        </w:rPr>
        <w:t>9</w:t>
      </w:r>
    </w:p>
    <w:p>
      <w:pPr>
        <w:pStyle w:val="BodyText"/>
        <w:tabs>
          <w:tab w:pos="8787" w:val="right" w:leader="dot"/>
        </w:tabs>
        <w:spacing w:line="240" w:lineRule="auto" w:after="40"/>
        <w:ind w:left="312"/>
        <w:jc w:val="left"/>
      </w:pPr>
      <w:r>
        <w:rPr>
          <w:rFonts w:ascii="Times New Roman" w:hAnsi="Times New Roman" w:eastAsia="Times New Roman"/>
          <w:sz w:val="24"/>
        </w:rPr>
        <w:t>2.2 Short-Term Corporate Credit Facilities</w:t>
      </w:r>
      <w:r>
        <w:tab/>
      </w:r>
      <w:r>
        <w:rPr>
          <w:rFonts w:ascii="Times New Roman" w:hAnsi="Times New Roman" w:eastAsia="Times New Roman"/>
          <w:sz w:val="24"/>
        </w:rPr>
        <w:t>9</w:t>
      </w:r>
    </w:p>
    <w:p>
      <w:pPr>
        <w:pStyle w:val="BodyText"/>
        <w:tabs>
          <w:tab w:pos="8787" w:val="right" w:leader="dot"/>
        </w:tabs>
        <w:spacing w:line="240" w:lineRule="auto" w:after="40"/>
        <w:ind w:left="312"/>
        <w:jc w:val="left"/>
      </w:pPr>
      <w:r>
        <w:rPr>
          <w:rFonts w:ascii="Times New Roman" w:hAnsi="Times New Roman" w:eastAsia="Times New Roman"/>
          <w:sz w:val="24"/>
        </w:rPr>
        <w:t>2.3 Corporate Credit Scoring</w:t>
      </w:r>
      <w:r>
        <w:tab/>
      </w:r>
      <w:r>
        <w:rPr>
          <w:rFonts w:ascii="Times New Roman" w:hAnsi="Times New Roman" w:eastAsia="Times New Roman"/>
          <w:sz w:val="24"/>
        </w:rPr>
        <w:t>9</w:t>
      </w:r>
    </w:p>
    <w:p>
      <w:pPr>
        <w:pStyle w:val="BodyText"/>
        <w:tabs>
          <w:tab w:pos="8787" w:val="right" w:leader="dot"/>
        </w:tabs>
        <w:spacing w:line="240" w:lineRule="auto" w:after="40"/>
        <w:ind w:left="312"/>
        <w:jc w:val="left"/>
      </w:pPr>
      <w:r>
        <w:rPr>
          <w:rFonts w:ascii="Times New Roman" w:hAnsi="Times New Roman" w:eastAsia="Times New Roman"/>
          <w:sz w:val="24"/>
        </w:rPr>
        <w:t>2.4 Financial Ratio Analysis</w:t>
      </w:r>
      <w:r>
        <w:tab/>
      </w:r>
      <w:r>
        <w:rPr>
          <w:rFonts w:ascii="Times New Roman" w:hAnsi="Times New Roman" w:eastAsia="Times New Roman"/>
          <w:sz w:val="24"/>
        </w:rPr>
        <w:t>10</w:t>
      </w:r>
    </w:p>
    <w:p>
      <w:pPr>
        <w:pStyle w:val="BodyText"/>
        <w:tabs>
          <w:tab w:pos="8787" w:val="right" w:leader="dot"/>
        </w:tabs>
        <w:spacing w:line="240" w:lineRule="auto" w:after="40"/>
        <w:ind w:left="312"/>
        <w:jc w:val="left"/>
      </w:pPr>
      <w:r>
        <w:rPr>
          <w:rFonts w:ascii="Times New Roman" w:hAnsi="Times New Roman" w:eastAsia="Times New Roman"/>
          <w:sz w:val="24"/>
        </w:rPr>
        <w:t>2.5 Statistical and Machine Learning Models</w:t>
      </w:r>
      <w:r>
        <w:tab/>
      </w:r>
      <w:r>
        <w:rPr>
          <w:rFonts w:ascii="Times New Roman" w:hAnsi="Times New Roman" w:eastAsia="Times New Roman"/>
          <w:sz w:val="24"/>
        </w:rPr>
        <w:t>10</w:t>
      </w:r>
    </w:p>
    <w:p>
      <w:pPr>
        <w:pStyle w:val="BodyText"/>
        <w:tabs>
          <w:tab w:pos="8787" w:val="right" w:leader="dot"/>
        </w:tabs>
        <w:spacing w:line="240" w:lineRule="auto" w:after="40"/>
        <w:ind w:left="624"/>
        <w:jc w:val="left"/>
      </w:pPr>
      <w:r>
        <w:rPr>
          <w:rFonts w:ascii="Times New Roman" w:hAnsi="Times New Roman" w:eastAsia="Times New Roman"/>
          <w:sz w:val="24"/>
        </w:rPr>
        <w:t>2.5.1 Logistic regression</w:t>
      </w:r>
      <w:r>
        <w:tab/>
      </w:r>
      <w:r>
        <w:rPr>
          <w:rFonts w:ascii="Times New Roman" w:hAnsi="Times New Roman" w:eastAsia="Times New Roman"/>
          <w:sz w:val="24"/>
        </w:rPr>
        <w:t>10</w:t>
      </w:r>
    </w:p>
    <w:p>
      <w:pPr>
        <w:pStyle w:val="BodyText"/>
        <w:tabs>
          <w:tab w:pos="8787" w:val="right" w:leader="dot"/>
        </w:tabs>
        <w:spacing w:line="240" w:lineRule="auto" w:after="40"/>
        <w:ind w:left="624"/>
        <w:jc w:val="left"/>
      </w:pPr>
      <w:r>
        <w:rPr>
          <w:rFonts w:ascii="Times New Roman" w:hAnsi="Times New Roman" w:eastAsia="Times New Roman"/>
          <w:sz w:val="24"/>
        </w:rPr>
        <w:t>2.5.2 Regularized logistic regression</w:t>
      </w:r>
      <w:r>
        <w:tab/>
      </w:r>
      <w:r>
        <w:rPr>
          <w:rFonts w:ascii="Times New Roman" w:hAnsi="Times New Roman" w:eastAsia="Times New Roman"/>
          <w:sz w:val="24"/>
        </w:rPr>
        <w:t>10</w:t>
      </w:r>
    </w:p>
    <w:p>
      <w:pPr>
        <w:pStyle w:val="BodyText"/>
        <w:tabs>
          <w:tab w:pos="8787" w:val="right" w:leader="dot"/>
        </w:tabs>
        <w:spacing w:line="240" w:lineRule="auto" w:after="40"/>
        <w:ind w:left="624"/>
        <w:jc w:val="left"/>
      </w:pPr>
      <w:r>
        <w:rPr>
          <w:rFonts w:ascii="Times New Roman" w:hAnsi="Times New Roman" w:eastAsia="Times New Roman"/>
          <w:sz w:val="24"/>
        </w:rPr>
        <w:t>2.5.3 Random forest</w:t>
      </w:r>
      <w:r>
        <w:tab/>
      </w:r>
      <w:r>
        <w:rPr>
          <w:rFonts w:ascii="Times New Roman" w:hAnsi="Times New Roman" w:eastAsia="Times New Roman"/>
          <w:sz w:val="24"/>
        </w:rPr>
        <w:t>11</w:t>
      </w:r>
    </w:p>
    <w:p>
      <w:pPr>
        <w:pStyle w:val="BodyText"/>
        <w:tabs>
          <w:tab w:pos="8787" w:val="right" w:leader="dot"/>
        </w:tabs>
        <w:spacing w:line="240" w:lineRule="auto" w:after="40"/>
        <w:ind w:left="624"/>
        <w:jc w:val="left"/>
      </w:pPr>
      <w:r>
        <w:rPr>
          <w:rFonts w:ascii="Times New Roman" w:hAnsi="Times New Roman" w:eastAsia="Times New Roman"/>
          <w:sz w:val="24"/>
        </w:rPr>
        <w:t>2.5.4 Gradient boosting</w:t>
      </w:r>
      <w:r>
        <w:tab/>
      </w:r>
      <w:r>
        <w:rPr>
          <w:rFonts w:ascii="Times New Roman" w:hAnsi="Times New Roman" w:eastAsia="Times New Roman"/>
          <w:sz w:val="24"/>
        </w:rPr>
        <w:t>11</w:t>
      </w:r>
    </w:p>
    <w:p>
      <w:pPr>
        <w:pStyle w:val="BodyText"/>
        <w:tabs>
          <w:tab w:pos="8787" w:val="right" w:leader="dot"/>
        </w:tabs>
        <w:spacing w:line="240" w:lineRule="auto" w:after="40"/>
        <w:ind w:left="624"/>
        <w:jc w:val="left"/>
      </w:pPr>
      <w:r>
        <w:rPr>
          <w:rFonts w:ascii="Times New Roman" w:hAnsi="Times New Roman" w:eastAsia="Times New Roman"/>
          <w:sz w:val="24"/>
        </w:rPr>
        <w:t>2.5.5 Evaluation and interpretation</w:t>
      </w:r>
      <w:r>
        <w:tab/>
      </w:r>
      <w:r>
        <w:rPr>
          <w:rFonts w:ascii="Times New Roman" w:hAnsi="Times New Roman" w:eastAsia="Times New Roman"/>
          <w:sz w:val="24"/>
        </w:rPr>
        <w:t>11</w:t>
      </w:r>
    </w:p>
    <w:p>
      <w:pPr>
        <w:pStyle w:val="BodyText"/>
        <w:tabs>
          <w:tab w:pos="8787" w:val="right" w:leader="dot"/>
        </w:tabs>
        <w:spacing w:line="240" w:lineRule="auto" w:after="40"/>
        <w:ind w:left="312"/>
        <w:jc w:val="left"/>
      </w:pPr>
      <w:r>
        <w:rPr>
          <w:rFonts w:ascii="Times New Roman" w:hAnsi="Times New Roman" w:eastAsia="Times New Roman"/>
          <w:sz w:val="24"/>
        </w:rPr>
        <w:t>2.6 Credit Limit Determination</w:t>
      </w:r>
      <w:r>
        <w:tab/>
      </w:r>
      <w:r>
        <w:rPr>
          <w:rFonts w:ascii="Times New Roman" w:hAnsi="Times New Roman" w:eastAsia="Times New Roman"/>
          <w:sz w:val="24"/>
        </w:rPr>
        <w:t>11</w:t>
      </w:r>
    </w:p>
    <w:p>
      <w:pPr>
        <w:pStyle w:val="BodyText"/>
        <w:tabs>
          <w:tab w:pos="8787" w:val="right" w:leader="dot"/>
        </w:tabs>
        <w:spacing w:line="240" w:lineRule="auto" w:after="40"/>
        <w:ind w:left="312"/>
        <w:jc w:val="left"/>
      </w:pPr>
      <w:r>
        <w:rPr>
          <w:rFonts w:ascii="Times New Roman" w:hAnsi="Times New Roman" w:eastAsia="Times New Roman"/>
          <w:sz w:val="24"/>
        </w:rPr>
        <w:t>2.7 Dynamic Limit Management</w:t>
      </w:r>
      <w:r>
        <w:tab/>
      </w:r>
      <w:r>
        <w:rPr>
          <w:rFonts w:ascii="Times New Roman" w:hAnsi="Times New Roman" w:eastAsia="Times New Roman"/>
          <w:sz w:val="24"/>
        </w:rPr>
        <w:t>12</w:t>
      </w:r>
    </w:p>
    <w:p>
      <w:pPr>
        <w:pStyle w:val="BodyText"/>
        <w:tabs>
          <w:tab w:pos="8787" w:val="right" w:leader="dot"/>
        </w:tabs>
        <w:spacing w:line="240" w:lineRule="auto" w:after="40"/>
        <w:ind w:left="312"/>
        <w:jc w:val="left"/>
      </w:pPr>
      <w:r>
        <w:rPr>
          <w:rFonts w:ascii="Times New Roman" w:hAnsi="Times New Roman" w:eastAsia="Times New Roman"/>
          <w:sz w:val="24"/>
        </w:rPr>
        <w:t>2.8 Research Gap and Position of the Study</w:t>
      </w:r>
      <w:r>
        <w:tab/>
      </w:r>
      <w:r>
        <w:rPr>
          <w:rFonts w:ascii="Times New Roman" w:hAnsi="Times New Roman" w:eastAsia="Times New Roman"/>
          <w:sz w:val="24"/>
        </w:rPr>
        <w:t>12</w:t>
      </w:r>
    </w:p>
    <w:p>
      <w:pPr>
        <w:pStyle w:val="BodyText"/>
        <w:tabs>
          <w:tab w:pos="8787" w:val="right" w:leader="dot"/>
        </w:tabs>
        <w:spacing w:line="240" w:lineRule="auto" w:after="40"/>
        <w:ind w:left="0"/>
        <w:jc w:val="left"/>
      </w:pPr>
      <w:r>
        <w:rPr>
          <w:rFonts w:ascii="Times New Roman" w:hAnsi="Times New Roman" w:eastAsia="Times New Roman"/>
          <w:sz w:val="24"/>
        </w:rPr>
        <w:t>3 Data and Target Definition</w:t>
      </w:r>
      <w:r>
        <w:tab/>
      </w:r>
      <w:r>
        <w:rPr>
          <w:rFonts w:ascii="Times New Roman" w:hAnsi="Times New Roman" w:eastAsia="Times New Roman"/>
          <w:sz w:val="24"/>
        </w:rPr>
        <w:t>13</w:t>
      </w:r>
    </w:p>
    <w:p>
      <w:pPr>
        <w:pStyle w:val="BodyText"/>
        <w:tabs>
          <w:tab w:pos="8787" w:val="right" w:leader="dot"/>
        </w:tabs>
        <w:spacing w:line="240" w:lineRule="auto" w:after="40"/>
        <w:ind w:left="312"/>
        <w:jc w:val="left"/>
      </w:pPr>
      <w:r>
        <w:rPr>
          <w:rFonts w:ascii="Times New Roman" w:hAnsi="Times New Roman" w:eastAsia="Times New Roman"/>
          <w:sz w:val="24"/>
        </w:rPr>
        <w:t>3.1 Study Population and Observation Unit</w:t>
      </w:r>
      <w:r>
        <w:tab/>
      </w:r>
      <w:r>
        <w:rPr>
          <w:rFonts w:ascii="Times New Roman" w:hAnsi="Times New Roman" w:eastAsia="Times New Roman"/>
          <w:sz w:val="24"/>
        </w:rPr>
        <w:t>13</w:t>
      </w:r>
    </w:p>
    <w:p>
      <w:pPr>
        <w:pStyle w:val="BodyText"/>
        <w:tabs>
          <w:tab w:pos="8787" w:val="right" w:leader="dot"/>
        </w:tabs>
        <w:spacing w:line="240" w:lineRule="auto" w:after="40"/>
        <w:ind w:left="312"/>
        <w:jc w:val="left"/>
      </w:pPr>
      <w:r>
        <w:rPr>
          <w:rFonts w:ascii="Times New Roman" w:hAnsi="Times New Roman" w:eastAsia="Times New Roman"/>
          <w:sz w:val="24"/>
        </w:rPr>
        <w:t>3.2 Sources and Information Availability</w:t>
      </w:r>
      <w:r>
        <w:tab/>
      </w:r>
      <w:r>
        <w:rPr>
          <w:rFonts w:ascii="Times New Roman" w:hAnsi="Times New Roman" w:eastAsia="Times New Roman"/>
          <w:sz w:val="24"/>
        </w:rPr>
        <w:t>13</w:t>
      </w:r>
    </w:p>
    <w:p>
      <w:pPr>
        <w:pStyle w:val="BodyText"/>
        <w:tabs>
          <w:tab w:pos="8787" w:val="right" w:leader="dot"/>
        </w:tabs>
        <w:spacing w:line="240" w:lineRule="auto" w:after="40"/>
        <w:ind w:left="624"/>
        <w:jc w:val="left"/>
      </w:pPr>
      <w:r>
        <w:rPr>
          <w:rFonts w:ascii="Times New Roman" w:hAnsi="Times New Roman" w:eastAsia="Times New Roman"/>
          <w:sz w:val="24"/>
        </w:rPr>
        <w:t>3.2.1 Understanding Company Facts and Overlapping Filings</w:t>
      </w:r>
      <w:r>
        <w:tab/>
      </w:r>
      <w:r>
        <w:rPr>
          <w:rFonts w:ascii="Times New Roman" w:hAnsi="Times New Roman" w:eastAsia="Times New Roman"/>
          <w:sz w:val="24"/>
        </w:rPr>
        <w:t>14</w:t>
      </w:r>
    </w:p>
    <w:p>
      <w:pPr>
        <w:pStyle w:val="BodyText"/>
        <w:tabs>
          <w:tab w:pos="8787" w:val="right" w:leader="dot"/>
        </w:tabs>
        <w:spacing w:line="240" w:lineRule="auto" w:after="40"/>
        <w:ind w:left="624"/>
        <w:jc w:val="left"/>
      </w:pPr>
      <w:r>
        <w:rPr>
          <w:rFonts w:ascii="Times New Roman" w:hAnsi="Times New Roman" w:eastAsia="Times New Roman"/>
          <w:sz w:val="24"/>
        </w:rPr>
        <w:t>3.2.2 Why Both Accounting Sources Are Needed</w:t>
      </w:r>
      <w:r>
        <w:tab/>
      </w:r>
      <w:r>
        <w:rPr>
          <w:rFonts w:ascii="Times New Roman" w:hAnsi="Times New Roman" w:eastAsia="Times New Roman"/>
          <w:sz w:val="24"/>
        </w:rPr>
        <w:t>14</w:t>
      </w:r>
    </w:p>
    <w:p>
      <w:pPr>
        <w:pStyle w:val="BodyText"/>
        <w:tabs>
          <w:tab w:pos="8787" w:val="right" w:leader="dot"/>
        </w:tabs>
        <w:spacing w:line="240" w:lineRule="auto" w:after="40"/>
        <w:ind w:left="624"/>
        <w:jc w:val="left"/>
      </w:pPr>
      <w:r>
        <w:rPr>
          <w:rFonts w:ascii="Times New Roman" w:hAnsi="Times New Roman" w:eastAsia="Times New Roman"/>
          <w:sz w:val="24"/>
        </w:rPr>
        <w:t>3.2.3 Combining the Sources in One Panel</w:t>
      </w:r>
      <w:r>
        <w:tab/>
      </w:r>
      <w:r>
        <w:rPr>
          <w:rFonts w:ascii="Times New Roman" w:hAnsi="Times New Roman" w:eastAsia="Times New Roman"/>
          <w:sz w:val="24"/>
        </w:rPr>
        <w:t>15</w:t>
      </w:r>
    </w:p>
    <w:p>
      <w:pPr>
        <w:pStyle w:val="BodyText"/>
        <w:tabs>
          <w:tab w:pos="8787" w:val="right" w:leader="dot"/>
        </w:tabs>
        <w:spacing w:line="240" w:lineRule="auto" w:after="40"/>
        <w:ind w:left="312"/>
        <w:jc w:val="left"/>
      </w:pPr>
      <w:r>
        <w:rPr>
          <w:rFonts w:ascii="Times New Roman" w:hAnsi="Times New Roman" w:eastAsia="Times New Roman"/>
          <w:sz w:val="24"/>
        </w:rPr>
        <w:t>3.3 Outcome and Prediction Horizon</w:t>
      </w:r>
      <w:r>
        <w:tab/>
      </w:r>
      <w:r>
        <w:rPr>
          <w:rFonts w:ascii="Times New Roman" w:hAnsi="Times New Roman" w:eastAsia="Times New Roman"/>
          <w:sz w:val="24"/>
        </w:rPr>
        <w:t>15</w:t>
      </w:r>
    </w:p>
    <w:p>
      <w:pPr>
        <w:pStyle w:val="BodyText"/>
        <w:tabs>
          <w:tab w:pos="8787" w:val="right" w:leader="dot"/>
        </w:tabs>
        <w:spacing w:line="240" w:lineRule="auto" w:after="40"/>
        <w:ind w:left="312"/>
        <w:jc w:val="left"/>
      </w:pPr>
      <w:r>
        <w:rPr>
          <w:rFonts w:ascii="Times New Roman" w:hAnsi="Times New Roman" w:eastAsia="Times New Roman"/>
          <w:sz w:val="24"/>
        </w:rPr>
        <w:t>3.4 Feature Construction</w:t>
      </w:r>
      <w:r>
        <w:tab/>
      </w:r>
      <w:r>
        <w:rPr>
          <w:rFonts w:ascii="Times New Roman" w:hAnsi="Times New Roman" w:eastAsia="Times New Roman"/>
          <w:sz w:val="24"/>
        </w:rPr>
        <w:t>16</w:t>
      </w:r>
    </w:p>
    <w:p>
      <w:pPr>
        <w:pStyle w:val="BodyText"/>
        <w:tabs>
          <w:tab w:pos="8787" w:val="right" w:leader="dot"/>
        </w:tabs>
        <w:spacing w:line="240" w:lineRule="auto" w:after="40"/>
        <w:ind w:left="312"/>
        <w:jc w:val="left"/>
      </w:pPr>
      <w:r>
        <w:rPr>
          <w:rFonts w:ascii="Times New Roman" w:hAnsi="Times New Roman" w:eastAsia="Times New Roman"/>
          <w:sz w:val="24"/>
        </w:rPr>
        <w:t>3.5 Data Quality and Preprocessing</w:t>
      </w:r>
      <w:r>
        <w:tab/>
      </w:r>
      <w:r>
        <w:rPr>
          <w:rFonts w:ascii="Times New Roman" w:hAnsi="Times New Roman" w:eastAsia="Times New Roman"/>
          <w:sz w:val="24"/>
        </w:rPr>
        <w:t>18</w:t>
      </w:r>
    </w:p>
    <w:p>
      <w:pPr>
        <w:pStyle w:val="BodyText"/>
        <w:tabs>
          <w:tab w:pos="8787" w:val="right" w:leader="dot"/>
        </w:tabs>
        <w:spacing w:line="240" w:lineRule="auto" w:after="40"/>
        <w:ind w:left="624"/>
        <w:jc w:val="left"/>
      </w:pPr>
      <w:r>
        <w:rPr>
          <w:rFonts w:ascii="Times New Roman" w:hAnsi="Times New Roman" w:eastAsia="Times New Roman"/>
          <w:sz w:val="24"/>
        </w:rPr>
        <w:t>3.5.1 Which Company-Months Are Included</w:t>
      </w:r>
      <w:r>
        <w:tab/>
      </w:r>
      <w:r>
        <w:rPr>
          <w:rFonts w:ascii="Times New Roman" w:hAnsi="Times New Roman" w:eastAsia="Times New Roman"/>
          <w:sz w:val="24"/>
        </w:rPr>
        <w:t>18</w:t>
      </w:r>
    </w:p>
    <w:p>
      <w:pPr>
        <w:pStyle w:val="BodyText"/>
        <w:tabs>
          <w:tab w:pos="8787" w:val="right" w:leader="dot"/>
        </w:tabs>
        <w:spacing w:line="240" w:lineRule="auto" w:after="40"/>
        <w:ind w:left="624"/>
        <w:jc w:val="left"/>
      </w:pPr>
      <w:r>
        <w:rPr>
          <w:rFonts w:ascii="Times New Roman" w:hAnsi="Times New Roman" w:eastAsia="Times New Roman"/>
          <w:sz w:val="24"/>
        </w:rPr>
        <w:t>3.5.2 Missing Feature Values</w:t>
      </w:r>
      <w:r>
        <w:tab/>
      </w:r>
      <w:r>
        <w:rPr>
          <w:rFonts w:ascii="Times New Roman" w:hAnsi="Times New Roman" w:eastAsia="Times New Roman"/>
          <w:sz w:val="24"/>
        </w:rPr>
        <w:t>19</w:t>
      </w:r>
    </w:p>
    <w:p>
      <w:pPr>
        <w:pStyle w:val="BodyText"/>
        <w:tabs>
          <w:tab w:pos="8787" w:val="right" w:leader="dot"/>
        </w:tabs>
        <w:spacing w:line="240" w:lineRule="auto" w:after="40"/>
        <w:ind w:left="624"/>
        <w:jc w:val="left"/>
      </w:pPr>
      <w:r>
        <w:rPr>
          <w:rFonts w:ascii="Times New Roman" w:hAnsi="Times New Roman" w:eastAsia="Times New Roman"/>
          <w:sz w:val="24"/>
        </w:rPr>
        <w:t>3.5.3 Data Required for the Credit-Limit Policy</w:t>
      </w:r>
      <w:r>
        <w:tab/>
      </w:r>
      <w:r>
        <w:rPr>
          <w:rFonts w:ascii="Times New Roman" w:hAnsi="Times New Roman" w:eastAsia="Times New Roman"/>
          <w:sz w:val="24"/>
        </w:rPr>
        <w:t>20</w:t>
      </w:r>
    </w:p>
    <w:p>
      <w:pPr>
        <w:pStyle w:val="BodyText"/>
        <w:tabs>
          <w:tab w:pos="8787" w:val="right" w:leader="dot"/>
        </w:tabs>
        <w:spacing w:line="240" w:lineRule="auto" w:after="40"/>
        <w:ind w:left="312"/>
        <w:jc w:val="left"/>
      </w:pPr>
      <w:r>
        <w:rPr>
          <w:rFonts w:ascii="Times New Roman" w:hAnsi="Times New Roman" w:eastAsia="Times New Roman"/>
          <w:sz w:val="24"/>
        </w:rPr>
        <w:t>3.6 Data Limitations</w:t>
      </w:r>
      <w:r>
        <w:tab/>
      </w:r>
      <w:r>
        <w:rPr>
          <w:rFonts w:ascii="Times New Roman" w:hAnsi="Times New Roman" w:eastAsia="Times New Roman"/>
          <w:sz w:val="24"/>
        </w:rPr>
        <w:t>20</w:t>
      </w:r>
    </w:p>
    <w:p>
      <w:pPr>
        <w:pStyle w:val="BodyText"/>
        <w:tabs>
          <w:tab w:pos="8787" w:val="right" w:leader="dot"/>
        </w:tabs>
        <w:spacing w:line="240" w:lineRule="auto" w:after="40"/>
        <w:ind w:left="0"/>
        <w:jc w:val="left"/>
      </w:pPr>
      <w:r>
        <w:rPr>
          <w:rFonts w:ascii="Times New Roman" w:hAnsi="Times New Roman" w:eastAsia="Times New Roman"/>
          <w:sz w:val="24"/>
        </w:rPr>
        <w:t>4 Risk Modeling and Validation Methodology</w:t>
      </w:r>
      <w:r>
        <w:tab/>
      </w:r>
      <w:r>
        <w:rPr>
          <w:rFonts w:ascii="Times New Roman" w:hAnsi="Times New Roman" w:eastAsia="Times New Roman"/>
          <w:sz w:val="24"/>
        </w:rPr>
        <w:t>21</w:t>
      </w:r>
    </w:p>
    <w:p>
      <w:pPr>
        <w:pStyle w:val="BodyText"/>
        <w:tabs>
          <w:tab w:pos="8787" w:val="right" w:leader="dot"/>
        </w:tabs>
        <w:spacing w:line="240" w:lineRule="auto" w:after="40"/>
        <w:ind w:left="312"/>
        <w:jc w:val="left"/>
      </w:pPr>
      <w:r>
        <w:rPr>
          <w:rFonts w:ascii="Times New Roman" w:hAnsi="Times New Roman" w:eastAsia="Times New Roman"/>
          <w:sz w:val="24"/>
        </w:rPr>
        <w:t>4.1 Modeling Framework</w:t>
      </w:r>
      <w:r>
        <w:tab/>
      </w:r>
      <w:r>
        <w:rPr>
          <w:rFonts w:ascii="Times New Roman" w:hAnsi="Times New Roman" w:eastAsia="Times New Roman"/>
          <w:sz w:val="24"/>
        </w:rPr>
        <w:t>21</w:t>
      </w:r>
    </w:p>
    <w:p>
      <w:pPr>
        <w:pStyle w:val="BodyText"/>
        <w:tabs>
          <w:tab w:pos="8787" w:val="right" w:leader="dot"/>
        </w:tabs>
        <w:spacing w:line="240" w:lineRule="auto" w:after="40"/>
        <w:ind w:left="312"/>
        <w:jc w:val="left"/>
      </w:pPr>
      <w:r>
        <w:rPr>
          <w:rFonts w:ascii="Times New Roman" w:hAnsi="Times New Roman" w:eastAsia="Times New Roman"/>
          <w:sz w:val="24"/>
        </w:rPr>
        <w:t>4.2 Models and Constant Benchmark</w:t>
      </w:r>
      <w:r>
        <w:tab/>
      </w:r>
      <w:r>
        <w:rPr>
          <w:rFonts w:ascii="Times New Roman" w:hAnsi="Times New Roman" w:eastAsia="Times New Roman"/>
          <w:sz w:val="24"/>
        </w:rPr>
        <w:t>21</w:t>
      </w:r>
    </w:p>
    <w:p>
      <w:pPr>
        <w:pStyle w:val="BodyText"/>
        <w:tabs>
          <w:tab w:pos="8787" w:val="right" w:leader="dot"/>
        </w:tabs>
        <w:spacing w:line="240" w:lineRule="auto" w:after="40"/>
        <w:ind w:left="312"/>
        <w:jc w:val="left"/>
      </w:pPr>
      <w:r>
        <w:rPr>
          <w:rFonts w:ascii="Times New Roman" w:hAnsi="Times New Roman" w:eastAsia="Times New Roman"/>
          <w:sz w:val="24"/>
        </w:rPr>
        <w:t>4.3 Model Tuning</w:t>
      </w:r>
      <w:r>
        <w:tab/>
      </w:r>
      <w:r>
        <w:rPr>
          <w:rFonts w:ascii="Times New Roman" w:hAnsi="Times New Roman" w:eastAsia="Times New Roman"/>
          <w:sz w:val="24"/>
        </w:rPr>
        <w:t>21</w:t>
      </w:r>
    </w:p>
    <w:p>
      <w:pPr>
        <w:pStyle w:val="BodyText"/>
        <w:tabs>
          <w:tab w:pos="8787" w:val="right" w:leader="dot"/>
        </w:tabs>
        <w:spacing w:line="240" w:lineRule="auto" w:after="40"/>
        <w:ind w:left="312"/>
        <w:jc w:val="left"/>
      </w:pPr>
      <w:r>
        <w:rPr>
          <w:rFonts w:ascii="Times New Roman" w:hAnsi="Times New Roman" w:eastAsia="Times New Roman"/>
          <w:sz w:val="24"/>
        </w:rPr>
        <w:t>4.4 Chronological Validation and Information Timing</w:t>
      </w:r>
      <w:r>
        <w:tab/>
      </w:r>
      <w:r>
        <w:rPr>
          <w:rFonts w:ascii="Times New Roman" w:hAnsi="Times New Roman" w:eastAsia="Times New Roman"/>
          <w:sz w:val="24"/>
        </w:rPr>
        <w:t>21</w:t>
      </w:r>
    </w:p>
    <w:p>
      <w:pPr>
        <w:pStyle w:val="BodyText"/>
        <w:tabs>
          <w:tab w:pos="8787" w:val="right" w:leader="dot"/>
        </w:tabs>
        <w:spacing w:line="240" w:lineRule="auto" w:after="40"/>
        <w:ind w:left="312"/>
        <w:jc w:val="left"/>
      </w:pPr>
      <w:r>
        <w:rPr>
          <w:rFonts w:ascii="Times New Roman" w:hAnsi="Times New Roman" w:eastAsia="Times New Roman"/>
          <w:sz w:val="24"/>
        </w:rPr>
        <w:t>4.5 Rare Outcomes and the Alert Threshold</w:t>
      </w:r>
      <w:r>
        <w:tab/>
      </w:r>
      <w:r>
        <w:rPr>
          <w:rFonts w:ascii="Times New Roman" w:hAnsi="Times New Roman" w:eastAsia="Times New Roman"/>
          <w:sz w:val="24"/>
        </w:rPr>
        <w:t>22</w:t>
      </w:r>
    </w:p>
    <w:p>
      <w:pPr>
        <w:pStyle w:val="BodyText"/>
        <w:tabs>
          <w:tab w:pos="8787" w:val="right" w:leader="dot"/>
        </w:tabs>
        <w:spacing w:line="240" w:lineRule="auto" w:after="40"/>
        <w:ind w:left="312"/>
        <w:jc w:val="left"/>
      </w:pPr>
      <w:r>
        <w:rPr>
          <w:rFonts w:ascii="Times New Roman" w:hAnsi="Times New Roman" w:eastAsia="Times New Roman"/>
          <w:sz w:val="24"/>
        </w:rPr>
        <w:t>4.6 Performance Measures and Uncertainty</w:t>
      </w:r>
      <w:r>
        <w:tab/>
      </w:r>
      <w:r>
        <w:rPr>
          <w:rFonts w:ascii="Times New Roman" w:hAnsi="Times New Roman" w:eastAsia="Times New Roman"/>
          <w:sz w:val="24"/>
        </w:rPr>
        <w:t>22</w:t>
      </w:r>
    </w:p>
    <w:p>
      <w:pPr>
        <w:pStyle w:val="BodyText"/>
        <w:tabs>
          <w:tab w:pos="8787" w:val="right" w:leader="dot"/>
        </w:tabs>
        <w:spacing w:line="240" w:lineRule="auto" w:after="40"/>
        <w:ind w:left="312"/>
        <w:jc w:val="left"/>
      </w:pPr>
      <w:r>
        <w:rPr>
          <w:rFonts w:ascii="Times New Roman" w:hAnsi="Times New Roman" w:eastAsia="Times New Roman"/>
          <w:sz w:val="24"/>
        </w:rPr>
        <w:t>4.7 Probability Calibration</w:t>
      </w:r>
      <w:r>
        <w:tab/>
      </w:r>
      <w:r>
        <w:rPr>
          <w:rFonts w:ascii="Times New Roman" w:hAnsi="Times New Roman" w:eastAsia="Times New Roman"/>
          <w:sz w:val="24"/>
        </w:rPr>
        <w:t>23</w:t>
      </w:r>
    </w:p>
    <w:p>
      <w:pPr>
        <w:pStyle w:val="BodyText"/>
        <w:tabs>
          <w:tab w:pos="8787" w:val="right" w:leader="dot"/>
        </w:tabs>
        <w:spacing w:line="240" w:lineRule="auto" w:after="40"/>
        <w:ind w:left="312"/>
        <w:jc w:val="left"/>
      </w:pPr>
      <w:r>
        <w:rPr>
          <w:rFonts w:ascii="Times New Roman" w:hAnsi="Times New Roman" w:eastAsia="Times New Roman"/>
          <w:sz w:val="24"/>
        </w:rPr>
        <w:t>4.8 Model Interpretation and Error Analysis</w:t>
      </w:r>
      <w:r>
        <w:tab/>
      </w:r>
      <w:r>
        <w:rPr>
          <w:rFonts w:ascii="Times New Roman" w:hAnsi="Times New Roman" w:eastAsia="Times New Roman"/>
          <w:sz w:val="24"/>
        </w:rPr>
        <w:t>23</w:t>
      </w:r>
    </w:p>
    <w:p>
      <w:pPr>
        <w:pStyle w:val="BodyText"/>
        <w:tabs>
          <w:tab w:pos="8787" w:val="right" w:leader="dot"/>
        </w:tabs>
        <w:spacing w:line="240" w:lineRule="auto" w:after="40"/>
        <w:ind w:left="312"/>
        <w:jc w:val="left"/>
      </w:pPr>
      <w:r>
        <w:rPr>
          <w:rFonts w:ascii="Times New Roman" w:hAnsi="Times New Roman" w:eastAsia="Times New Roman"/>
          <w:sz w:val="24"/>
        </w:rPr>
        <w:t>4.9 Final Model Selection and Connection to the Policy</w:t>
      </w:r>
      <w:r>
        <w:tab/>
      </w:r>
      <w:r>
        <w:rPr>
          <w:rFonts w:ascii="Times New Roman" w:hAnsi="Times New Roman" w:eastAsia="Times New Roman"/>
          <w:sz w:val="24"/>
        </w:rPr>
        <w:t>24</w:t>
      </w:r>
    </w:p>
    <w:p>
      <w:pPr>
        <w:pStyle w:val="BodyText"/>
        <w:tabs>
          <w:tab w:pos="8787" w:val="right" w:leader="dot"/>
        </w:tabs>
        <w:spacing w:line="240" w:lineRule="auto" w:after="40"/>
        <w:ind w:left="0"/>
        <w:jc w:val="left"/>
      </w:pPr>
      <w:r>
        <w:rPr>
          <w:rFonts w:ascii="Times New Roman" w:hAnsi="Times New Roman" w:eastAsia="Times New Roman"/>
          <w:sz w:val="24"/>
        </w:rPr>
        <w:t>5 Credit Limit Methodology</w:t>
      </w:r>
      <w:r>
        <w:tab/>
      </w:r>
      <w:r>
        <w:rPr>
          <w:rFonts w:ascii="Times New Roman" w:hAnsi="Times New Roman" w:eastAsia="Times New Roman"/>
          <w:sz w:val="24"/>
        </w:rPr>
        <w:t>25</w:t>
      </w:r>
    </w:p>
    <w:p>
      <w:pPr>
        <w:pStyle w:val="BodyText"/>
        <w:tabs>
          <w:tab w:pos="8787" w:val="right" w:leader="dot"/>
        </w:tabs>
        <w:spacing w:line="240" w:lineRule="auto" w:after="40"/>
        <w:ind w:left="312"/>
        <w:jc w:val="left"/>
      </w:pPr>
      <w:r>
        <w:rPr>
          <w:rFonts w:ascii="Times New Roman" w:hAnsi="Times New Roman" w:eastAsia="Times New Roman"/>
          <w:sz w:val="24"/>
        </w:rPr>
        <w:t>5.1 Design Principles</w:t>
      </w:r>
      <w:r>
        <w:tab/>
      </w:r>
      <w:r>
        <w:rPr>
          <w:rFonts w:ascii="Times New Roman" w:hAnsi="Times New Roman" w:eastAsia="Times New Roman"/>
          <w:sz w:val="24"/>
        </w:rPr>
        <w:t>25</w:t>
      </w:r>
    </w:p>
    <w:p>
      <w:pPr>
        <w:pStyle w:val="BodyText"/>
        <w:tabs>
          <w:tab w:pos="8787" w:val="right" w:leader="dot"/>
        </w:tabs>
        <w:spacing w:line="240" w:lineRule="auto" w:after="40"/>
        <w:ind w:left="312"/>
        <w:jc w:val="left"/>
      </w:pPr>
      <w:r>
        <w:rPr>
          <w:rFonts w:ascii="Times New Roman" w:hAnsi="Times New Roman" w:eastAsia="Times New Roman"/>
          <w:sz w:val="24"/>
        </w:rPr>
        <w:t>5.2 Capacity Proxy and Input Assumptions</w:t>
      </w:r>
      <w:r>
        <w:tab/>
      </w:r>
      <w:r>
        <w:rPr>
          <w:rFonts w:ascii="Times New Roman" w:hAnsi="Times New Roman" w:eastAsia="Times New Roman"/>
          <w:sz w:val="24"/>
        </w:rPr>
        <w:t>25</w:t>
      </w:r>
    </w:p>
    <w:p>
      <w:pPr>
        <w:pStyle w:val="BodyText"/>
        <w:tabs>
          <w:tab w:pos="8787" w:val="right" w:leader="dot"/>
        </w:tabs>
        <w:spacing w:line="240" w:lineRule="auto" w:after="40"/>
        <w:ind w:left="312"/>
        <w:jc w:val="left"/>
      </w:pPr>
      <w:r>
        <w:rPr>
          <w:rFonts w:ascii="Times New Roman" w:hAnsi="Times New Roman" w:eastAsia="Times New Roman"/>
          <w:sz w:val="24"/>
        </w:rPr>
        <w:t>5.3 Risk Adjustment</w:t>
      </w:r>
      <w:r>
        <w:tab/>
      </w:r>
      <w:r>
        <w:rPr>
          <w:rFonts w:ascii="Times New Roman" w:hAnsi="Times New Roman" w:eastAsia="Times New Roman"/>
          <w:sz w:val="24"/>
        </w:rPr>
        <w:t>26</w:t>
      </w:r>
    </w:p>
    <w:p>
      <w:pPr>
        <w:pStyle w:val="BodyText"/>
        <w:tabs>
          <w:tab w:pos="8787" w:val="right" w:leader="dot"/>
        </w:tabs>
        <w:spacing w:line="240" w:lineRule="auto" w:after="40"/>
        <w:ind w:left="312"/>
        <w:jc w:val="left"/>
      </w:pPr>
      <w:r>
        <w:rPr>
          <w:rFonts w:ascii="Times New Roman" w:hAnsi="Times New Roman" w:eastAsia="Times New Roman"/>
          <w:sz w:val="24"/>
        </w:rPr>
        <w:t>5.4 Exposure Cap and Existing Exposure</w:t>
      </w:r>
      <w:r>
        <w:tab/>
      </w:r>
      <w:r>
        <w:rPr>
          <w:rFonts w:ascii="Times New Roman" w:hAnsi="Times New Roman" w:eastAsia="Times New Roman"/>
          <w:sz w:val="24"/>
        </w:rPr>
        <w:t>26</w:t>
      </w:r>
    </w:p>
    <w:p>
      <w:pPr>
        <w:pStyle w:val="BodyText"/>
        <w:tabs>
          <w:tab w:pos="8787" w:val="right" w:leader="dot"/>
        </w:tabs>
        <w:spacing w:line="240" w:lineRule="auto" w:after="40"/>
        <w:ind w:left="312"/>
        <w:jc w:val="left"/>
      </w:pPr>
      <w:r>
        <w:rPr>
          <w:rFonts w:ascii="Times New Roman" w:hAnsi="Times New Roman" w:eastAsia="Times New Roman"/>
          <w:sz w:val="24"/>
        </w:rPr>
        <w:t>5.5 Monthly Update Rules and Safeguards</w:t>
      </w:r>
      <w:r>
        <w:tab/>
      </w:r>
      <w:r>
        <w:rPr>
          <w:rFonts w:ascii="Times New Roman" w:hAnsi="Times New Roman" w:eastAsia="Times New Roman"/>
          <w:sz w:val="24"/>
        </w:rPr>
        <w:t>27</w:t>
      </w:r>
    </w:p>
    <w:p>
      <w:pPr>
        <w:pStyle w:val="BodyText"/>
        <w:tabs>
          <w:tab w:pos="8787" w:val="right" w:leader="dot"/>
        </w:tabs>
        <w:spacing w:line="240" w:lineRule="auto" w:after="40"/>
        <w:ind w:left="312"/>
        <w:jc w:val="left"/>
      </w:pPr>
      <w:r>
        <w:rPr>
          <w:rFonts w:ascii="Times New Roman" w:hAnsi="Times New Roman" w:eastAsia="Times New Roman"/>
          <w:sz w:val="24"/>
        </w:rPr>
        <w:t>5.6 Worked Example</w:t>
      </w:r>
      <w:r>
        <w:tab/>
      </w:r>
      <w:r>
        <w:rPr>
          <w:rFonts w:ascii="Times New Roman" w:hAnsi="Times New Roman" w:eastAsia="Times New Roman"/>
          <w:sz w:val="24"/>
        </w:rPr>
        <w:t>28</w:t>
      </w:r>
    </w:p>
    <w:p>
      <w:pPr>
        <w:pStyle w:val="BodyText"/>
        <w:tabs>
          <w:tab w:pos="8787" w:val="right" w:leader="dot"/>
        </w:tabs>
        <w:spacing w:line="240" w:lineRule="auto" w:after="40"/>
        <w:ind w:left="312"/>
        <w:jc w:val="left"/>
      </w:pPr>
      <w:r>
        <w:rPr>
          <w:rFonts w:ascii="Times New Roman" w:hAnsi="Times New Roman" w:eastAsia="Times New Roman"/>
          <w:sz w:val="24"/>
        </w:rPr>
        <w:t>5.7 Scenario Assumptions and Limitations</w:t>
      </w:r>
      <w:r>
        <w:tab/>
      </w:r>
      <w:r>
        <w:rPr>
          <w:rFonts w:ascii="Times New Roman" w:hAnsi="Times New Roman" w:eastAsia="Times New Roman"/>
          <w:sz w:val="24"/>
        </w:rPr>
        <w:t>29</w:t>
      </w:r>
    </w:p>
    <w:p>
      <w:pPr>
        <w:pStyle w:val="BodyText"/>
        <w:tabs>
          <w:tab w:pos="8787" w:val="right" w:leader="dot"/>
        </w:tabs>
        <w:spacing w:line="240" w:lineRule="auto" w:after="40"/>
        <w:ind w:left="0"/>
        <w:jc w:val="left"/>
      </w:pPr>
      <w:r>
        <w:rPr>
          <w:rFonts w:ascii="Times New Roman" w:hAnsi="Times New Roman" w:eastAsia="Times New Roman"/>
          <w:sz w:val="24"/>
        </w:rPr>
        <w:t>6 Empirical Results</w:t>
      </w:r>
      <w:r>
        <w:tab/>
      </w:r>
      <w:r>
        <w:rPr>
          <w:rFonts w:ascii="Times New Roman" w:hAnsi="Times New Roman" w:eastAsia="Times New Roman"/>
          <w:sz w:val="24"/>
        </w:rPr>
        <w:t>30</w:t>
      </w:r>
    </w:p>
    <w:p>
      <w:pPr>
        <w:pStyle w:val="BodyText"/>
        <w:tabs>
          <w:tab w:pos="8787" w:val="right" w:leader="dot"/>
        </w:tabs>
        <w:spacing w:line="240" w:lineRule="auto" w:after="40"/>
        <w:ind w:left="312"/>
        <w:jc w:val="left"/>
      </w:pPr>
      <w:r>
        <w:rPr>
          <w:rFonts w:ascii="Times New Roman" w:hAnsi="Times New Roman" w:eastAsia="Times New Roman"/>
          <w:sz w:val="24"/>
        </w:rPr>
        <w:t>6.1 Sample and Chronological Design</w:t>
      </w:r>
      <w:r>
        <w:tab/>
      </w:r>
      <w:r>
        <w:rPr>
          <w:rFonts w:ascii="Times New Roman" w:hAnsi="Times New Roman" w:eastAsia="Times New Roman"/>
          <w:sz w:val="24"/>
        </w:rPr>
        <w:t>30</w:t>
      </w:r>
    </w:p>
    <w:p>
      <w:pPr>
        <w:pStyle w:val="BodyText"/>
        <w:tabs>
          <w:tab w:pos="8787" w:val="right" w:leader="dot"/>
        </w:tabs>
        <w:spacing w:line="240" w:lineRule="auto" w:after="40"/>
        <w:ind w:left="312"/>
        <w:jc w:val="left"/>
      </w:pPr>
      <w:r>
        <w:rPr>
          <w:rFonts w:ascii="Times New Roman" w:hAnsi="Times New Roman" w:eastAsia="Times New Roman"/>
          <w:sz w:val="24"/>
        </w:rPr>
        <w:t>6.2 Predictors and Tuning</w:t>
      </w:r>
      <w:r>
        <w:tab/>
      </w:r>
      <w:r>
        <w:rPr>
          <w:rFonts w:ascii="Times New Roman" w:hAnsi="Times New Roman" w:eastAsia="Times New Roman"/>
          <w:sz w:val="24"/>
        </w:rPr>
        <w:t>31</w:t>
      </w:r>
    </w:p>
    <w:p>
      <w:pPr>
        <w:pStyle w:val="BodyText"/>
        <w:tabs>
          <w:tab w:pos="8787" w:val="right" w:leader="dot"/>
        </w:tabs>
        <w:spacing w:line="240" w:lineRule="auto" w:after="40"/>
        <w:ind w:left="312"/>
        <w:jc w:val="left"/>
      </w:pPr>
      <w:r>
        <w:rPr>
          <w:rFonts w:ascii="Times New Roman" w:hAnsi="Times New Roman" w:eastAsia="Times New Roman"/>
          <w:sz w:val="24"/>
        </w:rPr>
        <w:t>6.3 Probability Mapping and Model Selection</w:t>
      </w:r>
      <w:r>
        <w:tab/>
      </w:r>
      <w:r>
        <w:rPr>
          <w:rFonts w:ascii="Times New Roman" w:hAnsi="Times New Roman" w:eastAsia="Times New Roman"/>
          <w:sz w:val="24"/>
        </w:rPr>
        <w:t>31</w:t>
      </w:r>
    </w:p>
    <w:p>
      <w:pPr>
        <w:pStyle w:val="BodyText"/>
        <w:tabs>
          <w:tab w:pos="8787" w:val="right" w:leader="dot"/>
        </w:tabs>
        <w:spacing w:line="240" w:lineRule="auto" w:after="40"/>
        <w:ind w:left="312"/>
        <w:jc w:val="left"/>
      </w:pPr>
      <w:r>
        <w:rPr>
          <w:rFonts w:ascii="Times New Roman" w:hAnsi="Times New Roman" w:eastAsia="Times New Roman"/>
          <w:sz w:val="24"/>
        </w:rPr>
        <w:t>6.4 Later Evaluation</w:t>
      </w:r>
      <w:r>
        <w:tab/>
      </w:r>
      <w:r>
        <w:rPr>
          <w:rFonts w:ascii="Times New Roman" w:hAnsi="Times New Roman" w:eastAsia="Times New Roman"/>
          <w:sz w:val="24"/>
        </w:rPr>
        <w:t>32</w:t>
      </w:r>
    </w:p>
    <w:p>
      <w:pPr>
        <w:pStyle w:val="BodyText"/>
        <w:tabs>
          <w:tab w:pos="8787" w:val="right" w:leader="dot"/>
        </w:tabs>
        <w:spacing w:line="240" w:lineRule="auto" w:after="40"/>
        <w:ind w:left="312"/>
        <w:jc w:val="left"/>
      </w:pPr>
      <w:r>
        <w:rPr>
          <w:rFonts w:ascii="Times New Roman" w:hAnsi="Times New Roman" w:eastAsia="Times New Roman"/>
          <w:sz w:val="24"/>
        </w:rPr>
        <w:t>6.5 Alternative-Period Sensitivity</w:t>
      </w:r>
      <w:r>
        <w:tab/>
      </w:r>
      <w:r>
        <w:rPr>
          <w:rFonts w:ascii="Times New Roman" w:hAnsi="Times New Roman" w:eastAsia="Times New Roman"/>
          <w:sz w:val="24"/>
        </w:rPr>
        <w:t>33</w:t>
      </w:r>
    </w:p>
    <w:p>
      <w:pPr>
        <w:pStyle w:val="BodyText"/>
        <w:tabs>
          <w:tab w:pos="8787" w:val="right" w:leader="dot"/>
        </w:tabs>
        <w:spacing w:line="240" w:lineRule="auto" w:after="40"/>
        <w:ind w:left="312"/>
        <w:jc w:val="left"/>
      </w:pPr>
      <w:r>
        <w:rPr>
          <w:rFonts w:ascii="Times New Roman" w:hAnsi="Times New Roman" w:eastAsia="Times New Roman"/>
          <w:sz w:val="24"/>
        </w:rPr>
        <w:t>6.6 Interpretation</w:t>
      </w:r>
      <w:r>
        <w:tab/>
      </w:r>
      <w:r>
        <w:rPr>
          <w:rFonts w:ascii="Times New Roman" w:hAnsi="Times New Roman" w:eastAsia="Times New Roman"/>
          <w:sz w:val="24"/>
        </w:rPr>
        <w:t>34</w:t>
      </w:r>
    </w:p>
    <w:p>
      <w:pPr>
        <w:pStyle w:val="BodyText"/>
        <w:tabs>
          <w:tab w:pos="8787" w:val="right" w:leader="dot"/>
        </w:tabs>
        <w:spacing w:line="240" w:lineRule="auto" w:after="40"/>
        <w:ind w:left="0"/>
        <w:jc w:val="left"/>
      </w:pPr>
      <w:r>
        <w:rPr>
          <w:rFonts w:ascii="Times New Roman" w:hAnsi="Times New Roman" w:eastAsia="Times New Roman"/>
          <w:sz w:val="24"/>
        </w:rPr>
        <w:t>7 Credit-Limit Policy Results</w:t>
      </w:r>
      <w:r>
        <w:tab/>
      </w:r>
      <w:r>
        <w:rPr>
          <w:rFonts w:ascii="Times New Roman" w:hAnsi="Times New Roman" w:eastAsia="Times New Roman"/>
          <w:sz w:val="24"/>
        </w:rPr>
        <w:t>35</w:t>
      </w:r>
    </w:p>
    <w:p>
      <w:pPr>
        <w:pStyle w:val="BodyText"/>
        <w:tabs>
          <w:tab w:pos="8787" w:val="right" w:leader="dot"/>
        </w:tabs>
        <w:spacing w:line="240" w:lineRule="auto" w:after="40"/>
        <w:ind w:left="312"/>
        <w:jc w:val="left"/>
      </w:pPr>
      <w:r>
        <w:rPr>
          <w:rFonts w:ascii="Times New Roman" w:hAnsi="Times New Roman" w:eastAsia="Times New Roman"/>
          <w:sz w:val="24"/>
        </w:rPr>
        <w:t>7.1 Replay Sample and Reference Assumptions</w:t>
      </w:r>
      <w:r>
        <w:tab/>
      </w:r>
      <w:r>
        <w:rPr>
          <w:rFonts w:ascii="Times New Roman" w:hAnsi="Times New Roman" w:eastAsia="Times New Roman"/>
          <w:sz w:val="24"/>
        </w:rPr>
        <w:t>35</w:t>
      </w:r>
    </w:p>
    <w:p>
      <w:pPr>
        <w:pStyle w:val="BodyText"/>
        <w:tabs>
          <w:tab w:pos="8787" w:val="right" w:leader="dot"/>
        </w:tabs>
        <w:spacing w:line="240" w:lineRule="auto" w:after="40"/>
        <w:ind w:left="312"/>
        <w:jc w:val="left"/>
      </w:pPr>
      <w:r>
        <w:rPr>
          <w:rFonts w:ascii="Times New Roman" w:hAnsi="Times New Roman" w:eastAsia="Times New Roman"/>
          <w:sz w:val="24"/>
        </w:rPr>
        <w:t>7.2 Reference-Scenario Results</w:t>
      </w:r>
      <w:r>
        <w:tab/>
      </w:r>
      <w:r>
        <w:rPr>
          <w:rFonts w:ascii="Times New Roman" w:hAnsi="Times New Roman" w:eastAsia="Times New Roman"/>
          <w:sz w:val="24"/>
        </w:rPr>
        <w:t>35</w:t>
      </w:r>
    </w:p>
    <w:p>
      <w:pPr>
        <w:pStyle w:val="BodyText"/>
        <w:tabs>
          <w:tab w:pos="8787" w:val="right" w:leader="dot"/>
        </w:tabs>
        <w:spacing w:line="240" w:lineRule="auto" w:after="40"/>
        <w:ind w:left="312"/>
        <w:jc w:val="left"/>
      </w:pPr>
      <w:r>
        <w:rPr>
          <w:rFonts w:ascii="Times New Roman" w:hAnsi="Times New Roman" w:eastAsia="Times New Roman"/>
          <w:sz w:val="24"/>
        </w:rPr>
        <w:t>7.3 Sensitivity to Policy Assumptions</w:t>
      </w:r>
      <w:r>
        <w:tab/>
      </w:r>
      <w:r>
        <w:rPr>
          <w:rFonts w:ascii="Times New Roman" w:hAnsi="Times New Roman" w:eastAsia="Times New Roman"/>
          <w:sz w:val="24"/>
        </w:rPr>
        <w:t>36</w:t>
      </w:r>
    </w:p>
    <w:p>
      <w:pPr>
        <w:pStyle w:val="BodyText"/>
        <w:tabs>
          <w:tab w:pos="8787" w:val="right" w:leader="dot"/>
        </w:tabs>
        <w:spacing w:line="240" w:lineRule="auto" w:after="40"/>
        <w:ind w:left="312"/>
        <w:jc w:val="left"/>
      </w:pPr>
      <w:r>
        <w:rPr>
          <w:rFonts w:ascii="Times New Roman" w:hAnsi="Times New Roman" w:eastAsia="Times New Roman"/>
          <w:sz w:val="24"/>
        </w:rPr>
        <w:t>7.4 Effect of the Monthly Update Rules</w:t>
      </w:r>
      <w:r>
        <w:tab/>
      </w:r>
      <w:r>
        <w:rPr>
          <w:rFonts w:ascii="Times New Roman" w:hAnsi="Times New Roman" w:eastAsia="Times New Roman"/>
          <w:sz w:val="24"/>
        </w:rPr>
        <w:t>38</w:t>
      </w:r>
    </w:p>
    <w:p>
      <w:pPr>
        <w:pStyle w:val="BodyText"/>
        <w:tabs>
          <w:tab w:pos="8787" w:val="right" w:leader="dot"/>
        </w:tabs>
        <w:spacing w:line="240" w:lineRule="auto" w:after="40"/>
        <w:ind w:left="312"/>
        <w:jc w:val="left"/>
      </w:pPr>
      <w:r>
        <w:rPr>
          <w:rFonts w:ascii="Times New Roman" w:hAnsi="Times New Roman" w:eastAsia="Times New Roman"/>
          <w:sz w:val="24"/>
        </w:rPr>
        <w:t>7.5 Scope of the Evidence</w:t>
      </w:r>
      <w:r>
        <w:tab/>
      </w:r>
      <w:r>
        <w:rPr>
          <w:rFonts w:ascii="Times New Roman" w:hAnsi="Times New Roman" w:eastAsia="Times New Roman"/>
          <w:sz w:val="24"/>
        </w:rPr>
        <w:t>38</w:t>
      </w:r>
    </w:p>
    <w:p>
      <w:pPr>
        <w:pStyle w:val="BodyText"/>
        <w:tabs>
          <w:tab w:pos="8787" w:val="right" w:leader="dot"/>
        </w:tabs>
        <w:spacing w:line="240" w:lineRule="auto" w:after="40"/>
        <w:ind w:left="0"/>
        <w:jc w:val="left"/>
      </w:pPr>
      <w:r>
        <w:rPr>
          <w:rFonts w:ascii="Times New Roman" w:hAnsi="Times New Roman" w:eastAsia="Times New Roman"/>
          <w:sz w:val="24"/>
        </w:rPr>
        <w:t>8 Discussion, Limitations and Conclusion</w:t>
      </w:r>
      <w:r>
        <w:tab/>
      </w:r>
      <w:r>
        <w:rPr>
          <w:rFonts w:ascii="Times New Roman" w:hAnsi="Times New Roman" w:eastAsia="Times New Roman"/>
          <w:sz w:val="24"/>
        </w:rPr>
        <w:t>39</w:t>
      </w:r>
    </w:p>
    <w:p>
      <w:pPr>
        <w:pStyle w:val="BodyText"/>
        <w:tabs>
          <w:tab w:pos="8787" w:val="right" w:leader="dot"/>
        </w:tabs>
        <w:spacing w:line="240" w:lineRule="auto" w:after="40"/>
        <w:ind w:left="312"/>
        <w:jc w:val="left"/>
      </w:pPr>
      <w:r>
        <w:rPr>
          <w:rFonts w:ascii="Times New Roman" w:hAnsi="Times New Roman" w:eastAsia="Times New Roman"/>
          <w:sz w:val="24"/>
        </w:rPr>
        <w:t>8.1 Answers to the Research Questions</w:t>
      </w:r>
      <w:r>
        <w:tab/>
      </w:r>
      <w:r>
        <w:rPr>
          <w:rFonts w:ascii="Times New Roman" w:hAnsi="Times New Roman" w:eastAsia="Times New Roman"/>
          <w:sz w:val="24"/>
        </w:rPr>
        <w:t>39</w:t>
      </w:r>
    </w:p>
    <w:p>
      <w:pPr>
        <w:pStyle w:val="BodyText"/>
        <w:tabs>
          <w:tab w:pos="8787" w:val="right" w:leader="dot"/>
        </w:tabs>
        <w:spacing w:line="240" w:lineRule="auto" w:after="40"/>
        <w:ind w:left="624"/>
        <w:jc w:val="left"/>
      </w:pPr>
      <w:r>
        <w:rPr>
          <w:rFonts w:ascii="Times New Roman" w:hAnsi="Times New Roman" w:eastAsia="Times New Roman"/>
          <w:sz w:val="24"/>
        </w:rPr>
        <w:t>8.1.1 Prediction Compared with a Constant Benchmark</w:t>
      </w:r>
      <w:r>
        <w:tab/>
      </w:r>
      <w:r>
        <w:rPr>
          <w:rFonts w:ascii="Times New Roman" w:hAnsi="Times New Roman" w:eastAsia="Times New Roman"/>
          <w:sz w:val="24"/>
        </w:rPr>
        <w:t>39</w:t>
      </w:r>
    </w:p>
    <w:p>
      <w:pPr>
        <w:pStyle w:val="BodyText"/>
        <w:tabs>
          <w:tab w:pos="8787" w:val="right" w:leader="dot"/>
        </w:tabs>
        <w:spacing w:line="240" w:lineRule="auto" w:after="40"/>
        <w:ind w:left="624"/>
        <w:jc w:val="left"/>
      </w:pPr>
      <w:r>
        <w:rPr>
          <w:rFonts w:ascii="Times New Roman" w:hAnsi="Times New Roman" w:eastAsia="Times New Roman"/>
          <w:sz w:val="24"/>
        </w:rPr>
        <w:t>8.1.2 Tree Models Compared with Logistic Regression</w:t>
      </w:r>
      <w:r>
        <w:tab/>
      </w:r>
      <w:r>
        <w:rPr>
          <w:rFonts w:ascii="Times New Roman" w:hAnsi="Times New Roman" w:eastAsia="Times New Roman"/>
          <w:sz w:val="24"/>
        </w:rPr>
        <w:t>39</w:t>
      </w:r>
    </w:p>
    <w:p>
      <w:pPr>
        <w:pStyle w:val="BodyText"/>
        <w:tabs>
          <w:tab w:pos="8787" w:val="right" w:leader="dot"/>
        </w:tabs>
        <w:spacing w:line="240" w:lineRule="auto" w:after="40"/>
        <w:ind w:left="624"/>
        <w:jc w:val="left"/>
      </w:pPr>
      <w:r>
        <w:rPr>
          <w:rFonts w:ascii="Times New Roman" w:hAnsi="Times New Roman" w:eastAsia="Times New Roman"/>
          <w:sz w:val="24"/>
        </w:rPr>
        <w:t>8.1.3 Converting Risk and Financial Capacity into a Limit</w:t>
      </w:r>
      <w:r>
        <w:tab/>
      </w:r>
      <w:r>
        <w:rPr>
          <w:rFonts w:ascii="Times New Roman" w:hAnsi="Times New Roman" w:eastAsia="Times New Roman"/>
          <w:sz w:val="24"/>
        </w:rPr>
        <w:t>39</w:t>
      </w:r>
    </w:p>
    <w:p>
      <w:pPr>
        <w:pStyle w:val="BodyText"/>
        <w:tabs>
          <w:tab w:pos="8787" w:val="right" w:leader="dot"/>
        </w:tabs>
        <w:spacing w:line="240" w:lineRule="auto" w:after="40"/>
        <w:ind w:left="624"/>
        <w:jc w:val="left"/>
      </w:pPr>
      <w:r>
        <w:rPr>
          <w:rFonts w:ascii="Times New Roman" w:hAnsi="Times New Roman" w:eastAsia="Times New Roman"/>
          <w:sz w:val="24"/>
        </w:rPr>
        <w:t>8.1.4 Monthly Behavior and Alternative Policy Assumptions</w:t>
      </w:r>
      <w:r>
        <w:tab/>
      </w:r>
      <w:r>
        <w:rPr>
          <w:rFonts w:ascii="Times New Roman" w:hAnsi="Times New Roman" w:eastAsia="Times New Roman"/>
          <w:sz w:val="24"/>
        </w:rPr>
        <w:t>39</w:t>
      </w:r>
    </w:p>
    <w:p>
      <w:pPr>
        <w:pStyle w:val="BodyText"/>
        <w:tabs>
          <w:tab w:pos="8787" w:val="right" w:leader="dot"/>
        </w:tabs>
        <w:spacing w:line="240" w:lineRule="auto" w:after="40"/>
        <w:ind w:left="312"/>
        <w:jc w:val="left"/>
      </w:pPr>
      <w:r>
        <w:rPr>
          <w:rFonts w:ascii="Times New Roman" w:hAnsi="Times New Roman" w:eastAsia="Times New Roman"/>
          <w:sz w:val="24"/>
        </w:rPr>
        <w:t>8.2 Contribution</w:t>
      </w:r>
      <w:r>
        <w:tab/>
      </w:r>
      <w:r>
        <w:rPr>
          <w:rFonts w:ascii="Times New Roman" w:hAnsi="Times New Roman" w:eastAsia="Times New Roman"/>
          <w:sz w:val="24"/>
        </w:rPr>
        <w:t>39</w:t>
      </w:r>
    </w:p>
    <w:p>
      <w:pPr>
        <w:pStyle w:val="BodyText"/>
        <w:tabs>
          <w:tab w:pos="8787" w:val="right" w:leader="dot"/>
        </w:tabs>
        <w:spacing w:line="240" w:lineRule="auto" w:after="40"/>
        <w:ind w:left="312"/>
        <w:jc w:val="left"/>
      </w:pPr>
      <w:r>
        <w:rPr>
          <w:rFonts w:ascii="Times New Roman" w:hAnsi="Times New Roman" w:eastAsia="Times New Roman"/>
          <w:sz w:val="24"/>
        </w:rPr>
        <w:t>8.3 Limitations</w:t>
      </w:r>
      <w:r>
        <w:tab/>
      </w:r>
      <w:r>
        <w:rPr>
          <w:rFonts w:ascii="Times New Roman" w:hAnsi="Times New Roman" w:eastAsia="Times New Roman"/>
          <w:sz w:val="24"/>
        </w:rPr>
        <w:t>40</w:t>
      </w:r>
    </w:p>
    <w:p>
      <w:pPr>
        <w:pStyle w:val="BodyText"/>
        <w:tabs>
          <w:tab w:pos="8787" w:val="right" w:leader="dot"/>
        </w:tabs>
        <w:spacing w:line="240" w:lineRule="auto" w:after="40"/>
        <w:ind w:left="312"/>
        <w:jc w:val="left"/>
      </w:pPr>
      <w:r>
        <w:rPr>
          <w:rFonts w:ascii="Times New Roman" w:hAnsi="Times New Roman" w:eastAsia="Times New Roman"/>
          <w:sz w:val="24"/>
        </w:rPr>
        <w:t>8.4 Further Work</w:t>
      </w:r>
      <w:r>
        <w:tab/>
      </w:r>
      <w:r>
        <w:rPr>
          <w:rFonts w:ascii="Times New Roman" w:hAnsi="Times New Roman" w:eastAsia="Times New Roman"/>
          <w:sz w:val="24"/>
        </w:rPr>
        <w:t>40</w:t>
      </w:r>
    </w:p>
    <w:p>
      <w:pPr>
        <w:pStyle w:val="BodyText"/>
        <w:tabs>
          <w:tab w:pos="8787" w:val="right" w:leader="dot"/>
        </w:tabs>
        <w:spacing w:line="240" w:lineRule="auto" w:after="40"/>
        <w:ind w:left="312"/>
        <w:jc w:val="left"/>
      </w:pPr>
      <w:r>
        <w:rPr>
          <w:rFonts w:ascii="Times New Roman" w:hAnsi="Times New Roman" w:eastAsia="Times New Roman"/>
          <w:sz w:val="24"/>
        </w:rPr>
        <w:t>8.5 Conclusion</w:t>
      </w:r>
      <w:r>
        <w:tab/>
      </w:r>
      <w:r>
        <w:rPr>
          <w:rFonts w:ascii="Times New Roman" w:hAnsi="Times New Roman" w:eastAsia="Times New Roman"/>
          <w:sz w:val="24"/>
        </w:rPr>
        <w:t>41</w:t>
      </w:r>
    </w:p>
    <w:p>
      <w:pPr>
        <w:pStyle w:val="BodyText"/>
        <w:tabs>
          <w:tab w:pos="8787" w:val="right" w:leader="dot"/>
        </w:tabs>
        <w:spacing w:line="240" w:lineRule="auto" w:after="40"/>
        <w:ind w:left="0"/>
        <w:jc w:val="left"/>
      </w:pPr>
      <w:r>
        <w:rPr>
          <w:rFonts w:ascii="Times New Roman" w:hAnsi="Times New Roman" w:eastAsia="Times New Roman"/>
          <w:sz w:val="24"/>
        </w:rPr>
        <w:t>References</w:t>
      </w:r>
      <w:r>
        <w:tab/>
      </w:r>
      <w:r>
        <w:rPr>
          <w:rFonts w:ascii="Times New Roman" w:hAnsi="Times New Roman" w:eastAsia="Times New Roman"/>
          <w:sz w:val="24"/>
        </w:rPr>
        <w:t>42</w:t>
      </w:r>
    </w:p>
    <w:p>
      <w:pPr>
        <w:pStyle w:val="BodyText"/>
        <w:tabs>
          <w:tab w:pos="8787" w:val="right" w:leader="dot"/>
        </w:tabs>
        <w:spacing w:line="240" w:lineRule="auto" w:after="40"/>
        <w:ind w:left="0"/>
        <w:jc w:val="left"/>
      </w:pPr>
      <w:r>
        <w:rPr>
          <w:rFonts w:ascii="Times New Roman" w:hAnsi="Times New Roman" w:eastAsia="Times New Roman"/>
          <w:sz w:val="24"/>
        </w:rPr>
        <w:t>Appendix A: Reproducibility and Code Availability</w:t>
      </w:r>
      <w:r>
        <w:tab/>
      </w:r>
      <w:r>
        <w:rPr>
          <w:rFonts w:ascii="Times New Roman" w:hAnsi="Times New Roman" w:eastAsia="Times New Roman"/>
          <w:sz w:val="24"/>
        </w:rPr>
        <w:t>43</w:t>
      </w:r>
    </w:p>
    <w:p>
      <w:pPr>
        <w:pStyle w:val="BodyText"/>
        <w:tabs>
          <w:tab w:pos="8787" w:val="right" w:leader="dot"/>
        </w:tabs>
        <w:spacing w:line="240" w:lineRule="auto" w:after="40"/>
        <w:ind w:left="312"/>
        <w:jc w:val="left"/>
      </w:pPr>
      <w:r>
        <w:rPr>
          <w:rFonts w:ascii="Times New Roman" w:hAnsi="Times New Roman" w:eastAsia="Times New Roman"/>
          <w:sz w:val="24"/>
        </w:rPr>
        <w:t>A.1 Primary Experiment and Evidence</w:t>
      </w:r>
      <w:r>
        <w:tab/>
      </w:r>
      <w:r>
        <w:rPr>
          <w:rFonts w:ascii="Times New Roman" w:hAnsi="Times New Roman" w:eastAsia="Times New Roman"/>
          <w:sz w:val="24"/>
        </w:rPr>
        <w:t>43</w:t>
      </w:r>
    </w:p>
    <w:p>
      <w:pPr>
        <w:pStyle w:val="BodyText"/>
        <w:tabs>
          <w:tab w:pos="8787" w:val="right" w:leader="dot"/>
        </w:tabs>
        <w:spacing w:line="240" w:lineRule="auto" w:after="40"/>
        <w:ind w:left="312"/>
        <w:jc w:val="left"/>
      </w:pPr>
      <w:r>
        <w:rPr>
          <w:rFonts w:ascii="Times New Roman" w:hAnsi="Times New Roman" w:eastAsia="Times New Roman"/>
          <w:sz w:val="24"/>
        </w:rPr>
        <w:t>A.2 Model and Validation Settings</w:t>
      </w:r>
      <w:r>
        <w:tab/>
      </w:r>
      <w:r>
        <w:rPr>
          <w:rFonts w:ascii="Times New Roman" w:hAnsi="Times New Roman" w:eastAsia="Times New Roman"/>
          <w:sz w:val="24"/>
        </w:rPr>
        <w:t>43</w:t>
      </w:r>
    </w:p>
    <w:p>
      <w:pPr>
        <w:pStyle w:val="BodyText"/>
        <w:tabs>
          <w:tab w:pos="8787" w:val="right" w:leader="dot"/>
        </w:tabs>
        <w:spacing w:line="240" w:lineRule="auto" w:after="40"/>
        <w:ind w:left="312"/>
        <w:jc w:val="left"/>
      </w:pPr>
      <w:r>
        <w:rPr>
          <w:rFonts w:ascii="Times New Roman" w:hAnsi="Times New Roman" w:eastAsia="Times New Roman"/>
          <w:sz w:val="24"/>
        </w:rPr>
        <w:t>A.3 Implementation Map</w:t>
      </w:r>
      <w:r>
        <w:tab/>
      </w:r>
      <w:r>
        <w:rPr>
          <w:rFonts w:ascii="Times New Roman" w:hAnsi="Times New Roman" w:eastAsia="Times New Roman"/>
          <w:sz w:val="24"/>
        </w:rPr>
        <w:t>44</w:t>
      </w:r>
    </w:p>
    <w:p>
      <w:pPr>
        <w:pStyle w:val="BodyText"/>
        <w:tabs>
          <w:tab w:pos="8787" w:val="right" w:leader="dot"/>
        </w:tabs>
        <w:spacing w:line="240" w:lineRule="auto" w:after="40"/>
        <w:ind w:left="312"/>
        <w:jc w:val="left"/>
      </w:pPr>
      <w:r>
        <w:rPr>
          <w:rFonts w:ascii="Times New Roman" w:hAnsi="Times New Roman" w:eastAsia="Times New Roman"/>
          <w:sz w:val="24"/>
        </w:rPr>
        <w:t>A.4 Software Environment</w:t>
      </w:r>
      <w:r>
        <w:tab/>
      </w:r>
      <w:r>
        <w:rPr>
          <w:rFonts w:ascii="Times New Roman" w:hAnsi="Times New Roman" w:eastAsia="Times New Roman"/>
          <w:sz w:val="24"/>
        </w:rPr>
        <w:t>44</w:t>
      </w:r>
    </w:p>
    <w:p>
      <w:pPr>
        <w:pStyle w:val="BodyText"/>
        <w:tabs>
          <w:tab w:pos="8787" w:val="right" w:leader="dot"/>
        </w:tabs>
        <w:spacing w:line="240" w:lineRule="auto" w:after="40"/>
        <w:ind w:left="312"/>
        <w:jc w:val="left"/>
      </w:pPr>
      <w:r>
        <w:rPr>
          <w:rFonts w:ascii="Times New Roman" w:hAnsi="Times New Roman" w:eastAsia="Times New Roman"/>
          <w:sz w:val="24"/>
        </w:rPr>
        <w:t>A.5 Reproduction and Label-Review Limits</w:t>
      </w:r>
      <w:r>
        <w:tab/>
      </w:r>
      <w:r>
        <w:rPr>
          <w:rFonts w:ascii="Times New Roman" w:hAnsi="Times New Roman" w:eastAsia="Times New Roman"/>
          <w:sz w:val="24"/>
        </w:rPr>
        <w:t>45</w:t>
      </w:r>
    </w:p>
    <w:p>
      <w:pPr>
        <w:pStyle w:val="Heading1"/>
        <w:pageBreakBefore/>
        <w:jc w:val="center"/>
      </w:pPr>
      <w:bookmarkStart w:id="73" w:name="_f742a1a4b8d4adc352672b7858cd31b7f4d0972"/>
      <w:r>
        <w:rPr>
          <w:rFonts w:ascii="Times New Roman" w:hAnsi="Times New Roman" w:eastAsia="Times New Roman"/>
          <w:b/>
          <w:sz w:val="32"/>
        </w:rPr>
        <w:t xml:space="preserve">List of Figures</w:t>
      </w:r>
      <w:bookmarkEnd w:id="73"/>
    </w:p>
    <w:p>
      <w:pPr>
        <w:pStyle w:val="BodyText"/>
        <w:tabs>
          <w:tab w:pos="8787" w:val="right" w:leader="dot"/>
        </w:tabs>
        <w:spacing w:line="240" w:lineRule="auto" w:after="40"/>
        <w:ind w:left="0"/>
        <w:jc w:val="left"/>
      </w:pPr>
      <w:r>
        <w:rPr>
          <w:rFonts w:ascii="Times New Roman" w:hAnsi="Times New Roman" w:eastAsia="Times New Roman"/>
          <w:sz w:val="24"/>
        </w:rPr>
        <w:t>Figure 1. Sample coverage and positive-label share.</w:t>
      </w:r>
      <w:r>
        <w:tab/>
      </w:r>
      <w:r>
        <w:rPr>
          <w:rFonts w:ascii="Times New Roman" w:hAnsi="Times New Roman" w:eastAsia="Times New Roman"/>
          <w:sz w:val="24"/>
        </w:rPr>
        <w:t>31</w:t>
      </w:r>
    </w:p>
    <w:p>
      <w:pPr>
        <w:pStyle w:val="BodyText"/>
        <w:tabs>
          <w:tab w:pos="8787" w:val="right" w:leader="dot"/>
        </w:tabs>
        <w:spacing w:line="240" w:lineRule="auto" w:after="40"/>
        <w:ind w:left="0"/>
        <w:jc w:val="left"/>
      </w:pPr>
      <w:r>
        <w:rPr>
          <w:rFonts w:ascii="Times New Roman" w:hAnsi="Times New Roman" w:eastAsia="Times New Roman"/>
          <w:sz w:val="24"/>
        </w:rPr>
        <w:t>Figure 2. Model diagnostics, 2023–2025.</w:t>
      </w:r>
      <w:r>
        <w:tab/>
      </w:r>
      <w:r>
        <w:rPr>
          <w:rFonts w:ascii="Times New Roman" w:hAnsi="Times New Roman" w:eastAsia="Times New Roman"/>
          <w:sz w:val="24"/>
        </w:rPr>
        <w:t>33</w:t>
      </w:r>
    </w:p>
    <w:p>
      <w:pPr>
        <w:pStyle w:val="BodyText"/>
        <w:tabs>
          <w:tab w:pos="8787" w:val="right" w:leader="dot"/>
        </w:tabs>
        <w:spacing w:line="240" w:lineRule="auto" w:after="40"/>
        <w:ind w:left="0"/>
        <w:jc w:val="left"/>
      </w:pPr>
      <w:r>
        <w:rPr>
          <w:rFonts w:ascii="Times New Roman" w:hAnsi="Times New Roman" w:eastAsia="Times New Roman"/>
          <w:sz w:val="24"/>
        </w:rPr>
        <w:t>Figure 3. Policy sensitivity.</w:t>
      </w:r>
      <w:r>
        <w:tab/>
      </w:r>
      <w:r>
        <w:rPr>
          <w:rFonts w:ascii="Times New Roman" w:hAnsi="Times New Roman" w:eastAsia="Times New Roman"/>
          <w:sz w:val="24"/>
        </w:rPr>
        <w:t>38</w:t>
      </w:r>
    </w:p>
    <w:p>
      <w:pPr>
        <w:pStyle w:val="Heading1"/>
        <w:pageBreakBefore/>
        <w:jc w:val="center"/>
      </w:pPr>
      <w:bookmarkStart w:id="74" w:name="_05d3edcf1911c8e89bfeb1b8c208493461f609b"/>
      <w:r>
        <w:rPr>
          <w:rFonts w:ascii="Times New Roman" w:hAnsi="Times New Roman" w:eastAsia="Times New Roman"/>
          <w:b/>
          <w:sz w:val="32"/>
        </w:rPr>
        <w:t xml:space="preserve">List of Tables</w:t>
      </w:r>
      <w:bookmarkEnd w:id="74"/>
    </w:p>
    <w:p>
      <w:pPr>
        <w:pStyle w:val="BodyText"/>
        <w:tabs>
          <w:tab w:pos="8787" w:val="right" w:leader="dot"/>
        </w:tabs>
        <w:spacing w:line="240" w:lineRule="auto" w:after="40"/>
        <w:ind w:left="0"/>
        <w:jc w:val="left"/>
      </w:pPr>
      <w:r>
        <w:rPr>
          <w:rFonts w:ascii="Times New Roman" w:hAnsi="Times New Roman" w:eastAsia="Times New Roman"/>
          <w:sz w:val="24"/>
        </w:rPr>
        <w:t>Table 1. Company inventory screening.</w:t>
      </w:r>
      <w:r>
        <w:tab/>
      </w:r>
      <w:r>
        <w:rPr>
          <w:rFonts w:ascii="Times New Roman" w:hAnsi="Times New Roman" w:eastAsia="Times New Roman"/>
          <w:sz w:val="24"/>
        </w:rPr>
        <w:t>13</w:t>
      </w:r>
    </w:p>
    <w:p>
      <w:pPr>
        <w:pStyle w:val="BodyText"/>
        <w:tabs>
          <w:tab w:pos="8787" w:val="right" w:leader="dot"/>
        </w:tabs>
        <w:spacing w:line="240" w:lineRule="auto" w:after="40"/>
        <w:ind w:left="0"/>
        <w:jc w:val="left"/>
      </w:pPr>
      <w:r>
        <w:rPr>
          <w:rFonts w:ascii="Times New Roman" w:hAnsi="Times New Roman" w:eastAsia="Times New Roman"/>
          <w:sz w:val="24"/>
        </w:rPr>
        <w:t>Table 2. SEC data sources and their roles in the panel.</w:t>
      </w:r>
      <w:r>
        <w:tab/>
      </w:r>
      <w:r>
        <w:rPr>
          <w:rFonts w:ascii="Times New Roman" w:hAnsi="Times New Roman" w:eastAsia="Times New Roman"/>
          <w:sz w:val="24"/>
        </w:rPr>
        <w:t>14</w:t>
      </w:r>
    </w:p>
    <w:p>
      <w:pPr>
        <w:pStyle w:val="BodyText"/>
        <w:tabs>
          <w:tab w:pos="8787" w:val="right" w:leader="dot"/>
        </w:tabs>
        <w:spacing w:line="240" w:lineRule="auto" w:after="40"/>
        <w:ind w:left="0"/>
        <w:jc w:val="left"/>
      </w:pPr>
      <w:r>
        <w:rPr>
          <w:rFonts w:ascii="Times New Roman" w:hAnsi="Times New Roman" w:eastAsia="Times New Roman"/>
          <w:sz w:val="24"/>
        </w:rPr>
        <w:t>Table 3. Company-months removed by the outcome-labeling rules.</w:t>
      </w:r>
      <w:r>
        <w:tab/>
      </w:r>
      <w:r>
        <w:rPr>
          <w:rFonts w:ascii="Times New Roman" w:hAnsi="Times New Roman" w:eastAsia="Times New Roman"/>
          <w:sz w:val="24"/>
        </w:rPr>
        <w:t>16</w:t>
      </w:r>
    </w:p>
    <w:p>
      <w:pPr>
        <w:pStyle w:val="BodyText"/>
        <w:tabs>
          <w:tab w:pos="8787" w:val="right" w:leader="dot"/>
        </w:tabs>
        <w:spacing w:line="240" w:lineRule="auto" w:after="40"/>
        <w:ind w:left="0"/>
        <w:jc w:val="left"/>
      </w:pPr>
      <w:r>
        <w:rPr>
          <w:rFonts w:ascii="Times New Roman" w:hAnsi="Times New Roman" w:eastAsia="Times New Roman"/>
          <w:sz w:val="24"/>
        </w:rPr>
        <w:t>Table 4. Accounting predictors, definitions and expected relationships with risk.</w:t>
      </w:r>
      <w:r>
        <w:tab/>
      </w:r>
      <w:r>
        <w:rPr>
          <w:rFonts w:ascii="Times New Roman" w:hAnsi="Times New Roman" w:eastAsia="Times New Roman"/>
          <w:sz w:val="24"/>
        </w:rPr>
        <w:t>18</w:t>
      </w:r>
    </w:p>
    <w:p>
      <w:pPr>
        <w:pStyle w:val="BodyText"/>
        <w:tabs>
          <w:tab w:pos="8787" w:val="right" w:leader="dot"/>
        </w:tabs>
        <w:spacing w:line="240" w:lineRule="auto" w:after="40"/>
        <w:ind w:left="0"/>
        <w:jc w:val="left"/>
      </w:pPr>
      <w:r>
        <w:rPr>
          <w:rFonts w:ascii="Times New Roman" w:hAnsi="Times New Roman" w:eastAsia="Times New Roman"/>
          <w:sz w:val="24"/>
        </w:rPr>
        <w:t>Table 5. Sequential company-month filtering.</w:t>
      </w:r>
      <w:r>
        <w:tab/>
      </w:r>
      <w:r>
        <w:rPr>
          <w:rFonts w:ascii="Times New Roman" w:hAnsi="Times New Roman" w:eastAsia="Times New Roman"/>
          <w:sz w:val="24"/>
        </w:rPr>
        <w:t>19</w:t>
      </w:r>
    </w:p>
    <w:p>
      <w:pPr>
        <w:pStyle w:val="BodyText"/>
        <w:tabs>
          <w:tab w:pos="8787" w:val="right" w:leader="dot"/>
        </w:tabs>
        <w:spacing w:line="240" w:lineRule="auto" w:after="40"/>
        <w:ind w:left="0"/>
        <w:jc w:val="left"/>
      </w:pPr>
      <w:r>
        <w:rPr>
          <w:rFonts w:ascii="Times New Roman" w:hAnsi="Times New Roman" w:eastAsia="Times New Roman"/>
          <w:sz w:val="24"/>
        </w:rPr>
        <w:t>Table 6. Missing values among the twelve model features.</w:t>
      </w:r>
      <w:r>
        <w:tab/>
      </w:r>
      <w:r>
        <w:rPr>
          <w:rFonts w:ascii="Times New Roman" w:hAnsi="Times New Roman" w:eastAsia="Times New Roman"/>
          <w:sz w:val="24"/>
        </w:rPr>
        <w:t>19</w:t>
      </w:r>
    </w:p>
    <w:p>
      <w:pPr>
        <w:pStyle w:val="BodyText"/>
        <w:tabs>
          <w:tab w:pos="8787" w:val="right" w:leader="dot"/>
        </w:tabs>
        <w:spacing w:line="240" w:lineRule="auto" w:after="40"/>
        <w:ind w:left="0"/>
        <w:jc w:val="left"/>
      </w:pPr>
      <w:r>
        <w:rPr>
          <w:rFonts w:ascii="Times New Roman" w:hAnsi="Times New Roman" w:eastAsia="Times New Roman"/>
          <w:sz w:val="24"/>
        </w:rPr>
        <w:t>Table 7. Chronological model-development and evaluation stages.</w:t>
      </w:r>
      <w:r>
        <w:tab/>
      </w:r>
      <w:r>
        <w:rPr>
          <w:rFonts w:ascii="Times New Roman" w:hAnsi="Times New Roman" w:eastAsia="Times New Roman"/>
          <w:sz w:val="24"/>
        </w:rPr>
        <w:t>22</w:t>
      </w:r>
    </w:p>
    <w:p>
      <w:pPr>
        <w:pStyle w:val="BodyText"/>
        <w:tabs>
          <w:tab w:pos="8787" w:val="right" w:leader="dot"/>
        </w:tabs>
        <w:spacing w:line="240" w:lineRule="auto" w:after="40"/>
        <w:ind w:left="0"/>
        <w:jc w:val="left"/>
      </w:pPr>
      <w:r>
        <w:rPr>
          <w:rFonts w:ascii="Times New Roman" w:hAnsi="Times New Roman" w:eastAsia="Times New Roman"/>
          <w:sz w:val="24"/>
        </w:rPr>
        <w:t>Table 8. Observed and assumed inputs to the policy replay.</w:t>
      </w:r>
      <w:r>
        <w:tab/>
      </w:r>
      <w:r>
        <w:rPr>
          <w:rFonts w:ascii="Times New Roman" w:hAnsi="Times New Roman" w:eastAsia="Times New Roman"/>
          <w:sz w:val="24"/>
        </w:rPr>
        <w:t>25</w:t>
      </w:r>
    </w:p>
    <w:p>
      <w:pPr>
        <w:pStyle w:val="BodyText"/>
        <w:tabs>
          <w:tab w:pos="8787" w:val="right" w:leader="dot"/>
        </w:tabs>
        <w:spacing w:line="240" w:lineRule="auto" w:after="40"/>
        <w:ind w:left="0"/>
        <w:jc w:val="left"/>
      </w:pPr>
      <w:r>
        <w:rPr>
          <w:rFonts w:ascii="Times New Roman" w:hAnsi="Times New Roman" w:eastAsia="Times New Roman"/>
          <w:sz w:val="24"/>
        </w:rPr>
        <w:t>Table 9. Monthly credit-limit update rules.</w:t>
      </w:r>
      <w:r>
        <w:tab/>
      </w:r>
      <w:r>
        <w:rPr>
          <w:rFonts w:ascii="Times New Roman" w:hAnsi="Times New Roman" w:eastAsia="Times New Roman"/>
          <w:sz w:val="24"/>
        </w:rPr>
        <w:t>27</w:t>
      </w:r>
    </w:p>
    <w:p>
      <w:pPr>
        <w:pStyle w:val="BodyText"/>
        <w:tabs>
          <w:tab w:pos="8787" w:val="right" w:leader="dot"/>
        </w:tabs>
        <w:spacing w:line="240" w:lineRule="auto" w:after="40"/>
        <w:ind w:left="0"/>
        <w:jc w:val="left"/>
      </w:pPr>
      <w:r>
        <w:rPr>
          <w:rFonts w:ascii="Times New Roman" w:hAnsi="Times New Roman" w:eastAsia="Times New Roman"/>
          <w:sz w:val="24"/>
        </w:rPr>
        <w:t>Table 10. Inputs to the worked credit-limit example.</w:t>
      </w:r>
      <w:r>
        <w:tab/>
      </w:r>
      <w:r>
        <w:rPr>
          <w:rFonts w:ascii="Times New Roman" w:hAnsi="Times New Roman" w:eastAsia="Times New Roman"/>
          <w:sz w:val="24"/>
        </w:rPr>
        <w:t>28</w:t>
      </w:r>
    </w:p>
    <w:p>
      <w:pPr>
        <w:pStyle w:val="BodyText"/>
        <w:tabs>
          <w:tab w:pos="8787" w:val="right" w:leader="dot"/>
        </w:tabs>
        <w:spacing w:line="240" w:lineRule="auto" w:after="40"/>
        <w:ind w:left="0"/>
        <w:jc w:val="left"/>
      </w:pPr>
      <w:r>
        <w:rPr>
          <w:rFonts w:ascii="Times New Roman" w:hAnsi="Times New Roman" w:eastAsia="Times New Roman"/>
          <w:sz w:val="24"/>
        </w:rPr>
        <w:t>Table 11. Worked credit-limit calculation.</w:t>
      </w:r>
      <w:r>
        <w:tab/>
      </w:r>
      <w:r>
        <w:rPr>
          <w:rFonts w:ascii="Times New Roman" w:hAnsi="Times New Roman" w:eastAsia="Times New Roman"/>
          <w:sz w:val="24"/>
        </w:rPr>
        <w:t>29</w:t>
      </w:r>
    </w:p>
    <w:p>
      <w:pPr>
        <w:pStyle w:val="BodyText"/>
        <w:tabs>
          <w:tab w:pos="8787" w:val="right" w:leader="dot"/>
        </w:tabs>
        <w:spacing w:line="240" w:lineRule="auto" w:after="40"/>
        <w:ind w:left="0"/>
        <w:jc w:val="left"/>
      </w:pPr>
      <w:r>
        <w:rPr>
          <w:rFonts w:ascii="Times New Roman" w:hAnsi="Times New Roman" w:eastAsia="Times New Roman"/>
          <w:sz w:val="24"/>
        </w:rPr>
        <w:t>Table 12. Composition of the chronological modeling stages.</w:t>
      </w:r>
      <w:r>
        <w:tab/>
      </w:r>
      <w:r>
        <w:rPr>
          <w:rFonts w:ascii="Times New Roman" w:hAnsi="Times New Roman" w:eastAsia="Times New Roman"/>
          <w:sz w:val="24"/>
        </w:rPr>
        <w:t>30</w:t>
      </w:r>
    </w:p>
    <w:p>
      <w:pPr>
        <w:pStyle w:val="BodyText"/>
        <w:tabs>
          <w:tab w:pos="8787" w:val="right" w:leader="dot"/>
        </w:tabs>
        <w:spacing w:line="240" w:lineRule="auto" w:after="40"/>
        <w:ind w:left="0"/>
        <w:jc w:val="left"/>
      </w:pPr>
      <w:r>
        <w:rPr>
          <w:rFonts w:ascii="Times New Roman" w:hAnsi="Times New Roman" w:eastAsia="Times New Roman"/>
          <w:sz w:val="24"/>
        </w:rPr>
        <w:t>Table 13. Selected settings by model family.</w:t>
      </w:r>
      <w:r>
        <w:tab/>
      </w:r>
      <w:r>
        <w:rPr>
          <w:rFonts w:ascii="Times New Roman" w:hAnsi="Times New Roman" w:eastAsia="Times New Roman"/>
          <w:sz w:val="24"/>
        </w:rPr>
        <w:t>31</w:t>
      </w:r>
    </w:p>
    <w:p>
      <w:pPr>
        <w:pStyle w:val="BodyText"/>
        <w:tabs>
          <w:tab w:pos="8787" w:val="right" w:leader="dot"/>
        </w:tabs>
        <w:spacing w:line="240" w:lineRule="auto" w:after="40"/>
        <w:ind w:left="0"/>
        <w:jc w:val="left"/>
      </w:pPr>
      <w:r>
        <w:rPr>
          <w:rFonts w:ascii="Times New Roman" w:hAnsi="Times New Roman" w:eastAsia="Times New Roman"/>
          <w:sz w:val="24"/>
        </w:rPr>
        <w:t>Table 14. Model selection results for 2020–2022.</w:t>
      </w:r>
      <w:r>
        <w:tab/>
      </w:r>
      <w:r>
        <w:rPr>
          <w:rFonts w:ascii="Times New Roman" w:hAnsi="Times New Roman" w:eastAsia="Times New Roman"/>
          <w:sz w:val="24"/>
        </w:rPr>
        <w:t>32</w:t>
      </w:r>
    </w:p>
    <w:p>
      <w:pPr>
        <w:pStyle w:val="BodyText"/>
        <w:tabs>
          <w:tab w:pos="8787" w:val="right" w:leader="dot"/>
        </w:tabs>
        <w:spacing w:line="240" w:lineRule="auto" w:after="40"/>
        <w:ind w:left="0"/>
        <w:jc w:val="left"/>
      </w:pPr>
      <w:r>
        <w:rPr>
          <w:rFonts w:ascii="Times New Roman" w:hAnsi="Times New Roman" w:eastAsia="Times New Roman"/>
          <w:sz w:val="24"/>
        </w:rPr>
        <w:t>Table 15. Later-period ranking and probability performance.</w:t>
      </w:r>
      <w:r>
        <w:tab/>
      </w:r>
      <w:r>
        <w:rPr>
          <w:rFonts w:ascii="Times New Roman" w:hAnsi="Times New Roman" w:eastAsia="Times New Roman"/>
          <w:sz w:val="24"/>
        </w:rPr>
        <w:t>32</w:t>
      </w:r>
    </w:p>
    <w:p>
      <w:pPr>
        <w:pStyle w:val="BodyText"/>
        <w:tabs>
          <w:tab w:pos="8787" w:val="right" w:leader="dot"/>
        </w:tabs>
        <w:spacing w:line="240" w:lineRule="auto" w:after="40"/>
        <w:ind w:left="0"/>
        <w:jc w:val="left"/>
      </w:pPr>
      <w:r>
        <w:rPr>
          <w:rFonts w:ascii="Times New Roman" w:hAnsi="Times New Roman" w:eastAsia="Times New Roman"/>
          <w:sz w:val="24"/>
        </w:rPr>
        <w:t>Table 16. Later-period performance at the frozen alert thresholds.</w:t>
      </w:r>
      <w:r>
        <w:tab/>
      </w:r>
      <w:r>
        <w:rPr>
          <w:rFonts w:ascii="Times New Roman" w:hAnsi="Times New Roman" w:eastAsia="Times New Roman"/>
          <w:sz w:val="24"/>
        </w:rPr>
        <w:t>32</w:t>
      </w:r>
    </w:p>
    <w:p>
      <w:pPr>
        <w:pStyle w:val="BodyText"/>
        <w:tabs>
          <w:tab w:pos="8787" w:val="right" w:leader="dot"/>
        </w:tabs>
        <w:spacing w:line="240" w:lineRule="auto" w:after="40"/>
        <w:ind w:left="0"/>
        <w:jc w:val="left"/>
      </w:pPr>
      <w:r>
        <w:rPr>
          <w:rFonts w:ascii="Times New Roman" w:hAnsi="Times New Roman" w:eastAsia="Times New Roman"/>
          <w:sz w:val="24"/>
        </w:rPr>
        <w:t>Table 17. Alternative-period model-selection sensitivity.</w:t>
      </w:r>
      <w:r>
        <w:tab/>
      </w:r>
      <w:r>
        <w:rPr>
          <w:rFonts w:ascii="Times New Roman" w:hAnsi="Times New Roman" w:eastAsia="Times New Roman"/>
          <w:sz w:val="24"/>
        </w:rPr>
        <w:t>33</w:t>
      </w:r>
    </w:p>
    <w:p>
      <w:pPr>
        <w:pStyle w:val="BodyText"/>
        <w:tabs>
          <w:tab w:pos="8787" w:val="right" w:leader="dot"/>
        </w:tabs>
        <w:spacing w:line="240" w:lineRule="auto" w:after="40"/>
        <w:ind w:left="0"/>
        <w:jc w:val="left"/>
      </w:pPr>
      <w:r>
        <w:rPr>
          <w:rFonts w:ascii="Times New Roman" w:hAnsi="Times New Roman" w:eastAsia="Times New Roman"/>
          <w:sz w:val="24"/>
        </w:rPr>
        <w:t>Table 18. Construction of the policy-replay sample.</w:t>
      </w:r>
      <w:r>
        <w:tab/>
      </w:r>
      <w:r>
        <w:rPr>
          <w:rFonts w:ascii="Times New Roman" w:hAnsi="Times New Roman" w:eastAsia="Times New Roman"/>
          <w:sz w:val="24"/>
        </w:rPr>
        <w:t>35</w:t>
      </w:r>
    </w:p>
    <w:p>
      <w:pPr>
        <w:pStyle w:val="BodyText"/>
        <w:tabs>
          <w:tab w:pos="8787" w:val="right" w:leader="dot"/>
        </w:tabs>
        <w:spacing w:line="240" w:lineRule="auto" w:after="40"/>
        <w:ind w:left="0"/>
        <w:jc w:val="left"/>
      </w:pPr>
      <w:r>
        <w:rPr>
          <w:rFonts w:ascii="Times New Roman" w:hAnsi="Times New Roman" w:eastAsia="Times New Roman"/>
          <w:sz w:val="24"/>
        </w:rPr>
        <w:t>Table 19. Reference policy assumptions.</w:t>
      </w:r>
      <w:r>
        <w:tab/>
      </w:r>
      <w:r>
        <w:rPr>
          <w:rFonts w:ascii="Times New Roman" w:hAnsi="Times New Roman" w:eastAsia="Times New Roman"/>
          <w:sz w:val="24"/>
        </w:rPr>
        <w:t>35</w:t>
      </w:r>
    </w:p>
    <w:p>
      <w:pPr>
        <w:pStyle w:val="BodyText"/>
        <w:tabs>
          <w:tab w:pos="8787" w:val="right" w:leader="dot"/>
        </w:tabs>
        <w:spacing w:line="240" w:lineRule="auto" w:after="40"/>
        <w:ind w:left="0"/>
        <w:jc w:val="left"/>
      </w:pPr>
      <w:r>
        <w:rPr>
          <w:rFonts w:ascii="Times New Roman" w:hAnsi="Times New Roman" w:eastAsia="Times New Roman"/>
          <w:sz w:val="24"/>
        </w:rPr>
        <w:t>Table 20. Reference-scenario credit-limit results.</w:t>
      </w:r>
      <w:r>
        <w:tab/>
      </w:r>
      <w:r>
        <w:rPr>
          <w:rFonts w:ascii="Times New Roman" w:hAnsi="Times New Roman" w:eastAsia="Times New Roman"/>
          <w:sz w:val="24"/>
        </w:rPr>
        <w:t>36</w:t>
      </w:r>
    </w:p>
    <w:p>
      <w:pPr>
        <w:pStyle w:val="BodyText"/>
        <w:tabs>
          <w:tab w:pos="8787" w:val="right" w:leader="dot"/>
        </w:tabs>
        <w:spacing w:line="240" w:lineRule="auto" w:after="40"/>
        <w:ind w:left="0"/>
        <w:jc w:val="left"/>
      </w:pPr>
      <w:r>
        <w:rPr>
          <w:rFonts w:ascii="Times New Roman" w:hAnsi="Times New Roman" w:eastAsia="Times New Roman"/>
          <w:sz w:val="24"/>
        </w:rPr>
        <w:t>Table 21. Monthly transitions under the reference policy.</w:t>
      </w:r>
      <w:r>
        <w:tab/>
      </w:r>
      <w:r>
        <w:rPr>
          <w:rFonts w:ascii="Times New Roman" w:hAnsi="Times New Roman" w:eastAsia="Times New Roman"/>
          <w:sz w:val="24"/>
        </w:rPr>
        <w:t>36</w:t>
      </w:r>
    </w:p>
    <w:p>
      <w:pPr>
        <w:pStyle w:val="BodyText"/>
        <w:tabs>
          <w:tab w:pos="8787" w:val="right" w:leader="dot"/>
        </w:tabs>
        <w:spacing w:line="240" w:lineRule="auto" w:after="40"/>
        <w:ind w:left="0"/>
        <w:jc w:val="left"/>
      </w:pPr>
      <w:r>
        <w:rPr>
          <w:rFonts w:ascii="Times New Roman" w:hAnsi="Times New Roman" w:eastAsia="Times New Roman"/>
          <w:sz w:val="24"/>
        </w:rPr>
        <w:t>Table 22. Sensitivity of policy results to alternative assumptions.</w:t>
      </w:r>
      <w:r>
        <w:tab/>
      </w:r>
      <w:r>
        <w:rPr>
          <w:rFonts w:ascii="Times New Roman" w:hAnsi="Times New Roman" w:eastAsia="Times New Roman"/>
          <w:sz w:val="24"/>
        </w:rPr>
        <w:t>37</w:t>
      </w:r>
    </w:p>
    <w:p>
      <w:pPr>
        <w:pStyle w:val="BodyText"/>
        <w:tabs>
          <w:tab w:pos="8787" w:val="right" w:leader="dot"/>
        </w:tabs>
        <w:spacing w:line="240" w:lineRule="auto" w:after="40"/>
        <w:ind w:left="0"/>
        <w:jc w:val="left"/>
      </w:pPr>
      <w:r>
        <w:rPr>
          <w:rFonts w:ascii="Times New Roman" w:hAnsi="Times New Roman" w:eastAsia="Times New Roman"/>
          <w:sz w:val="24"/>
        </w:rPr>
        <w:t>Table 23. Effect of alternative monthly update rules.</w:t>
      </w:r>
      <w:r>
        <w:tab/>
      </w:r>
      <w:r>
        <w:rPr>
          <w:rFonts w:ascii="Times New Roman" w:hAnsi="Times New Roman" w:eastAsia="Times New Roman"/>
          <w:sz w:val="24"/>
        </w:rPr>
        <w:t>38</w:t>
      </w:r>
    </w:p>
    <w:p>
      <w:pPr>
        <w:pStyle w:val="BodyText"/>
        <w:tabs>
          <w:tab w:pos="8787" w:val="right" w:leader="dot"/>
        </w:tabs>
        <w:spacing w:line="240" w:lineRule="auto" w:after="40"/>
        <w:ind w:left="0"/>
        <w:jc w:val="left"/>
      </w:pPr>
      <w:r>
        <w:rPr>
          <w:rFonts w:ascii="Times New Roman" w:hAnsi="Times New Roman" w:eastAsia="Times New Roman"/>
          <w:sz w:val="24"/>
        </w:rPr>
        <w:t>Table 24. Primary experiment evidence and locations.</w:t>
      </w:r>
      <w:r>
        <w:tab/>
      </w:r>
      <w:r>
        <w:rPr>
          <w:rFonts w:ascii="Times New Roman" w:hAnsi="Times New Roman" w:eastAsia="Times New Roman"/>
          <w:sz w:val="24"/>
        </w:rPr>
        <w:t>43</w:t>
      </w:r>
    </w:p>
    <w:p>
      <w:pPr>
        <w:pStyle w:val="BodyText"/>
        <w:tabs>
          <w:tab w:pos="8787" w:val="right" w:leader="dot"/>
        </w:tabs>
        <w:spacing w:line="240" w:lineRule="auto" w:after="40"/>
        <w:ind w:left="0"/>
        <w:jc w:val="left"/>
      </w:pPr>
      <w:r>
        <w:rPr>
          <w:rFonts w:ascii="Times New Roman" w:hAnsi="Times New Roman" w:eastAsia="Times New Roman"/>
          <w:sz w:val="24"/>
        </w:rPr>
        <w:t>Table 25. Candidate settings by model family.</w:t>
      </w:r>
      <w:r>
        <w:tab/>
      </w:r>
      <w:r>
        <w:rPr>
          <w:rFonts w:ascii="Times New Roman" w:hAnsi="Times New Roman" w:eastAsia="Times New Roman"/>
          <w:sz w:val="24"/>
        </w:rPr>
        <w:t>44</w:t>
      </w:r>
    </w:p>
    <w:p>
      <w:pPr>
        <w:pStyle w:val="BodyText"/>
        <w:tabs>
          <w:tab w:pos="8787" w:val="right" w:leader="dot"/>
        </w:tabs>
        <w:spacing w:line="240" w:lineRule="auto" w:after="40"/>
        <w:ind w:left="0"/>
        <w:jc w:val="left"/>
      </w:pPr>
      <w:r>
        <w:rPr>
          <w:rFonts w:ascii="Times New Roman" w:hAnsi="Times New Roman" w:eastAsia="Times New Roman"/>
          <w:sz w:val="24"/>
        </w:rPr>
        <w:t>Table 26. Implementation components and main code locations.</w:t>
      </w:r>
      <w:r>
        <w:tab/>
      </w:r>
      <w:r>
        <w:rPr>
          <w:rFonts w:ascii="Times New Roman" w:hAnsi="Times New Roman" w:eastAsia="Times New Roman"/>
          <w:sz w:val="24"/>
        </w:rPr>
        <w:t>44</w:t>
      </w:r>
    </w:p>
    <w:p>
      <w:pPr>
        <w:pStyle w:val="BodyText"/>
        <w:tabs>
          <w:tab w:pos="8787" w:val="right" w:leader="dot"/>
        </w:tabs>
        <w:spacing w:line="240" w:lineRule="auto" w:after="40"/>
        <w:ind w:left="0"/>
        <w:jc w:val="left"/>
      </w:pPr>
      <w:r>
        <w:rPr>
          <w:rFonts w:ascii="Times New Roman" w:hAnsi="Times New Roman" w:eastAsia="Times New Roman"/>
          <w:sz w:val="24"/>
        </w:rPr>
        <w:t>Table 27. Software environment used for the primary experiment.</w:t>
      </w:r>
      <w:r>
        <w:tab/>
      </w:r>
      <w:r>
        <w:rPr>
          <w:rFonts w:ascii="Times New Roman" w:hAnsi="Times New Roman" w:eastAsia="Times New Roman"/>
          <w:sz w:val="24"/>
        </w:rPr>
        <w:t>45</w:t>
      </w:r>
    </w:p>
    <w:p>
      <w:pPr>
        <w:pStyle w:val="Heading1"/>
        <w:pageBreakBefore/>
      </w:pPr>
      <w:bookmarkStart w:id="75" w:name="_introduction"/>
      <w:r>
        <w:rPr>
          <w:rFonts w:ascii="Times New Roman" w:hAnsi="Times New Roman" w:eastAsia="Times New Roman"/>
          <w:b/>
          <w:sz w:val="32"/>
        </w:rPr>
        <w:t xml:space="preserve">1 Introduction</w:t>
      </w:r>
      <w:bookmarkEnd w:id="75"/>
    </w:p>
    <w:p>
      <w:pPr>
        <w:pStyle w:val="Heading2"/>
      </w:pPr>
      <w:bookmarkStart w:id="76" w:name="_background"/>
      <w:r>
        <w:rPr>
          <w:rFonts w:ascii="Times New Roman" w:hAnsi="Times New Roman" w:eastAsia="Times New Roman"/>
          <w:b/>
          <w:sz w:val="26"/>
        </w:rPr>
        <w:t xml:space="preserve">1.1 Background</w:t>
      </w:r>
      <w:bookmarkEnd w:id="76"/>
    </w:p>
    <w:p>
      <w:pPr>
        <w:pStyle w:val="BodyText"/>
        <w:spacing w:before="0" w:after="200" w:line="276" w:lineRule="auto"/>
        <w:jc w:val="both"/>
      </w:pPr>
      <w:r>
        <w:rPr>
          <w:rFonts w:ascii="Times New Roman" w:hAnsi="Times New Roman" w:eastAsia="Times New Roman"/>
          <w:b w:val="0"/>
          <w:sz w:val="24"/>
        </w:rPr>
        <w:t xml:space="preserve">Companies often pay suppliers before customers pay them. Short-term credit bridges this gap, but an excessive limit creates exposure the borrower may not repay, while an insufficient limit restricts useful activity.</w:t>
      </w:r>
    </w:p>
    <w:p>
      <w:pPr>
        <w:pStyle w:val="BodyText"/>
        <w:spacing w:before="0" w:after="200" w:line="276" w:lineRule="auto"/>
        <w:jc w:val="both"/>
      </w:pPr>
      <w:r>
        <w:rPr>
          <w:rFonts w:ascii="Times New Roman" w:hAnsi="Times New Roman" w:eastAsia="Times New Roman"/>
          <w:b w:val="0"/>
          <w:sz w:val="24"/>
        </w:rPr>
        <w:t xml:space="preserve">The studied facility has a 30-day statement period and up to 30 further days for payment. A transaction early in the period can therefore remain scheduled for about 60 days, motivating the prediction horizon. The limit covers all outstanding balances, including unpaid earlier amounts. Reducing it restricts new borrowing but does not remove existing debt.</w:t>
      </w:r>
    </w:p>
    <w:p>
      <w:pPr>
        <w:pStyle w:val="BodyText"/>
        <w:spacing w:before="0" w:after="200" w:line="276" w:lineRule="auto"/>
        <w:jc w:val="both"/>
      </w:pPr>
      <w:r>
        <w:rPr>
          <w:rFonts w:ascii="Times New Roman" w:hAnsi="Times New Roman" w:eastAsia="Times New Roman"/>
          <w:b w:val="0"/>
          <w:sz w:val="24"/>
        </w:rPr>
        <w:t xml:space="preserve">Financial statements describe liquidity, profitability and cash generation. Statistical models can combine these measures into risk estimates, building on financial-ratio classification, logistic bankruptcy prediction and time-varying models.</w:t>
      </w:r>
      <w:r>
        <w:rPr>
          <w:rFonts w:ascii="Times New Roman" w:hAnsi="Times New Roman" w:eastAsia="Times New Roman"/>
          <w:b w:val="0"/>
          <w:sz w:val="24"/>
        </w:rPr>
        <w:t xml:space="preserve"> </w:t>
      </w:r>
      <w:hyperlink r:id="rId77">
        <w:r>
          <w:rPr>
            <w:rStyle w:val="Hyperlink"/>
          </w:rPr>
          <w:t xml:space="preserve">Altman (1968)</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8">
        <w:r>
          <w:rPr>
            <w:rStyle w:val="Hyperlink"/>
          </w:rPr>
          <w:t xml:space="preserve">Ohlson (1980)</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9">
        <w:r>
          <w:rPr>
            <w:rStyle w:val="Hyperlink"/>
          </w:rPr>
          <w:t xml:space="preserve">Shumway (2001)</w:t>
        </w:r>
      </w:hyperlink>
      <w:r>
        <w:rPr>
          <w:rFonts w:ascii="Times New Roman" w:hAnsi="Times New Roman" w:eastAsia="Times New Roman"/>
          <w:b w:val="0"/>
          <w:sz w:val="24"/>
        </w:rPr>
        <w:t xml:space="preserve">.</w:t>
      </w:r>
    </w:p>
    <w:p>
      <w:pPr>
        <w:pStyle w:val="Heading2"/>
      </w:pPr>
      <w:bookmarkStart w:id="80" w:name="_000f3f78210d3324de8572863635275852f3ba9"/>
      <w:r>
        <w:rPr>
          <w:rFonts w:ascii="Times New Roman" w:hAnsi="Times New Roman" w:eastAsia="Times New Roman"/>
          <w:b/>
          <w:sz w:val="26"/>
        </w:rPr>
        <w:t xml:space="preserve">1.2 Research Problem</w:t>
      </w:r>
      <w:bookmarkEnd w:id="80"/>
    </w:p>
    <w:p>
      <w:pPr>
        <w:pStyle w:val="BodyText"/>
        <w:spacing w:before="0" w:after="200" w:line="276" w:lineRule="auto"/>
        <w:jc w:val="both"/>
      </w:pPr>
      <w:r>
        <w:rPr>
          <w:rFonts w:ascii="Times New Roman" w:hAnsi="Times New Roman" w:eastAsia="Times New Roman"/>
          <w:b w:val="0"/>
          <w:sz w:val="24"/>
        </w:rPr>
        <w:t xml:space="preserve">A risk estimate does not determine a monetary limit: companies with similar estimated risk can differ greatly in revenue, cash and repayment capacity. The problem is to combine these dimensions in a transparent rule that responds to deterioration while requiring new support for increases.</w:t>
      </w:r>
    </w:p>
    <w:p>
      <w:pPr>
        <w:pStyle w:val="BodyText"/>
        <w:spacing w:before="0" w:after="200" w:line="276" w:lineRule="auto"/>
        <w:jc w:val="both"/>
      </w:pPr>
      <w:r>
        <w:rPr>
          <w:rFonts w:ascii="Times New Roman" w:hAnsi="Times New Roman" w:eastAsia="Times New Roman"/>
          <w:b w:val="0"/>
          <w:sz w:val="24"/>
        </w:rPr>
        <w:t xml:space="preserve">SEC statements and filing histories do not contain payment records for the proposed facility. The empirical target is therefore a</w:t>
      </w:r>
      <w:r>
        <w:rPr>
          <w:rFonts w:ascii="Times New Roman" w:hAnsi="Times New Roman" w:eastAsia="Times New Roman"/>
          <w:b w:val="0"/>
          <w:sz w:val="24"/>
        </w:rPr>
        <w:t xml:space="preserve"> </w:t>
      </w:r>
      <w:r>
        <w:rPr>
          <w:rFonts w:ascii="Times New Roman" w:hAnsi="Times New Roman" w:eastAsia="Times New Roman"/>
          <w:b w:val="0"/>
          <w:bCs/>
          <w:sz w:val="24"/>
        </w:rPr>
        <w:t xml:space="preserve">new bankruptcy or payment-failure disclosure episode within 60 days</w:t>
      </w:r>
      <w:r>
        <w:rPr>
          <w:rFonts w:ascii="Times New Roman" w:hAnsi="Times New Roman" w:eastAsia="Times New Roman"/>
          <w:b w:val="0"/>
          <w:sz w:val="24"/>
        </w:rPr>
        <w:t xml:space="preserve">: Item 1.03 bankruptcy or receivership filings, plus Item 2.04-only filings whose reviewed evidence explicitly describes a missed debt payment. The model estimates disclosure probability, not facility default. Filing and underlying-event dates can differ. Consequently, the study evaluates disclosure prediction and policy behavior, not lender losses or profits.</w:t>
      </w:r>
      <w:r>
        <w:rPr>
          <w:rFonts w:ascii="Times New Roman" w:hAnsi="Times New Roman" w:eastAsia="Times New Roman"/>
          <w:b w:val="0"/>
          <w:sz w:val="24"/>
        </w:rPr>
        <w:t xml:space="preserve"> </w:t>
      </w:r>
      <w:hyperlink r:id="rId81">
        <w:r>
          <w:rPr>
            <w:rStyle w:val="Hyperlink"/>
          </w:rPr>
          <w:t xml:space="preserve">SEC, Form 8-K</w:t>
        </w:r>
      </w:hyperlink>
      <w:r>
        <w:rPr>
          <w:rFonts w:ascii="Times New Roman" w:hAnsi="Times New Roman" w:eastAsia="Times New Roman"/>
          <w:b w:val="0"/>
          <w:sz w:val="24"/>
        </w:rPr>
        <w:t xml:space="preserve">.</w:t>
      </w:r>
    </w:p>
    <w:p>
      <w:pPr>
        <w:pStyle w:val="Heading2"/>
      </w:pPr>
      <w:bookmarkStart w:id="82" w:name="_da7439fb39b5b7010f0685fe5062fd664713ca6"/>
      <w:r>
        <w:rPr>
          <w:rFonts w:ascii="Times New Roman" w:hAnsi="Times New Roman" w:eastAsia="Times New Roman"/>
          <w:b/>
          <w:sz w:val="26"/>
        </w:rPr>
        <w:t xml:space="preserve">1.3 Research Questions</w:t>
      </w:r>
      <w:bookmarkEnd w:id="82"/>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Can monthly point-in-time financial information predict a qualifying disclosure within 60 days better than a constant event-rate benchmark?</w:t>
      </w:r>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Do random forest and gradient boosting improve prediction over logistic regression under the same chronological design?</w:t>
      </w:r>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How can estimated probability, financial capacity and an exposure cap produce a transparent monetary limit?</w:t>
      </w:r>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How do monthly limits respond to new information, risk changes and alternative policy assumptions?</w:t>
      </w:r>
    </w:p>
    <w:p>
      <w:pPr>
        <w:pStyle w:val="Heading2"/>
      </w:pPr>
      <w:bookmarkStart w:id="83" w:name="_3f5c413b415905b118515737533fd1ef3693a98"/>
      <w:r>
        <w:rPr>
          <w:rFonts w:ascii="Times New Roman" w:hAnsi="Times New Roman" w:eastAsia="Times New Roman"/>
          <w:b/>
          <w:sz w:val="26"/>
        </w:rPr>
        <w:t xml:space="preserve">1.4 Objectives and Contribution</w:t>
      </w:r>
      <w:bookmarkEnd w:id="83"/>
    </w:p>
    <w:p>
      <w:pPr>
        <w:pStyle w:val="BodyText"/>
        <w:spacing w:before="0" w:after="200" w:line="276" w:lineRule="auto"/>
        <w:jc w:val="both"/>
      </w:pPr>
      <w:r>
        <w:rPr>
          <w:rFonts w:ascii="Times New Roman" w:hAnsi="Times New Roman" w:eastAsia="Times New Roman"/>
          <w:b w:val="0"/>
          <w:sz w:val="24"/>
        </w:rPr>
        <w:t xml:space="preserve">The study constructs a monthly panel from SEC Company Facts, Financial Statement and Notes data, and submissions, retaining reporting periods, filing dates and sources. It compares logistic regression, L2-regularized logistic regression, random forest and XGBoost on twelve accounting predictors using separate chronological stages for fitting, tuning, calibration, selection and later evaluation.</w:t>
      </w:r>
    </w:p>
    <w:p>
      <w:pPr>
        <w:pStyle w:val="BodyText"/>
        <w:spacing w:before="0" w:after="200" w:line="276" w:lineRule="auto"/>
        <w:jc w:val="both"/>
      </w:pPr>
      <w:r>
        <w:rPr>
          <w:rFonts w:ascii="Times New Roman" w:hAnsi="Times New Roman" w:eastAsia="Times New Roman"/>
          <w:b w:val="0"/>
          <w:sz w:val="24"/>
        </w:rPr>
        <w:t xml:space="preserve">The policy combines annual revenue, operating cash flow and eligible cash into capacity, then applies a decreasing risk multiplier, an exposure cap and asymmetric monthly update rules. Historical replay examines movements, binding constraints and sensitivity. The contribution is a reproducible connection between dated accounting information, disclosure prediction and monetary limits while keeping observed data distinct from assumed facility inputs.</w:t>
      </w:r>
    </w:p>
    <w:p>
      <w:pPr>
        <w:pStyle w:val="BodyText"/>
        <w:spacing w:before="0" w:after="200" w:line="276" w:lineRule="auto"/>
        <w:jc w:val="both"/>
      </w:pPr>
      <w:r>
        <w:rPr>
          <w:rFonts w:ascii="Times New Roman" w:hAnsi="Times New Roman" w:eastAsia="Times New Roman"/>
          <w:b w:val="0"/>
          <w:sz w:val="24"/>
        </w:rPr>
        <w:t xml:space="preserve">This separation is central to the design. A model may rank risky companies without producing probabilities accurate enough for a monetary calculation, while a sound probability still cannot determine exposure without evidence of repayment capacity. The thesis therefore reports ranking, probability error and alert performance before evaluating the policy as a separate layer. Its saved code, tables and figures make both layers auditable.</w:t>
      </w:r>
    </w:p>
    <w:p>
      <w:pPr>
        <w:pStyle w:val="Heading2"/>
      </w:pPr>
      <w:bookmarkStart w:id="84" w:name="_504bd3c99dc40d6d68692f170cdfca2f9541aa6"/>
      <w:r>
        <w:rPr>
          <w:rFonts w:ascii="Times New Roman" w:hAnsi="Times New Roman" w:eastAsia="Times New Roman"/>
          <w:b/>
          <w:sz w:val="26"/>
        </w:rPr>
        <w:t xml:space="preserve">1.5 Scope and Limitations</w:t>
      </w:r>
      <w:bookmarkEnd w:id="84"/>
    </w:p>
    <w:p>
      <w:pPr>
        <w:pStyle w:val="BodyText"/>
        <w:spacing w:before="0" w:after="200" w:line="276" w:lineRule="auto"/>
        <w:jc w:val="both"/>
      </w:pPr>
      <w:r>
        <w:rPr>
          <w:rFonts w:ascii="Times New Roman" w:hAnsi="Times New Roman" w:eastAsia="Times New Roman"/>
          <w:b w:val="0"/>
          <w:sz w:val="24"/>
        </w:rPr>
        <w:t xml:space="preserve">The study covers eligible SEC issuers from January 2011 to December 2025, excluding current SIC 6000–6999 because financial-sector statements are not comparable with ordinary operating companies. It uses an observed reporting population rather than a complete historical listing universe.</w:t>
      </w:r>
    </w:p>
    <w:p>
      <w:pPr>
        <w:pStyle w:val="BodyText"/>
        <w:spacing w:before="0" w:after="200" w:line="276" w:lineRule="auto"/>
        <w:jc w:val="both"/>
      </w:pPr>
      <w:r>
        <w:rPr>
          <w:rFonts w:ascii="Times New Roman" w:hAnsi="Times New Roman" w:eastAsia="Times New Roman"/>
          <w:b w:val="0"/>
          <w:sz w:val="24"/>
        </w:rPr>
        <w:t xml:space="preserve">The retrospective later evaluation covers 2023–2025. These years were excluded from the final model’s development but examined during earlier project work. Companies may appear in multiple periods, reflecting continued monitoring. The replay assumes cash eligibility, additional debt payments and facility exposure, and lacks observed utilization, repayments and losses.</w:t>
      </w:r>
    </w:p>
    <w:p>
      <w:pPr>
        <w:pStyle w:val="BodyText"/>
        <w:spacing w:before="0" w:after="200" w:line="276" w:lineRule="auto"/>
        <w:jc w:val="both"/>
      </w:pPr>
      <w:r>
        <w:rPr>
          <w:rFonts w:ascii="Times New Roman" w:hAnsi="Times New Roman" w:eastAsia="Times New Roman"/>
          <w:b w:val="0"/>
          <w:sz w:val="24"/>
        </w:rPr>
        <w:t xml:space="preserve">Financial values are stated in USD and generally update only when a new filing appears. The resulting monthly panel is therefore a sequence of decision-time information sets, not monthly management accounts. These scope choices limit claims about private-company lending and changes between reporting dates.</w:t>
      </w:r>
    </w:p>
    <w:p>
      <w:pPr>
        <w:pStyle w:val="Heading2"/>
      </w:pPr>
      <w:bookmarkStart w:id="85" w:name="_a323960610b9b90fffecaaeb25c7a6555ae95eb"/>
      <w:r>
        <w:rPr>
          <w:rFonts w:ascii="Times New Roman" w:hAnsi="Times New Roman" w:eastAsia="Times New Roman"/>
          <w:b/>
          <w:sz w:val="26"/>
        </w:rPr>
        <w:t xml:space="preserve">1.6 Structure of the Thesis</w:t>
      </w:r>
      <w:bookmarkEnd w:id="85"/>
    </w:p>
    <w:p>
      <w:pPr>
        <w:pStyle w:val="BodyText"/>
        <w:spacing w:before="0" w:after="200" w:line="276" w:lineRule="auto"/>
        <w:jc w:val="both"/>
      </w:pPr>
      <w:r>
        <w:rPr>
          <w:rFonts w:ascii="Times New Roman" w:hAnsi="Times New Roman" w:eastAsia="Times New Roman"/>
          <w:b w:val="0"/>
          <w:sz w:val="24"/>
        </w:rPr>
        <w:t xml:space="preserve">Chapter 2 reviews concepts and literature. Chapters 3–4 define data and validation. Chapter 5 specifies the policy. Chapters 6–7 present predictive and policy results, and Chapter 8 concludes. Appendix A records reproducibility details.</w:t>
      </w:r>
    </w:p>
    <w:p>
      <w:pPr>
        <w:pStyle w:val="Heading1"/>
        <w:pageBreakBefore/>
      </w:pPr>
      <w:bookmarkStart w:id="86" w:name="_f12849bf9d76d5a35af8a3530c3c1fecf8c980f"/>
      <w:r>
        <w:rPr>
          <w:rFonts w:ascii="Times New Roman" w:hAnsi="Times New Roman" w:eastAsia="Times New Roman"/>
          <w:b/>
          <w:sz w:val="32"/>
        </w:rPr>
        <w:t xml:space="preserve">2 Theoretical Background and Literature Review</w:t>
      </w:r>
      <w:bookmarkEnd w:id="86"/>
    </w:p>
    <w:p>
      <w:pPr>
        <w:pStyle w:val="BodyText"/>
        <w:spacing w:before="0" w:after="200" w:line="276" w:lineRule="auto"/>
        <w:jc w:val="both"/>
      </w:pPr>
      <w:r>
        <w:rPr>
          <w:rFonts w:ascii="Times New Roman" w:hAnsi="Times New Roman" w:eastAsia="Times New Roman"/>
          <w:b w:val="0"/>
          <w:sz w:val="24"/>
        </w:rPr>
        <w:t xml:space="preserve">This chapter separates credit-risk prediction from monetary limit determination and reviews the concepts supporting both.</w:t>
      </w:r>
    </w:p>
    <w:p>
      <w:pPr>
        <w:pStyle w:val="Heading2"/>
      </w:pPr>
      <w:bookmarkStart w:id="87" w:name="_79dc8a5017559a42b2e767b6a1b37e642819ef9"/>
      <w:r>
        <w:rPr>
          <w:rFonts w:ascii="Times New Roman" w:hAnsi="Times New Roman" w:eastAsia="Times New Roman"/>
          <w:b/>
          <w:sz w:val="26"/>
        </w:rPr>
        <w:t xml:space="preserve">2.1 Corporate Credit Risk</w:t>
      </w:r>
      <w:bookmarkEnd w:id="87"/>
    </w:p>
    <w:p>
      <w:pPr>
        <w:pStyle w:val="BodyText"/>
        <w:spacing w:before="0" w:after="200" w:line="276" w:lineRule="auto"/>
        <w:jc w:val="both"/>
      </w:pPr>
      <w:r>
        <w:rPr>
          <w:rFonts w:ascii="Times New Roman" w:hAnsi="Times New Roman" w:eastAsia="Times New Roman"/>
          <w:b w:val="0"/>
          <w:sz w:val="24"/>
        </w:rPr>
        <w:t xml:space="preserve">Delinquency is an overdue payment. Default is a defined failure-to-pay or other default condition. Financial distress is difficulty meeting obligations, while bankruptcy is a formal legal process. These outcomes overlap but are not equivalent.</w:t>
      </w:r>
    </w:p>
    <w:p>
      <w:pPr>
        <w:pStyle w:val="BodyText"/>
        <w:spacing w:before="0" w:after="200" w:line="276" w:lineRule="auto"/>
        <w:jc w:val="both"/>
      </w:pPr>
      <w:r>
        <w:rPr>
          <w:rFonts w:ascii="Times New Roman" w:hAnsi="Times New Roman" w:eastAsia="Times New Roman"/>
          <w:b w:val="0"/>
          <w:sz w:val="24"/>
        </w:rPr>
        <w:t xml:space="preserve">The Basel Framework treats probability of default (PD), loss given default (LGD) and exposure at default (EAD) as distinct</w:t>
      </w:r>
      <w:r>
        <w:rPr>
          <w:rFonts w:ascii="Times New Roman" w:hAnsi="Times New Roman" w:eastAsia="Times New Roman"/>
          <w:b w:val="0"/>
          <w:sz w:val="24"/>
        </w:rPr>
        <w:t xml:space="preserve"> </w:t>
      </w:r>
      <w:hyperlink r:id="rId88">
        <w:r>
          <w:rPr>
            <w:rStyle w:val="Hyperlink"/>
          </w:rPr>
          <w:t xml:space="preserve">credit-risk components</w:t>
        </w:r>
      </w:hyperlink>
      <w:r>
        <w:rPr>
          <w:rFonts w:ascii="Times New Roman" w:hAnsi="Times New Roman" w:eastAsia="Times New Roman"/>
          <w:b w:val="0"/>
          <w:sz w:val="24"/>
        </w:rPr>
        <w:t xml:space="preserve"> </w:t>
      </w:r>
      <w:r>
        <w:rPr>
          <w:rFonts w:ascii="Times New Roman" w:hAnsi="Times New Roman" w:eastAsia="Times New Roman"/>
          <w:b w:val="0"/>
          <w:sz w:val="24"/>
        </w:rPr>
        <w:t xml:space="preserve">and uses them in</w:t>
      </w:r>
      <w:r>
        <w:rPr>
          <w:rFonts w:ascii="Times New Roman" w:hAnsi="Times New Roman" w:eastAsia="Times New Roman"/>
          <w:b w:val="0"/>
          <w:sz w:val="24"/>
        </w:rPr>
        <w:t xml:space="preserve"> </w:t>
      </w:r>
      <w:hyperlink r:id="rId89">
        <w:r>
          <w:rPr>
            <w:rStyle w:val="Hyperlink"/>
          </w:rPr>
          <w:t xml:space="preserve">expected-loss calculations</w:t>
        </w:r>
      </w:hyperlink>
      <w:r>
        <w:rPr>
          <w:rFonts w:ascii="Times New Roman" w:hAnsi="Times New Roman" w:eastAsia="Times New Roman"/>
          <w:b w:val="0"/>
          <w:sz w:val="24"/>
        </w:rPr>
        <w:t xml:space="preserve"> </w:t>
      </w:r>
      <w:r>
        <w:rPr>
          <w:rFonts w:ascii="Times New Roman" w:hAnsi="Times New Roman" w:eastAsia="Times New Roman"/>
          <w:b w:val="0"/>
          <w:sz w:val="24"/>
        </w:rPr>
        <w:t xml:space="preserve">(Basel Committee on Banking Supervision, 2020).</w:t>
      </w:r>
    </w:p>
    <w:p>
      <w:pPr>
        <w:pStyle w:val="BodyText"/>
        <w:spacing w:before="0" w:after="200" w:line="276" w:lineRule="auto"/>
        <w:jc w:val="both"/>
      </w:pPr>
      <w:r>
        <w:rPr>
          <w:rFonts w:ascii="Times New Roman" w:hAnsi="Times New Roman" w:eastAsia="Times New Roman"/>
          <w:b w:val="0"/>
          <w:sz w:val="24"/>
        </w:rPr>
        <w:t xml:space="preserve">A simplified expected-loss amount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E</m:t>
        </m:r>
        <m:r>
          <m:t>L</m:t>
        </m:r>
        <m:r>
          <m:rPr>
            <m:sty m:val="p"/>
          </m:rPr>
          <m:t>=</m:t>
        </m:r>
        <m:r>
          <m:t>P</m:t>
        </m:r>
        <m:r>
          <m:t>D</m:t>
        </m:r>
        <m:r>
          <m:rPr>
            <m:sty m:val="p"/>
          </m:rPr>
          <m:t>×</m:t>
        </m:r>
        <m:r>
          <m:t>L</m:t>
        </m:r>
        <m:r>
          <m:t>G</m:t>
        </m:r>
        <m:r>
          <m:t>D</m:t>
        </m:r>
        <m:r>
          <m:rPr>
            <m:sty m:val="p"/>
          </m:rPr>
          <m:t>×</m:t>
        </m:r>
        <m:r>
          <m:t>E</m:t>
        </m:r>
        <m:r>
          <m:t>A</m:t>
        </m:r>
        <m:r>
          <m:t>D</m:t>
        </m:r>
        <m:r>
          <m:rPr>
            <m:sty m:val="p"/>
          </m:rPr>
          <m:t>.</m:t>
        </m:r>
      </m:oMath>
      <w:r>
        <w:rPr>
          <w:rFonts w:ascii="Times New Roman" w:hAnsi="Times New Roman" w:eastAsia="Times New Roman"/>
          <w:sz w:val="24"/>
        </w:rPr>
        <w:tab/>
        <w:t>(1)</w:t>
      </w:r>
    </w:p>
    <w:p>
      <w:pPr>
        <w:pStyle w:val="BodyText"/>
        <w:spacing w:before="0" w:after="200" w:line="276" w:lineRule="auto"/>
        <w:jc w:val="both"/>
      </w:pPr>
      <w:r>
        <w:rPr>
          <w:rFonts w:ascii="Times New Roman" w:hAnsi="Times New Roman" w:eastAsia="Times New Roman"/>
          <w:b w:val="0"/>
          <w:sz w:val="24"/>
        </w:rPr>
        <w:t xml:space="preserve">Combining them requires consistent definitions, horizons and evidence on events, exposure and recoveries. This thesis instead predicts an SEC disclosure and lacks facility EAD and recovery data, so the estimated probability cannot be treated as PD in this formula.</w:t>
      </w:r>
    </w:p>
    <w:p>
      <w:pPr>
        <w:pStyle w:val="BodyText"/>
        <w:spacing w:before="0" w:after="200" w:line="276" w:lineRule="auto"/>
        <w:jc w:val="both"/>
      </w:pPr>
      <w:r>
        <w:rPr>
          <w:rFonts w:ascii="Times New Roman" w:hAnsi="Times New Roman" w:eastAsia="Times New Roman"/>
          <w:b w:val="0"/>
          <w:sz w:val="24"/>
        </w:rPr>
        <w:t xml:space="preserve">PD asks how likely the defined event is, EAD how much will be owed when it occurs, and LGD what proportion will remain unrecovered. EAD can differ from the current balance because a revolving borrower may draw or repay before default. LGD additionally depends on collateral, seniority, collection costs and recovery timing. These distinct inputs explain why a distress score alone is insufficient for expected-loss or limit setting.</w:t>
      </w:r>
    </w:p>
    <w:p>
      <w:pPr>
        <w:pStyle w:val="Heading2"/>
      </w:pPr>
      <w:bookmarkStart w:id="90" w:name="_4d0c454a806b6dde335d4922ac2f860c7a10fb5"/>
      <w:r>
        <w:rPr>
          <w:rFonts w:ascii="Times New Roman" w:hAnsi="Times New Roman" w:eastAsia="Times New Roman"/>
          <w:b/>
          <w:sz w:val="26"/>
        </w:rPr>
        <w:t xml:space="preserve">2.2 Short-Term Corporate Credit Facilities</w:t>
      </w:r>
      <w:bookmarkEnd w:id="90"/>
    </w:p>
    <w:p>
      <w:pPr>
        <w:pStyle w:val="BodyText"/>
        <w:spacing w:before="0" w:after="200" w:line="276" w:lineRule="auto"/>
        <w:jc w:val="both"/>
      </w:pPr>
      <w:r>
        <w:rPr>
          <w:rFonts w:ascii="Times New Roman" w:hAnsi="Times New Roman" w:eastAsia="Times New Roman"/>
          <w:b w:val="0"/>
          <w:sz w:val="24"/>
        </w:rPr>
        <w:t xml:space="preserve">The studied facility has a 30-day statement period and up to 30 further days for payment, creating up to about 60 days of scheduled exposure. If</w:t>
      </w:r>
      <w:r>
        <w:rPr>
          <w:rFonts w:ascii="Times New Roman" w:hAnsi="Times New Roman" w:eastAsia="Times New Roman"/>
          <w:b w:val="0"/>
          <w:sz w:val="24"/>
        </w:rPr>
        <w:t xml:space="preserve"> </w:t>
      </w:r>
      <m:oMath>
        <m:r>
          <m:t>L</m:t>
        </m:r>
      </m:oMath>
      <w:r>
        <w:rPr>
          <w:rFonts w:ascii="Times New Roman" w:hAnsi="Times New Roman" w:eastAsia="Times New Roman"/>
          <w:b w:val="0"/>
          <w:sz w:val="24"/>
        </w:rPr>
        <w:t xml:space="preserve"> </w:t>
      </w:r>
      <w:r>
        <w:rPr>
          <w:rFonts w:ascii="Times New Roman" w:hAnsi="Times New Roman" w:eastAsia="Times New Roman"/>
          <w:b w:val="0"/>
          <w:sz w:val="24"/>
        </w:rPr>
        <w:t xml:space="preserve">is the total limit and</w:t>
      </w:r>
      <w:r>
        <w:rPr>
          <w:rFonts w:ascii="Times New Roman" w:hAnsi="Times New Roman" w:eastAsia="Times New Roman"/>
          <w:b w:val="0"/>
          <w:sz w:val="24"/>
        </w:rPr>
        <w:t xml:space="preserve"> </w:t>
      </w:r>
      <m:oMath>
        <m:r>
          <m:t>E</m:t>
        </m:r>
      </m:oMath>
      <w:r>
        <w:rPr>
          <w:rFonts w:ascii="Times New Roman" w:hAnsi="Times New Roman" w:eastAsia="Times New Roman"/>
          <w:b w:val="0"/>
          <w:sz w:val="24"/>
        </w:rPr>
        <w:t xml:space="preserve"> </w:t>
      </w:r>
      <w:r>
        <w:rPr>
          <w:rFonts w:ascii="Times New Roman" w:hAnsi="Times New Roman" w:eastAsia="Times New Roman"/>
          <w:b w:val="0"/>
          <w:sz w:val="24"/>
        </w:rPr>
        <w:t xml:space="preserve">outstanding exposure, available credit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A</m:t>
        </m:r>
        <m:r>
          <m:rPr>
            <m:sty m:val="p"/>
          </m:rPr>
          <m:t>=</m:t>
        </m:r>
        <m:r>
          <m:rPr>
            <m:sty m:val="p"/>
          </m:rPr>
          <m:t>max</m:t>
        </m:r>
        <m:r>
          <m:rPr>
            <m:sty m:val="p"/>
          </m:rPr>
          <m:t>(</m:t>
        </m:r>
        <m:r>
          <m:t>0</m:t>
        </m:r>
        <m:r>
          <m:rPr>
            <m:sty m:val="p"/>
          </m:rPr>
          <m:t>,</m:t>
        </m:r>
        <m:r>
          <m:t>L</m:t>
        </m:r>
        <m:r>
          <m:rPr>
            <m:sty m:val="p"/>
          </m:rPr>
          <m:t>−</m:t>
        </m:r>
        <m:r>
          <m:t>E</m:t>
        </m:r>
        <m:r>
          <m:rPr>
            <m:sty m:val="p"/>
          </m:rPr>
          <m:t>)</m:t>
        </m:r>
        <m:r>
          <m:rPr>
            <m:sty m:val="p"/>
          </m:rPr>
          <m:t>.</m:t>
        </m:r>
      </m:oMath>
      <w:r>
        <w:rPr>
          <w:rFonts w:ascii="Times New Roman" w:hAnsi="Times New Roman" w:eastAsia="Times New Roman"/>
          <w:sz w:val="24"/>
        </w:rPr>
        <w:tab/>
        <w:t>(2)</w:t>
      </w:r>
    </w:p>
    <w:p>
      <w:pPr>
        <w:pStyle w:val="BodyText"/>
        <w:spacing w:before="0" w:after="200" w:line="276" w:lineRule="auto"/>
        <w:jc w:val="both"/>
      </w:pPr>
      <w:r>
        <w:rPr>
          <w:rFonts w:ascii="Times New Roman" w:hAnsi="Times New Roman" w:eastAsia="Times New Roman"/>
          <w:b w:val="0"/>
          <w:sz w:val="24"/>
        </w:rPr>
        <w:t xml:space="preserve">Reducing</w:t>
      </w:r>
      <w:r>
        <w:rPr>
          <w:rFonts w:ascii="Times New Roman" w:hAnsi="Times New Roman" w:eastAsia="Times New Roman"/>
          <w:b w:val="0"/>
          <w:sz w:val="24"/>
        </w:rPr>
        <w:t xml:space="preserve"> </w:t>
      </w:r>
      <m:oMath>
        <m:r>
          <m:t>L</m:t>
        </m:r>
      </m:oMath>
      <w:r>
        <w:rPr>
          <w:rFonts w:ascii="Times New Roman" w:hAnsi="Times New Roman" w:eastAsia="Times New Roman"/>
          <w:b w:val="0"/>
          <w:sz w:val="24"/>
        </w:rPr>
        <w:t xml:space="preserve"> </w:t>
      </w:r>
      <w:r>
        <w:rPr>
          <w:rFonts w:ascii="Times New Roman" w:hAnsi="Times New Roman" w:eastAsia="Times New Roman"/>
          <w:b w:val="0"/>
          <w:sz w:val="24"/>
        </w:rPr>
        <w:t xml:space="preserve">restricts further use but leaves existing debt in place. The 60-day prediction horizon reflects the payment schedule. It does not imply that every transaction lasts 60 days or that a disclosure establishes facility default.</w:t>
      </w:r>
    </w:p>
    <w:p>
      <w:pPr>
        <w:pStyle w:val="BodyText"/>
        <w:spacing w:before="0" w:after="200" w:line="276" w:lineRule="auto"/>
        <w:jc w:val="both"/>
      </w:pPr>
      <w:r>
        <w:rPr>
          <w:rFonts w:ascii="Times New Roman" w:hAnsi="Times New Roman" w:eastAsia="Times New Roman"/>
          <w:b w:val="0"/>
          <w:sz w:val="24"/>
        </w:rPr>
        <w:t xml:space="preserve">Transactions late in a statement period have less scheduled time outstanding than transactions made early. Missed payment can also extend exposure beyond the nominal horizon. A functioning limit process must therefore retain both the assigned commitment and current utilization rather than treating the unused amount as total lender exposure.</w:t>
      </w:r>
    </w:p>
    <w:p>
      <w:pPr>
        <w:pStyle w:val="Heading2"/>
      </w:pPr>
      <w:bookmarkStart w:id="91" w:name="_9161ae557bdaab7e66adff585d9338557a4d720"/>
      <w:r>
        <w:rPr>
          <w:rFonts w:ascii="Times New Roman" w:hAnsi="Times New Roman" w:eastAsia="Times New Roman"/>
          <w:b/>
          <w:sz w:val="26"/>
        </w:rPr>
        <w:t xml:space="preserve">2.3 Corporate Credit Scoring</w:t>
      </w:r>
      <w:bookmarkEnd w:id="91"/>
    </w:p>
    <w:p>
      <w:pPr>
        <w:pStyle w:val="BodyText"/>
        <w:spacing w:before="0" w:after="200" w:line="276" w:lineRule="auto"/>
        <w:jc w:val="both"/>
      </w:pPr>
      <w:r>
        <w:rPr>
          <w:rFonts w:ascii="Times New Roman" w:hAnsi="Times New Roman" w:eastAsia="Times New Roman"/>
          <w:b w:val="0"/>
          <w:sz w:val="24"/>
        </w:rPr>
        <w:t xml:space="preserve">Credit scoring combines borrower information into a score, category or event probability. A score and a calibrated probability are different objects. Altman (1968) uses financial ratios and discriminant analysis, Ohlson (1980) logistic bankruptcy probabilities, and Shumway (2001) a hazard approach with changing company information.</w:t>
      </w:r>
      <w:r>
        <w:rPr>
          <w:rFonts w:ascii="Times New Roman" w:hAnsi="Times New Roman" w:eastAsia="Times New Roman"/>
          <w:b w:val="0"/>
          <w:sz w:val="24"/>
        </w:rPr>
        <w:t xml:space="preserve"> </w:t>
      </w:r>
      <w:hyperlink r:id="rId77">
        <w:r>
          <w:rPr>
            <w:rStyle w:val="Hyperlink"/>
          </w:rPr>
          <w:t xml:space="preserve">Altman (1968)</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8">
        <w:r>
          <w:rPr>
            <w:rStyle w:val="Hyperlink"/>
          </w:rPr>
          <w:t xml:space="preserve">Ohlson (1980)</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9">
        <w:r>
          <w:rPr>
            <w:rStyle w:val="Hyperlink"/>
          </w:rPr>
          <w:t xml:space="preserve">Shumway (2001)</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These works motivate the predictors, logistic benchmark and repeated assessment, but their coefficients cannot transfer across targets, populations and horizons. The present model is a monthly classifier, not a daily survival model. Evaluation covers both discrimination, which asks whether events rank higher, and calibration, which asks whether probabilities match observed frequencies. Both matter because the probability enters the monetary policy.</w:t>
      </w:r>
    </w:p>
    <w:p>
      <w:pPr>
        <w:pStyle w:val="BodyText"/>
        <w:spacing w:before="0" w:after="200" w:line="276" w:lineRule="auto"/>
        <w:jc w:val="both"/>
      </w:pPr>
      <w:r>
        <w:rPr>
          <w:rFonts w:ascii="Times New Roman" w:hAnsi="Times New Roman" w:eastAsia="Times New Roman"/>
          <w:b w:val="0"/>
          <w:sz w:val="24"/>
        </w:rPr>
        <w:t xml:space="preserve">Discrimination and calibration serve different decisions. A well-ranked list can concentrate manual reviews near the top even when its numerical probabilities are biased. A monetary rule, however, changes continuously with the probability scale, so systematic overstatement or understatement can alter every limit. Temporal validation is also necessary: repeated observations, changing reporting practices and economic cycles make a random row split an unrealistic approximation of future monitoring.</w:t>
      </w:r>
    </w:p>
    <w:p>
      <w:pPr>
        <w:pStyle w:val="Heading2"/>
      </w:pPr>
      <w:bookmarkStart w:id="92" w:name="_f50a5f2d155c3f83e1b319ce9331eabbd91c1d3"/>
      <w:r>
        <w:rPr>
          <w:rFonts w:ascii="Times New Roman" w:hAnsi="Times New Roman" w:eastAsia="Times New Roman"/>
          <w:b/>
          <w:sz w:val="26"/>
        </w:rPr>
        <w:t xml:space="preserve">2.4 Financial Ratio Analysis</w:t>
      </w:r>
      <w:bookmarkEnd w:id="92"/>
    </w:p>
    <w:p>
      <w:pPr>
        <w:pStyle w:val="BodyText"/>
        <w:spacing w:before="0" w:after="200" w:line="276" w:lineRule="auto"/>
        <w:jc w:val="both"/>
      </w:pPr>
      <w:r>
        <w:rPr>
          <w:rFonts w:ascii="Times New Roman" w:hAnsi="Times New Roman" w:eastAsia="Times New Roman"/>
          <w:b w:val="0"/>
          <w:sz w:val="24"/>
        </w:rPr>
        <w:t xml:space="preserve">Ratios make companies of different sizes more comparable. Liquidity describes near-term resources. Leverage reflects obligations and the equity buffer. Profitability and operating cash flow capture distinct aspects of performance, while changes may reveal deterioration or expansion. Size supplies context. Interpretation remains business-specific: current assets may not convert quickly, cash may be restricted, and accounting profit need not generate cash.</w:t>
      </w:r>
    </w:p>
    <w:p>
      <w:pPr>
        <w:pStyle w:val="BodyText"/>
        <w:spacing w:before="0" w:after="200" w:line="276" w:lineRule="auto"/>
        <w:jc w:val="both"/>
      </w:pPr>
      <w:r>
        <w:rPr>
          <w:rFonts w:ascii="Times New Roman" w:hAnsi="Times New Roman" w:eastAsia="Times New Roman"/>
          <w:b w:val="0"/>
          <w:sz w:val="24"/>
        </w:rPr>
        <w:t xml:space="preserve">The available ratios measure general financial condition, not debt service due within 60 days. Chapter 3 defines the twelve point-in-time predictors.</w:t>
      </w:r>
    </w:p>
    <w:p>
      <w:pPr>
        <w:pStyle w:val="BodyText"/>
        <w:spacing w:before="0" w:after="200" w:line="276" w:lineRule="auto"/>
        <w:jc w:val="both"/>
      </w:pPr>
      <w:r>
        <w:rPr>
          <w:rFonts w:ascii="Times New Roman" w:hAnsi="Times New Roman" w:eastAsia="Times New Roman"/>
          <w:b w:val="0"/>
          <w:sz w:val="24"/>
        </w:rPr>
        <w:t xml:space="preserve">Liquidity ratios may overstate accessible resources when receivables are doubtful, inventory is slow moving or cash is restricted. High leverage can indicate vulnerability but has different meanings across industries. Profitability is accrual-based, while operating cash flow reflects cash generation and working-capital movements. Using levels together with annual changes allows the model to distinguish condition from direction, although neither establishes causation.</w:t>
      </w:r>
    </w:p>
    <w:p>
      <w:pPr>
        <w:pStyle w:val="Heading2"/>
      </w:pPr>
      <w:bookmarkStart w:id="93" w:name="_b74ad9b65f3c380c8e1bc2b73151179ef705406"/>
      <w:r>
        <w:rPr>
          <w:rFonts w:ascii="Times New Roman" w:hAnsi="Times New Roman" w:eastAsia="Times New Roman"/>
          <w:b/>
          <w:sz w:val="26"/>
        </w:rPr>
        <w:t xml:space="preserve">2.5 Statistical and Machine Learning Models</w:t>
      </w:r>
      <w:bookmarkEnd w:id="93"/>
    </w:p>
    <w:p>
      <w:pPr>
        <w:pStyle w:val="BodyText"/>
        <w:spacing w:before="0" w:after="200" w:line="276" w:lineRule="auto"/>
        <w:jc w:val="both"/>
      </w:pPr>
      <w:r>
        <w:rPr>
          <w:rFonts w:ascii="Times New Roman" w:hAnsi="Times New Roman" w:eastAsia="Times New Roman"/>
          <w:b w:val="0"/>
          <w:sz w:val="24"/>
        </w:rPr>
        <w:t xml:space="preserve">The four candidates trade simplicity for flexibility.</w:t>
      </w:r>
    </w:p>
    <w:p>
      <w:pPr>
        <w:pStyle w:val="Heading3"/>
      </w:pPr>
      <w:bookmarkStart w:id="94" w:name="_783e42ab32e644bc9663a201a7a186038d62d58"/>
      <w:r>
        <w:rPr>
          <w:rFonts w:ascii="Times New Roman" w:hAnsi="Times New Roman" w:eastAsia="Times New Roman"/>
          <w:b/>
          <w:sz w:val="24"/>
        </w:rPr>
        <w:t xml:space="preserve">2.5.1 Logistic regression</w:t>
      </w:r>
      <w:bookmarkEnd w:id="94"/>
    </w:p>
    <w:p>
      <w:pPr>
        <w:pStyle w:val="BodyText"/>
        <w:spacing w:before="0" w:after="200" w:line="276" w:lineRule="auto"/>
        <w:jc w:val="both"/>
      </w:pPr>
      <w:r>
        <w:rPr>
          <w:rFonts w:ascii="Times New Roman" w:hAnsi="Times New Roman" w:eastAsia="Times New Roman"/>
          <w:b w:val="0"/>
          <w:sz w:val="24"/>
        </w:rPr>
        <w:t xml:space="preserve">Logistic regression maps a weighted linear combination of predictors to a probability. It is fast and inspectable but may miss thresholds and interactions. Its coefficients are associations, not causal effects.</w:t>
      </w:r>
    </w:p>
    <w:p>
      <w:pPr>
        <w:pStyle w:val="BodyText"/>
        <w:spacing w:before="0" w:after="200" w:line="276" w:lineRule="auto"/>
        <w:jc w:val="both"/>
      </w:pPr>
      <w:r>
        <w:rPr>
          <w:rFonts w:ascii="Times New Roman" w:hAnsi="Times New Roman" w:eastAsia="Times New Roman"/>
          <w:b w:val="0"/>
          <w:sz w:val="24"/>
        </w:rPr>
        <w:t xml:space="preserve">Its linear log-odds form provides a useful benchmark and exposes coefficient instability. Scaling makes coefficient magnitudes more comparable across differently measured ratios, while missing-value indicators allow missing reporting to carry information separately from median replacement.</w:t>
      </w:r>
    </w:p>
    <w:p>
      <w:pPr>
        <w:pStyle w:val="Heading3"/>
      </w:pPr>
      <w:bookmarkStart w:id="95" w:name="_2c2f6bc657838776f209fc1c9c88655d266b985"/>
      <w:r>
        <w:rPr>
          <w:rFonts w:ascii="Times New Roman" w:hAnsi="Times New Roman" w:eastAsia="Times New Roman"/>
          <w:b/>
          <w:sz w:val="24"/>
        </w:rPr>
        <w:t xml:space="preserve">2.5.2 Regularized logistic regression</w:t>
      </w:r>
      <w:bookmarkEnd w:id="95"/>
    </w:p>
    <w:p>
      <w:pPr>
        <w:pStyle w:val="BodyText"/>
        <w:spacing w:before="0" w:after="200" w:line="276" w:lineRule="auto"/>
        <w:jc w:val="both"/>
      </w:pPr>
      <w:r>
        <w:rPr>
          <w:rFonts w:ascii="Times New Roman" w:hAnsi="Times New Roman" w:eastAsia="Times New Roman"/>
          <w:b w:val="0"/>
          <w:sz w:val="24"/>
        </w:rPr>
        <w:t xml:space="preserve">L2 regularization discourages large coefficients, which can stabilize correlated predictors but cannot add nonlinearities. Its strength is selected on earlier data.</w:t>
      </w:r>
      <w:r>
        <w:rPr>
          <w:rFonts w:ascii="Times New Roman" w:hAnsi="Times New Roman" w:eastAsia="Times New Roman"/>
          <w:b w:val="0"/>
          <w:sz w:val="24"/>
        </w:rPr>
        <w:t xml:space="preserve"> </w:t>
      </w:r>
      <w:hyperlink r:id="rId96">
        <w:r>
          <w:rPr>
            <w:rStyle w:val="Hyperlink"/>
          </w:rPr>
          <w:t xml:space="preserve">Scikit-learn 1.6, logistic regression</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Excessive regularization can suppress useful signal, so penalty strength remains a tuning choice rather than an assumed improvement.</w:t>
      </w:r>
    </w:p>
    <w:p>
      <w:pPr>
        <w:pStyle w:val="Heading3"/>
      </w:pPr>
      <w:bookmarkStart w:id="97" w:name="_663a4542b19f5e212f4d2f241e8c0e62ebd8a0c"/>
      <w:r>
        <w:rPr>
          <w:rFonts w:ascii="Times New Roman" w:hAnsi="Times New Roman" w:eastAsia="Times New Roman"/>
          <w:b/>
          <w:sz w:val="24"/>
        </w:rPr>
        <w:t xml:space="preserve">2.5.3 Random forest</w:t>
      </w:r>
      <w:bookmarkEnd w:id="97"/>
    </w:p>
    <w:p>
      <w:pPr>
        <w:pStyle w:val="BodyText"/>
        <w:spacing w:before="0" w:after="200" w:line="276" w:lineRule="auto"/>
        <w:jc w:val="both"/>
      </w:pPr>
      <w:r>
        <w:rPr>
          <w:rFonts w:ascii="Times New Roman" w:hAnsi="Times New Roman" w:eastAsia="Times New Roman"/>
          <w:b w:val="0"/>
          <w:sz w:val="24"/>
        </w:rPr>
        <w:t xml:space="preserve">A random forest combines trees fitted to different observations and predictors. It learns nonlinearities and interactions without prespecification, at the cost of transparency and potentially poor probability calibration.</w:t>
      </w:r>
      <w:r>
        <w:rPr>
          <w:rFonts w:ascii="Times New Roman" w:hAnsi="Times New Roman" w:eastAsia="Times New Roman"/>
          <w:b w:val="0"/>
          <w:sz w:val="24"/>
        </w:rPr>
        <w:t xml:space="preserve"> </w:t>
      </w:r>
      <w:hyperlink r:id="rId98">
        <w:r>
          <w:rPr>
            <w:rStyle w:val="Hyperlink"/>
          </w:rPr>
          <w:t xml:space="preserve">Breiman (2001)</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Averaging many trees reduces the instability of a single tree. Depth and minimum leaf size control how narrowly the forest partitions the data, which is especially important when positive outcomes are rare.</w:t>
      </w:r>
    </w:p>
    <w:p>
      <w:pPr>
        <w:pStyle w:val="Heading3"/>
      </w:pPr>
      <w:bookmarkStart w:id="99" w:name="_fda91d46be7aa2c4a5fe7a6ab69691aac482223"/>
      <w:r>
        <w:rPr>
          <w:rFonts w:ascii="Times New Roman" w:hAnsi="Times New Roman" w:eastAsia="Times New Roman"/>
          <w:b/>
          <w:sz w:val="24"/>
        </w:rPr>
        <w:t xml:space="preserve">2.5.4 Gradient boosting</w:t>
      </w:r>
      <w:bookmarkEnd w:id="99"/>
    </w:p>
    <w:p>
      <w:pPr>
        <w:pStyle w:val="BodyText"/>
        <w:spacing w:before="0" w:after="200" w:line="276" w:lineRule="auto"/>
        <w:jc w:val="both"/>
      </w:pPr>
      <w:r>
        <w:rPr>
          <w:rFonts w:ascii="Times New Roman" w:hAnsi="Times New Roman" w:eastAsia="Times New Roman"/>
          <w:b w:val="0"/>
          <w:sz w:val="24"/>
        </w:rPr>
        <w:t xml:space="preserve">Gradient boosting adds trees sequentially to correct current errors. XGBoost can learn detailed structure but may overfit rare events and depends on depth and learning rate.</w:t>
      </w:r>
      <w:r>
        <w:rPr>
          <w:rFonts w:ascii="Times New Roman" w:hAnsi="Times New Roman" w:eastAsia="Times New Roman"/>
          <w:b w:val="0"/>
          <w:sz w:val="24"/>
        </w:rPr>
        <w:t xml:space="preserve"> </w:t>
      </w:r>
      <w:hyperlink r:id="rId100">
        <w:r>
          <w:rPr>
            <w:rStyle w:val="Hyperlink"/>
          </w:rPr>
          <w:t xml:space="preserve">Friedman (2001)</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01">
        <w:r>
          <w:rPr>
            <w:rStyle w:val="Hyperlink"/>
          </w:rPr>
          <w:t xml:space="preserve">Chen and Guestrin (2016)</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Shallow trees and a smaller learning rate restrict how quickly complexity accumulates. The empirical comparison holds predictors and chronological stages fixed so differences reflect model behavior rather than different information sets.</w:t>
      </w:r>
    </w:p>
    <w:p>
      <w:pPr>
        <w:pStyle w:val="Heading3"/>
      </w:pPr>
      <w:bookmarkStart w:id="102" w:name="_522f12b6c41e7acbb56dd7b99aca5f57e19a743"/>
      <w:r>
        <w:rPr>
          <w:rFonts w:ascii="Times New Roman" w:hAnsi="Times New Roman" w:eastAsia="Times New Roman"/>
          <w:b/>
          <w:sz w:val="24"/>
        </w:rPr>
        <w:t xml:space="preserve">2.5.5 Evaluation and interpretation</w:t>
      </w:r>
      <w:bookmarkEnd w:id="102"/>
    </w:p>
    <w:p>
      <w:pPr>
        <w:pStyle w:val="BodyText"/>
        <w:spacing w:before="0" w:after="200" w:line="276" w:lineRule="auto"/>
        <w:jc w:val="both"/>
      </w:pPr>
      <w:r>
        <w:rPr>
          <w:rFonts w:ascii="Times New Roman" w:hAnsi="Times New Roman" w:eastAsia="Times New Roman"/>
          <w:b w:val="0"/>
          <w:sz w:val="24"/>
        </w:rPr>
        <w:t xml:space="preserve">Accuracy is misleading for a rare outcome because predicting no events may appear successful. Precision measures the event share among alerts, recall the share of events detected, and average precision summarizes their trade-off.</w:t>
      </w:r>
      <w:r>
        <w:rPr>
          <w:rFonts w:ascii="Times New Roman" w:hAnsi="Times New Roman" w:eastAsia="Times New Roman"/>
          <w:b w:val="0"/>
          <w:sz w:val="24"/>
        </w:rPr>
        <w:t xml:space="preserve"> </w:t>
      </w:r>
      <w:hyperlink r:id="rId103">
        <w:r>
          <w:rPr>
            <w:rStyle w:val="Hyperlink"/>
          </w:rPr>
          <w:t xml:space="preserve">Saito and Rehmsmeier (2015)</w:t>
        </w:r>
      </w:hyperlink>
      <w:r>
        <w:rPr>
          <w:rFonts w:ascii="Times New Roman" w:hAnsi="Times New Roman" w:eastAsia="Times New Roman"/>
          <w:b w:val="0"/>
          <w:sz w:val="24"/>
        </w:rPr>
        <w:t xml:space="preserve">. The Brier score measures probability error, while calibration compares probabilities with observed rates.</w:t>
      </w:r>
      <w:r>
        <w:rPr>
          <w:rFonts w:ascii="Times New Roman" w:hAnsi="Times New Roman" w:eastAsia="Times New Roman"/>
          <w:b w:val="0"/>
          <w:sz w:val="24"/>
        </w:rPr>
        <w:t xml:space="preserve"> </w:t>
      </w:r>
      <w:hyperlink r:id="rId104">
        <w:r>
          <w:rPr>
            <w:rStyle w:val="Hyperlink"/>
          </w:rPr>
          <w:t xml:space="preserve">Brier (1950)</w:t>
        </w:r>
      </w:hyperlink>
      <w:r>
        <w:rPr>
          <w:rFonts w:ascii="Times New Roman" w:hAnsi="Times New Roman" w:eastAsia="Times New Roman"/>
          <w:b w:val="0"/>
          <w:sz w:val="24"/>
        </w:rPr>
        <w:t xml:space="preserve">. Coefficients and importance measures explain fitted patterns rather than causation.</w:t>
      </w:r>
    </w:p>
    <w:p>
      <w:pPr>
        <w:pStyle w:val="BodyText"/>
        <w:spacing w:before="0" w:after="200" w:line="276" w:lineRule="auto"/>
        <w:jc w:val="both"/>
      </w:pPr>
      <w:r>
        <w:rPr>
          <w:rFonts w:ascii="Times New Roman" w:hAnsi="Times New Roman" w:eastAsia="Times New Roman"/>
          <w:b w:val="0"/>
          <w:sz w:val="24"/>
        </w:rPr>
        <w:t xml:space="preserve">ROC-AUC describes ranking across all thresholds but can look strong despite poor performance in the small high-risk region relevant to rare events. Average precision is therefore compared with event prevalence, while threshold metrics show one frozen operating point. No single metric establishes operational value.</w:t>
      </w:r>
    </w:p>
    <w:p>
      <w:pPr>
        <w:pStyle w:val="Heading2"/>
      </w:pPr>
      <w:bookmarkStart w:id="105" w:name="_8c4c05746b4bc9ab7f729604561b6cb195e915c"/>
      <w:r>
        <w:rPr>
          <w:rFonts w:ascii="Times New Roman" w:hAnsi="Times New Roman" w:eastAsia="Times New Roman"/>
          <w:b/>
          <w:sz w:val="26"/>
        </w:rPr>
        <w:t xml:space="preserve">2.6 Credit Limit Determination</w:t>
      </w:r>
      <w:bookmarkEnd w:id="105"/>
    </w:p>
    <w:p>
      <w:pPr>
        <w:pStyle w:val="BodyText"/>
        <w:spacing w:before="0" w:after="200" w:line="276" w:lineRule="auto"/>
        <w:jc w:val="both"/>
      </w:pPr>
      <w:r>
        <w:rPr>
          <w:rFonts w:ascii="Times New Roman" w:hAnsi="Times New Roman" w:eastAsia="Times New Roman"/>
          <w:b w:val="0"/>
          <w:sz w:val="24"/>
        </w:rPr>
        <w:t xml:space="preserve">A probability is not a monetary amount. The framework connects probability</w:t>
      </w:r>
      <w:r>
        <w:rPr>
          <w:rFonts w:ascii="Times New Roman" w:hAnsi="Times New Roman" w:eastAsia="Times New Roman"/>
          <w:b w:val="0"/>
          <w:sz w:val="24"/>
        </w:rPr>
        <w:t xml:space="preserve"> </w:t>
      </w:r>
      <m:oMath>
        <m:r>
          <m:t>q</m:t>
        </m:r>
      </m:oMath>
      <w:r>
        <w:rPr>
          <w:rFonts w:ascii="Times New Roman" w:hAnsi="Times New Roman" w:eastAsia="Times New Roman"/>
          <w:b w:val="0"/>
          <w:sz w:val="24"/>
        </w:rPr>
        <w:t xml:space="preserve"> </w:t>
      </w:r>
      <w:r>
        <w:rPr>
          <w:rFonts w:ascii="Times New Roman" w:hAnsi="Times New Roman" w:eastAsia="Times New Roman"/>
          <w:b w:val="0"/>
          <w:sz w:val="24"/>
        </w:rPr>
        <w:t xml:space="preserve">to capacity</w:t>
      </w:r>
      <w:r>
        <w:rPr>
          <w:rFonts w:ascii="Times New Roman" w:hAnsi="Times New Roman" w:eastAsia="Times New Roman"/>
          <w:b w:val="0"/>
          <w:sz w:val="24"/>
        </w:rPr>
        <w:t xml:space="preserve"> </w:t>
      </w:r>
      <m:oMath>
        <m:r>
          <m:t>C</m:t>
        </m:r>
      </m:oMath>
      <w:r>
        <w:rPr>
          <w:rFonts w:ascii="Times New Roman" w:hAnsi="Times New Roman" w:eastAsia="Times New Roman"/>
          <w:b w:val="0"/>
          <w:sz w:val="24"/>
        </w:rPr>
        <w:t xml:space="preserve">, a hard exposure cap</w:t>
      </w:r>
      <w:r>
        <w:rPr>
          <w:rFonts w:ascii="Times New Roman" w:hAnsi="Times New Roman" w:eastAsia="Times New Roman"/>
          <w:b w:val="0"/>
          <w:sz w:val="24"/>
        </w:rPr>
        <w:t xml:space="preserve"> </w:t>
      </w:r>
      <m:oMath>
        <m:r>
          <m:t>K</m:t>
        </m:r>
      </m:oMath>
      <w:r>
        <w:rPr>
          <w:rFonts w:ascii="Times New Roman" w:hAnsi="Times New Roman" w:eastAsia="Times New Roman"/>
          <w:b w:val="0"/>
          <w:sz w:val="24"/>
        </w:rPr>
        <w:t xml:space="preserve"> </w:t>
      </w:r>
      <w:r>
        <w:rPr>
          <w:rFonts w:ascii="Times New Roman" w:hAnsi="Times New Roman" w:eastAsia="Times New Roman"/>
          <w:b w:val="0"/>
          <w:sz w:val="24"/>
        </w:rPr>
        <w:t xml:space="preserve">and a decreasing risk multiplier</w:t>
      </w:r>
      <w:r>
        <w:rPr>
          <w:rFonts w:ascii="Times New Roman" w:hAnsi="Times New Roman" w:eastAsia="Times New Roman"/>
          <w:b w:val="0"/>
          <w:sz w:val="24"/>
        </w:rPr>
        <w:t xml:space="preserve"> </w:t>
      </w:r>
      <m:oMath>
        <m:r>
          <m:t>g</m:t>
        </m:r>
      </m:oMath>
      <w:r>
        <w:rPr>
          <w:rFonts w:ascii="Times New Roman" w:hAnsi="Times New Roman" w:eastAsia="Times New Roman"/>
          <w:b w:val="0"/>
          <w:sz w:val="24"/>
        </w:rPr>
        <w:t xml:space="preserve">:</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L</m:t>
            </m:r>
          </m:e>
          <m:sub>
            <m:r>
              <m:t>i</m:t>
            </m:r>
            <m:r>
              <m:rPr>
                <m:sty m:val="p"/>
              </m:rPr>
              <m:t>,</m:t>
            </m:r>
            <m:r>
              <m:t>t</m:t>
            </m:r>
          </m:sub>
          <m:sup>
            <m:r>
              <m:rPr>
                <m:sty m:val="p"/>
              </m:rPr>
              <m:t>*</m:t>
            </m:r>
          </m:sup>
        </m:sSubSup>
        <m:r>
          <m:rPr>
            <m:sty m:val="p"/>
          </m:rPr>
          <m:t>=</m:t>
        </m:r>
        <m:r>
          <m:rPr>
            <m:sty m:val="p"/>
          </m:rPr>
          <m:t>min</m:t>
        </m:r>
        <m:d>
          <m:dPr>
            <m:begChr m:val="("/>
            <m:sepChr m:val=""/>
            <m:endChr m:val=")"/>
            <m:grow/>
          </m:dPr>
          <m:e>
            <m:sSub>
              <m:e>
                <m:r>
                  <m:t>K</m:t>
                </m:r>
              </m:e>
              <m:sub>
                <m:r>
                  <m:t>i</m:t>
                </m:r>
                <m:r>
                  <m:rPr>
                    <m:sty m:val="p"/>
                  </m:rPr>
                  <m:t>,</m:t>
                </m:r>
                <m:r>
                  <m:t>t</m:t>
                </m:r>
              </m:sub>
            </m:sSub>
            <m:r>
              <m:rPr>
                <m:sty m:val="p"/>
              </m:rPr>
              <m:t>,</m:t>
            </m:r>
            <m:sSub>
              <m:e>
                <m:r>
                  <m:t>C</m:t>
                </m:r>
              </m:e>
              <m:sub>
                <m:r>
                  <m:t>i</m:t>
                </m:r>
                <m:r>
                  <m:rPr>
                    <m:sty m:val="p"/>
                  </m:rPr>
                  <m:t>,</m:t>
                </m:r>
                <m:r>
                  <m:t>t</m:t>
                </m:r>
              </m:sub>
            </m:sSub>
            <m:r>
              <m:t>g</m:t>
            </m:r>
            <m:r>
              <m:rPr>
                <m:sty m:val="p"/>
              </m:rPr>
              <m:t>(</m:t>
            </m:r>
            <m:sSub>
              <m:e>
                <m:r>
                  <m:t>q</m:t>
                </m:r>
              </m:e>
              <m:sub>
                <m:r>
                  <m:t>i</m:t>
                </m:r>
                <m:r>
                  <m:rPr>
                    <m:sty m:val="p"/>
                  </m:rPr>
                  <m:t>,</m:t>
                </m:r>
                <m:r>
                  <m:t>t</m:t>
                </m:r>
              </m:sub>
            </m:sSub>
            <m:r>
              <m:rPr>
                <m:sty m:val="p"/>
              </m:rPr>
              <m:t>)</m:t>
            </m:r>
          </m:e>
        </m:d>
        <m:r>
          <m:rPr>
            <m:sty m:val="p"/>
          </m:rPr>
          <m:t>.</m:t>
        </m:r>
      </m:oMath>
      <w:r>
        <w:rPr>
          <w:rFonts w:ascii="Times New Roman" w:hAnsi="Times New Roman" w:eastAsia="Times New Roman"/>
          <w:sz w:val="24"/>
        </w:rPr>
        <w:tab/>
        <w:t>(3)</w:t>
      </w:r>
    </w:p>
    <w:p>
      <w:pPr>
        <w:pStyle w:val="BodyText"/>
        <w:spacing w:before="0" w:after="200" w:line="276" w:lineRule="auto"/>
        <w:jc w:val="both"/>
      </w:pPr>
      <w:r>
        <w:rPr>
          <w:rFonts w:ascii="Times New Roman" w:hAnsi="Times New Roman" w:eastAsia="Times New Roman"/>
          <w:b w:val="0"/>
          <w:sz w:val="24"/>
        </w:rPr>
        <w:t xml:space="preserve">The cap can make probability changes immaterial to the preliminary limit. The capacity calculation must also avoid double-counting obligations, such as deducting interest already reflected in operating cash flow. Policy coefficients are assumptions, not parameters learned from observed lending decisions.</w:t>
      </w:r>
    </w:p>
    <w:p>
      <w:pPr>
        <w:pStyle w:val="BodyText"/>
        <w:spacing w:before="0" w:after="200" w:line="276" w:lineRule="auto"/>
        <w:jc w:val="both"/>
      </w:pPr>
      <w:r>
        <w:rPr>
          <w:rFonts w:ascii="Times New Roman" w:hAnsi="Times New Roman" w:eastAsia="Times New Roman"/>
          <w:b w:val="0"/>
          <w:sz w:val="24"/>
        </w:rPr>
        <w:t xml:space="preserve">Capacity and risk play complementary roles: capacity limits how much the borrower could plausibly support, while the multiplier reduces that amount as estimated risk rises. A hard cap applies an independent exposure constraint. This structure is deliberately more transparent than training a model to reproduce historical limits, which are unavailable and could embed undocumented judgment.</w:t>
      </w:r>
    </w:p>
    <w:p>
      <w:pPr>
        <w:pStyle w:val="Heading2"/>
      </w:pPr>
      <w:bookmarkStart w:id="106" w:name="_549adbb901f739e442820fb07c5f27293d878f8"/>
      <w:r>
        <w:rPr>
          <w:rFonts w:ascii="Times New Roman" w:hAnsi="Times New Roman" w:eastAsia="Times New Roman"/>
          <w:b/>
          <w:sz w:val="26"/>
        </w:rPr>
        <w:t xml:space="preserve">2.7 Dynamic Limit Management</w:t>
      </w:r>
      <w:bookmarkEnd w:id="106"/>
    </w:p>
    <w:p>
      <w:pPr>
        <w:pStyle w:val="BodyText"/>
        <w:spacing w:before="0" w:after="200" w:line="276" w:lineRule="auto"/>
        <w:jc w:val="both"/>
      </w:pPr>
      <w:r>
        <w:rPr>
          <w:rFonts w:ascii="Times New Roman" w:hAnsi="Times New Roman" w:eastAsia="Times New Roman"/>
          <w:b w:val="0"/>
          <w:sz w:val="24"/>
        </w:rPr>
        <w:t xml:space="preserve">Monthly review does not imply monthly statements: unchanged values may be carried forward. The policy allows prompt reductions but requires new relevant information for increases, with smoothing and change thresholds to limit operational noise. Stability alone is insufficient if a limit does not respond to deterioration.</w:t>
      </w:r>
    </w:p>
    <w:p>
      <w:pPr>
        <w:pStyle w:val="BodyText"/>
        <w:spacing w:before="0" w:after="200" w:line="276" w:lineRule="auto"/>
        <w:jc w:val="both"/>
      </w:pPr>
      <w:r>
        <w:rPr>
          <w:rFonts w:ascii="Times New Roman" w:hAnsi="Times New Roman" w:eastAsia="Times New Roman"/>
          <w:b w:val="0"/>
          <w:sz w:val="24"/>
        </w:rPr>
        <w:t xml:space="preserve">Asymmetric treatment reflects the different costs of delay. Smoothing a supported increase can reduce volatility, whereas smoothing a deterioration would leave the lender above its current calculation. A hard stop addresses known distress separately from gradual changes in estimated probability.</w:t>
      </w:r>
    </w:p>
    <w:p>
      <w:pPr>
        <w:pStyle w:val="Heading2"/>
      </w:pPr>
      <w:bookmarkStart w:id="107" w:name="_c78d084625479eab643476faa9337eb40a4c66d"/>
      <w:r>
        <w:rPr>
          <w:rFonts w:ascii="Times New Roman" w:hAnsi="Times New Roman" w:eastAsia="Times New Roman"/>
          <w:b/>
          <w:sz w:val="26"/>
        </w:rPr>
        <w:t xml:space="preserve">2.8 Research Gap and Position of the Study</w:t>
      </w:r>
      <w:bookmarkEnd w:id="107"/>
    </w:p>
    <w:p>
      <w:pPr>
        <w:pStyle w:val="BodyText"/>
        <w:spacing w:before="0" w:after="200" w:line="276" w:lineRule="auto"/>
        <w:jc w:val="both"/>
      </w:pPr>
      <w:r>
        <w:rPr>
          <w:rFonts w:ascii="Times New Roman" w:hAnsi="Times New Roman" w:eastAsia="Times New Roman"/>
          <w:b w:val="0"/>
          <w:sz w:val="24"/>
        </w:rPr>
        <w:t xml:space="preserve">Prior research supplies corporate-failure models but does not itself convert a dated risk estimate into a stable monetary limit. This study adds explicit capacity and exposure constraints and evaluates prediction separately from policy behavior. Predictive evidence therefore does not establish improved lending outcomes.</w:t>
      </w:r>
    </w:p>
    <w:p>
      <w:pPr>
        <w:pStyle w:val="BodyText"/>
        <w:spacing w:before="0" w:after="200" w:line="276" w:lineRule="auto"/>
        <w:jc w:val="both"/>
      </w:pPr>
      <w:r>
        <w:rPr>
          <w:rFonts w:ascii="Times New Roman" w:hAnsi="Times New Roman" w:eastAsia="Times New Roman"/>
          <w:b w:val="0"/>
          <w:sz w:val="24"/>
        </w:rPr>
        <w:t xml:space="preserve">The gap is both empirical and operational. Public-data studies rarely observe lender utilization, repayment schedules and recoveries, yet these variables are essential to validate an exposure decision. The present work therefore limits its claim to an implemented, testable bridge whose assumptions can later be replaced with lender-specific evidence.</w:t>
      </w:r>
    </w:p>
    <w:p>
      <w:pPr>
        <w:pStyle w:val="Heading1"/>
        <w:pageBreakBefore/>
      </w:pPr>
      <w:bookmarkStart w:id="108" w:name="_c11385c9bc4153732932d19d3a9102135c45188"/>
      <w:r>
        <w:rPr>
          <w:rFonts w:ascii="Times New Roman" w:hAnsi="Times New Roman" w:eastAsia="Times New Roman"/>
          <w:b/>
          <w:sz w:val="32"/>
        </w:rPr>
        <w:t xml:space="preserve">3 Data and Target Definition</w:t>
      </w:r>
      <w:bookmarkEnd w:id="108"/>
    </w:p>
    <w:p>
      <w:pPr>
        <w:pStyle w:val="BodyText"/>
        <w:spacing w:before="0" w:after="200" w:line="276" w:lineRule="auto"/>
        <w:jc w:val="both"/>
      </w:pPr>
      <w:r>
        <w:rPr>
          <w:rFonts w:ascii="Times New Roman" w:hAnsi="Times New Roman" w:eastAsia="Times New Roman"/>
          <w:b w:val="0"/>
          <w:sz w:val="24"/>
        </w:rPr>
        <w:t xml:space="preserve">This chapter constructs monthly company observations, accounting predictors and disclosure labels from SEC filings. Because the data were created for regulatory reporting rather than credit scoring, reported values are not always complete or comparable.</w:t>
      </w:r>
    </w:p>
    <w:p>
      <w:pPr>
        <w:pStyle w:val="Heading2"/>
      </w:pPr>
      <w:bookmarkStart w:id="109" w:name="_7fef86a9e8dbde3cc9b91edb3b823d2ae715fe2"/>
      <w:r>
        <w:rPr>
          <w:rFonts w:ascii="Times New Roman" w:hAnsi="Times New Roman" w:eastAsia="Times New Roman"/>
          <w:b/>
          <w:sz w:val="26"/>
        </w:rPr>
        <w:t xml:space="preserve">3.1 Study Population and Observation Unit</w:t>
      </w:r>
      <w:bookmarkEnd w:id="109"/>
    </w:p>
    <w:p>
      <w:pPr>
        <w:pStyle w:val="BodyText"/>
        <w:spacing w:before="0" w:after="200" w:line="276" w:lineRule="auto"/>
        <w:jc w:val="both"/>
      </w:pPr>
      <w:r>
        <w:rPr>
          <w:rFonts w:ascii="Times New Roman" w:hAnsi="Times New Roman" w:eastAsia="Times New Roman"/>
          <w:b w:val="0"/>
          <w:sz w:val="24"/>
        </w:rPr>
        <w:t xml:space="preserve">The inventory contains 20,443 Company Facts files linked to submissions by Central Index Key (CIK). Screening requires a domestic periodic filing, complete referenced archives and a known current SIC outside 6000–6999.</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Inventory screen</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Companies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Starting company-facts inventory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20,443</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domestic periodic filing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5,090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Current SIC in finance, insurance or real estate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4,236</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Missing or zero SIC</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227</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Incomplete or inconsistent referenced archives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11</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Candidate companies after screening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10,879</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Companies contributing labeled observations</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8,780</w:t>
            </w:r>
          </w:p>
        </w:tc>
      </w:tr>
    </w:tbl>
    <w:p>
      <w:pPr>
        <w:pStyle w:val="Caption"/>
        <w:spacing w:line="240" w:lineRule="auto"/>
        <w:jc w:val="center"/>
      </w:pPr>
      <w:r>
        <w:rPr>
          <w:rFonts w:ascii="Times New Roman" w:hAnsi="Times New Roman" w:eastAsia="Times New Roman"/>
          <w:i/>
          <w:iCs/>
          <w:sz w:val="24"/>
        </w:rPr>
        <w:t xml:space="preserve">Table 1. Company inventory screening.</w:t>
      </w:r>
    </w:p>
    <w:p>
      <w:pPr>
        <w:pStyle w:val="BodyText"/>
        <w:spacing w:before="0" w:after="200" w:line="276" w:lineRule="auto"/>
        <w:jc w:val="both"/>
      </w:pPr>
      <w:r>
        <w:rPr>
          <w:rFonts w:ascii="Times New Roman" w:hAnsi="Times New Roman" w:eastAsia="Times New Roman"/>
          <w:b w:val="0"/>
          <w:sz w:val="24"/>
        </w:rPr>
        <w:t xml:space="preserve">The exclusions are mutually exclusive. SIC 6000–6999 broadly covers finance, insurance and real estate, whose balance sheets require specialized measures absent from the twelve predictors. Further losses reflect unusable financial data or outcome windows.</w:t>
      </w:r>
      <w:r>
        <w:rPr>
          <w:rFonts w:ascii="Times New Roman" w:hAnsi="Times New Roman" w:eastAsia="Times New Roman"/>
          <w:b w:val="0"/>
          <w:sz w:val="24"/>
        </w:rPr>
        <w:t xml:space="preserve"> </w:t>
      </w:r>
      <w:hyperlink r:id="rId110">
        <w:r>
          <w:rPr>
            <w:rStyle w:val="Hyperlink"/>
          </w:rPr>
          <w:t xml:space="preserve">SEC SIC code list</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For example, customer deposits are ordinary operating funding for banks, so leverage, liquidity and working-capital ratios have meanings unlike those for industrial companies. Applying the same feature definitions would make cross-company comparisons misleading.</w:t>
      </w:r>
    </w:p>
    <w:p>
      <w:pPr>
        <w:pStyle w:val="BodyText"/>
        <w:spacing w:before="0" w:after="200" w:line="276" w:lineRule="auto"/>
        <w:jc w:val="both"/>
      </w:pPr>
      <w:r>
        <w:rPr>
          <w:rFonts w:ascii="Times New Roman" w:hAnsi="Times New Roman" w:eastAsia="Times New Roman"/>
          <w:b w:val="0"/>
          <w:sz w:val="24"/>
        </w:rPr>
        <w:t xml:space="preserve">The unit is a company on the first day of a month from January 2011 through December 2025. Before chronological purging, the panel has 565,222 labeled observations and 1,052 positive rows associated with 573 episodes in 487 companies. Ticker status is irrelevant, but the inventory is not a complete historical listing universe and current SIC may differ from historical classification.</w:t>
      </w:r>
    </w:p>
    <w:p>
      <w:pPr>
        <w:pStyle w:val="Heading2"/>
      </w:pPr>
      <w:bookmarkStart w:id="111" w:name="_3395f15100c5e08ca605fc362c5e9f5dbe60800"/>
      <w:r>
        <w:rPr>
          <w:rFonts w:ascii="Times New Roman" w:hAnsi="Times New Roman" w:eastAsia="Times New Roman"/>
          <w:b/>
          <w:sz w:val="26"/>
        </w:rPr>
        <w:t xml:space="preserve">3.2 Sources and Information Availability</w:t>
      </w:r>
      <w:bookmarkEnd w:id="111"/>
    </w:p>
    <w:p>
      <w:pPr>
        <w:pStyle w:val="BodyText"/>
        <w:spacing w:before="0" w:after="200" w:line="276" w:lineRule="auto"/>
        <w:jc w:val="both"/>
      </w:pPr>
      <w:r>
        <w:rPr>
          <w:rFonts w:ascii="Times New Roman" w:hAnsi="Times New Roman" w:eastAsia="Times New Roman"/>
          <w:b w:val="0"/>
          <w:sz w:val="24"/>
        </w:rPr>
        <w:t xml:space="preserve">The panel combines Company Facts, Financial Statement and Notes data, and submissions. CIK identifies a company and accession number a filing.</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Source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Information used in this study</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Role in the panel</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Company Facts</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Accounting values under standard tags, units, reporting periods, filing dates and accession numbers</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Provides the main histories of balance-sheet values and annual income, revenue and operating cash flow</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Financial Statement and Notes data</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Numeric statement facts, standard and custom tag definitions, presentation labels and calculation relationships</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Supports identification and reconciliation of assets, liabilities, current assets, current liabilities and cash</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Submissions</w:t>
            </w:r>
          </w:p>
        </w:tc>
        <w:tc>
          <w:tcPr>
            <w:tcW w:type="dxa" w:w="2987"/>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Filing forms, dates, accession numbers and reported item codes, including referenced historical archives</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Identifies qualifying disclosures and the issuer’s observed reporting history</w:t>
            </w:r>
          </w:p>
        </w:tc>
      </w:tr>
    </w:tbl>
    <w:p>
      <w:pPr>
        <w:pStyle w:val="Caption"/>
        <w:spacing w:line="240" w:lineRule="auto"/>
        <w:jc w:val="center"/>
      </w:pPr>
      <w:r>
        <w:rPr>
          <w:rFonts w:ascii="Times New Roman" w:hAnsi="Times New Roman" w:eastAsia="Times New Roman"/>
          <w:i/>
          <w:iCs/>
          <w:sz w:val="24"/>
        </w:rPr>
        <w:t xml:space="preserve">Table 2. SEC data sources and their roles in the panel.</w:t>
      </w:r>
    </w:p>
    <w:p>
      <w:pPr>
        <w:pStyle w:val="Heading3"/>
      </w:pPr>
      <w:bookmarkStart w:id="112" w:name="_6d593b2c9d4ffe9bfe6e5c98ff3fc29f22253ee"/>
      <w:r>
        <w:rPr>
          <w:rFonts w:ascii="Times New Roman" w:hAnsi="Times New Roman" w:eastAsia="Times New Roman"/>
          <w:b/>
          <w:sz w:val="24"/>
        </w:rPr>
        <w:t xml:space="preserve">3.2.1 Understanding Company Facts and Overlapping Filings</w:t>
      </w:r>
      <w:bookmarkEnd w:id="112"/>
    </w:p>
    <w:p>
      <w:pPr>
        <w:pStyle w:val="BodyText"/>
        <w:spacing w:before="0" w:after="200" w:line="276" w:lineRule="auto"/>
        <w:jc w:val="both"/>
      </w:pPr>
      <w:r>
        <w:rPr>
          <w:rFonts w:ascii="Times New Roman" w:hAnsi="Times New Roman" w:eastAsia="Times New Roman"/>
          <w:b w:val="0"/>
          <w:sz w:val="24"/>
        </w:rPr>
        <w:t xml:space="preserve">Company Facts organizes tagged values, units, reporting periods, filing dates, forms and accession numbers from 10-K, 10-Q and amended filings. Filings overlap: later reports may repeat comparative balances, and flow values may cover cumulative periods.</w:t>
      </w:r>
    </w:p>
    <w:p>
      <w:pPr>
        <w:pStyle w:val="BodyText"/>
        <w:spacing w:before="0" w:after="200" w:line="276" w:lineRule="auto"/>
        <w:jc w:val="both"/>
      </w:pPr>
      <w:r>
        <w:rPr>
          <w:rFonts w:ascii="Times New Roman" w:hAnsi="Times New Roman" w:eastAsia="Times New Roman"/>
          <w:b w:val="0"/>
          <w:sz w:val="24"/>
        </w:rPr>
        <w:t xml:space="preserve">It is therefore a history of individual reported facts rather than a set of ready-made financial statements. A single economic amount may appear under several tags or in several filings, while an annual and a year-to-date flow can share the same end date but represent different durations. Selecting facts requires both filing metadata and the underlying reporting period.</w:t>
      </w:r>
    </w:p>
    <w:p>
      <w:pPr>
        <w:pStyle w:val="BodyText"/>
        <w:spacing w:before="0" w:after="200" w:line="276" w:lineRule="auto"/>
        <w:jc w:val="both"/>
      </w:pPr>
      <w:r>
        <w:rPr>
          <w:rFonts w:ascii="Times New Roman" w:hAnsi="Times New Roman" w:eastAsia="Times New Roman"/>
          <w:b w:val="0"/>
          <w:sz w:val="24"/>
        </w:rPr>
        <w:t xml:space="preserve">Only public information is used. A value becomes available the day after filing. The extractor chooses the latest eligible reporting period and then its latest available filing version. Later amendments affect only later decisions, and conflicting values remain missing.</w:t>
      </w:r>
    </w:p>
    <w:p>
      <w:pPr>
        <w:pStyle w:val="BodyText"/>
        <w:spacing w:before="0" w:after="200" w:line="276" w:lineRule="auto"/>
        <w:jc w:val="both"/>
      </w:pPr>
      <w:r>
        <w:rPr>
          <w:rFonts w:ascii="Times New Roman" w:hAnsi="Times New Roman" w:eastAsia="Times New Roman"/>
          <w:b w:val="0"/>
          <w:sz w:val="24"/>
        </w:rPr>
        <w:t xml:space="preserve">This treatment prevents restatements from rewriting the information available to an earlier lender. It also means that two observations with the same reporting period may legitimately differ if an amendment became public between their decision dates.</w:t>
      </w:r>
    </w:p>
    <w:p>
      <w:pPr>
        <w:pStyle w:val="BodyText"/>
        <w:spacing w:before="0" w:after="200" w:line="276" w:lineRule="auto"/>
        <w:jc w:val="both"/>
      </w:pPr>
      <w:r>
        <w:rPr>
          <w:rFonts w:ascii="Times New Roman" w:hAnsi="Times New Roman" w:eastAsia="Times New Roman"/>
          <w:b w:val="0"/>
          <w:sz w:val="24"/>
        </w:rPr>
        <w:t xml:space="preserve">Because statements are quarterly or annual, the latest known value is carried forward between monthly decisions. Balance-sheet items may use annual or quarterly filings. Revenue, income and operating cash flow must cover approximately a full year, and overlapping quarterly or year-to-date flows are never added.</w:t>
      </w:r>
    </w:p>
    <w:p>
      <w:pPr>
        <w:pStyle w:val="BodyText"/>
        <w:spacing w:before="0" w:after="200" w:line="276" w:lineRule="auto"/>
        <w:jc w:val="both"/>
      </w:pPr>
      <w:r>
        <w:rPr>
          <w:rFonts w:ascii="Times New Roman" w:hAnsi="Times New Roman" w:eastAsia="Times New Roman"/>
          <w:b w:val="0"/>
          <w:sz w:val="24"/>
        </w:rPr>
        <w:t xml:space="preserve">For example, a newly filed 10-Q can update quarter-end assets and cash for later monthly decisions while annual revenue and operating cash flow remain those from the latest eligible full-year period. Carry-forward represents the available information set. It does not claim that the underlying company was unchanged.</w:t>
      </w:r>
    </w:p>
    <w:p>
      <w:pPr>
        <w:pStyle w:val="Heading3"/>
      </w:pPr>
      <w:bookmarkStart w:id="113" w:name="_3037fc20bf1ee7cbb2e03cc079838120672c678"/>
      <w:r>
        <w:rPr>
          <w:rFonts w:ascii="Times New Roman" w:hAnsi="Times New Roman" w:eastAsia="Times New Roman"/>
          <w:b/>
          <w:sz w:val="24"/>
        </w:rPr>
        <w:t xml:space="preserve">3.2.2 Why Both Accounting Sources Are Needed</w:t>
      </w:r>
      <w:bookmarkEnd w:id="113"/>
    </w:p>
    <w:p>
      <w:pPr>
        <w:pStyle w:val="BodyText"/>
        <w:spacing w:before="0" w:after="200" w:line="276" w:lineRule="auto"/>
        <w:jc w:val="both"/>
      </w:pPr>
      <w:r>
        <w:rPr>
          <w:rFonts w:ascii="Times New Roman" w:hAnsi="Times New Roman" w:eastAsia="Times New Roman"/>
          <w:b w:val="0"/>
          <w:sz w:val="24"/>
        </w:rPr>
        <w:t xml:space="preserve">Company Facts provides standardized histories and availability dates but may omit values reported under custom names.</w:t>
      </w:r>
      <w:r>
        <w:rPr>
          <w:rFonts w:ascii="Times New Roman" w:hAnsi="Times New Roman" w:eastAsia="Times New Roman"/>
          <w:b w:val="0"/>
          <w:sz w:val="24"/>
        </w:rPr>
        <w:t xml:space="preserve"> </w:t>
      </w:r>
      <w:hyperlink r:id="rId114">
        <w:r>
          <w:rPr>
            <w:rStyle w:val="Hyperlink"/>
          </w:rPr>
          <w:t xml:space="preserve">SEC, EDGAR API documentation</w:t>
        </w:r>
      </w:hyperlink>
      <w:r>
        <w:rPr>
          <w:rFonts w:ascii="Times New Roman" w:hAnsi="Times New Roman" w:eastAsia="Times New Roman"/>
          <w:b w:val="0"/>
          <w:sz w:val="24"/>
        </w:rPr>
        <w:t xml:space="preserve">. Financial Statement and Notes data retain statement rows and calculation relationships. This allows a missing total, notably</w:t>
      </w:r>
      <w:r>
        <w:rPr>
          <w:rFonts w:ascii="Times New Roman" w:hAnsi="Times New Roman" w:eastAsia="Times New Roman"/>
          <w:b w:val="0"/>
          <w:sz w:val="24"/>
        </w:rPr>
        <w:t xml:space="preserve"> </w:t>
      </w:r>
      <w:r>
        <w:rPr>
          <w:rFonts w:ascii="Times New Roman" w:hAnsi="Times New Roman" w:eastAsia="Times New Roman"/>
          <w:b w:val="0"/>
          <w:bCs/>
          <w:sz w:val="24"/>
        </w:rPr>
        <w:t xml:space="preserve">total liabilities</w:t>
      </w:r>
      <w:r>
        <w:rPr>
          <w:rFonts w:ascii="Times New Roman" w:hAnsi="Times New Roman" w:eastAsia="Times New Roman"/>
          <w:b w:val="0"/>
          <w:sz w:val="24"/>
        </w:rPr>
        <w:t xml:space="preserve">, to be identified under a custom label or recovered from complete, non-duplicated components. Values must match the same filing and reporting date. Reporting errors can remain.</w:t>
      </w:r>
      <w:r>
        <w:rPr>
          <w:rFonts w:ascii="Times New Roman" w:hAnsi="Times New Roman" w:eastAsia="Times New Roman"/>
          <w:b w:val="0"/>
          <w:sz w:val="24"/>
        </w:rPr>
        <w:t xml:space="preserve"> </w:t>
      </w:r>
      <w:hyperlink r:id="rId115">
        <w:r>
          <w:rPr>
            <w:rStyle w:val="Hyperlink"/>
          </w:rPr>
          <w:t xml:space="preserve">SEC, Financial Statement and Notes dataset documentation</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 detailed data are used conservatively. A custom row is not accepted merely because its label resembles a desired concept, and a calculated total is accepted only when every required component is present and the recorded relationship balances. This prioritizes traceability over coverage.</w:t>
      </w:r>
    </w:p>
    <w:p>
      <w:pPr>
        <w:pStyle w:val="Heading3"/>
      </w:pPr>
      <w:bookmarkStart w:id="116" w:name="_a6137580df8c8f92cb799a660c05ca3c83cdaf2"/>
      <w:r>
        <w:rPr>
          <w:rFonts w:ascii="Times New Roman" w:hAnsi="Times New Roman" w:eastAsia="Times New Roman"/>
          <w:b/>
          <w:sz w:val="24"/>
        </w:rPr>
        <w:t xml:space="preserve">3.2.3 Combining the Sources in One Panel</w:t>
      </w:r>
      <w:bookmarkEnd w:id="116"/>
    </w:p>
    <w:p>
      <w:pPr>
        <w:pStyle w:val="BodyText"/>
        <w:spacing w:before="0" w:after="200" w:line="276" w:lineRule="auto"/>
        <w:jc w:val="both"/>
      </w:pPr>
      <w:r>
        <w:rPr>
          <w:rFonts w:ascii="Times New Roman" w:hAnsi="Times New Roman" w:eastAsia="Times New Roman"/>
          <w:b w:val="0"/>
          <w:sz w:val="24"/>
        </w:rPr>
        <w:t xml:space="preserve">Company Facts is preferred. Detailed statements fill or check missing balance-sheet values. Reconstructed totals require every component and a balanced calculation, otherwise they remain missing. Annual revenue, income and operating cash flow come from Company Facts because it supplies exact period dates. Narrative notes are unused, and each accepted value retains its provenance.</w:t>
      </w:r>
    </w:p>
    <w:p>
      <w:pPr>
        <w:pStyle w:val="BodyText"/>
        <w:spacing w:before="0" w:after="200" w:line="276" w:lineRule="auto"/>
        <w:jc w:val="both"/>
      </w:pPr>
      <w:r>
        <w:rPr>
          <w:rFonts w:ascii="Times New Roman" w:hAnsi="Times New Roman" w:eastAsia="Times New Roman"/>
          <w:b w:val="0"/>
          <w:sz w:val="24"/>
        </w:rPr>
        <w:t xml:space="preserve">This precedence rule avoids choosing opportunistically between sources after observing model outcomes. Provenance records include the accession, reporting date, filing date, tag or statement row and any calculation used.</w:t>
      </w:r>
    </w:p>
    <w:p>
      <w:pPr>
        <w:pStyle w:val="Heading2"/>
      </w:pPr>
      <w:bookmarkStart w:id="117" w:name="_d615cec92fe71972b6ec12d8615b786d8a4eb95"/>
      <w:r>
        <w:rPr>
          <w:rFonts w:ascii="Times New Roman" w:hAnsi="Times New Roman" w:eastAsia="Times New Roman"/>
          <w:b/>
          <w:sz w:val="26"/>
        </w:rPr>
        <w:t xml:space="preserve">3.3 Outcome and Prediction Horizon</w:t>
      </w:r>
      <w:bookmarkEnd w:id="117"/>
    </w:p>
    <w:p>
      <w:pPr>
        <w:pStyle w:val="BodyText"/>
        <w:spacing w:before="0" w:after="200" w:line="276" w:lineRule="auto"/>
        <w:jc w:val="both"/>
      </w:pPr>
      <w:r>
        <w:rPr>
          <w:rFonts w:ascii="Times New Roman" w:hAnsi="Times New Roman" w:eastAsia="Times New Roman"/>
          <w:b w:val="0"/>
          <w:sz w:val="24"/>
        </w:rPr>
        <w:t xml:space="preserve">For each company-month, the target asks whether a</w:t>
      </w:r>
      <w:r>
        <w:rPr>
          <w:rFonts w:ascii="Times New Roman" w:hAnsi="Times New Roman" w:eastAsia="Times New Roman"/>
          <w:b w:val="0"/>
          <w:sz w:val="24"/>
        </w:rPr>
        <w:t xml:space="preserve"> </w:t>
      </w:r>
      <w:r>
        <w:rPr>
          <w:rFonts w:ascii="Times New Roman" w:hAnsi="Times New Roman" w:eastAsia="Times New Roman"/>
          <w:b w:val="0"/>
          <w:bCs/>
          <w:sz w:val="24"/>
        </w:rPr>
        <w:t xml:space="preserve">new qualifying distress disclosure occurs within 60 days</w:t>
      </w:r>
      <w:r>
        <w:rPr>
          <w:rFonts w:ascii="Times New Roman" w:hAnsi="Times New Roman" w:eastAsia="Times New Roman"/>
          <w:b w:val="0"/>
          <w:sz w:val="24"/>
        </w:rPr>
        <w:t xml:space="preserve">. A negative label also requires sufficient later SEC reporting to observe the whole window.</w:t>
      </w:r>
    </w:p>
    <w:p>
      <w:pPr>
        <w:pStyle w:val="BodyText"/>
        <w:spacing w:before="0" w:after="200" w:line="276" w:lineRule="auto"/>
        <w:jc w:val="both"/>
      </w:pPr>
      <w:r>
        <w:rPr>
          <w:rFonts w:ascii="Times New Roman" w:hAnsi="Times New Roman" w:eastAsia="Times New Roman"/>
          <w:b w:val="0"/>
          <w:sz w:val="24"/>
        </w:rPr>
        <w:t xml:space="preserve">Item 1.03 bankruptcy or receivership filings qualify. Item 2.04-only filings qualify only when an automated review finds clear evidence of missed principal or interest. Filing dates need not equal event dates. Reviews used language models through OpenAI Batch. Cases describing only acceleration or enforcement, lacking review or remaining unclear are unresolved. Without independent human validation, review confidence is not a measured accuracy rate.</w:t>
      </w:r>
      <w:r>
        <w:rPr>
          <w:rFonts w:ascii="Times New Roman" w:hAnsi="Times New Roman" w:eastAsia="Times New Roman"/>
          <w:b w:val="0"/>
          <w:sz w:val="24"/>
        </w:rPr>
        <w:t xml:space="preserve"> </w:t>
      </w:r>
      <w:hyperlink r:id="rId81">
        <w:r>
          <w:rPr>
            <w:rStyle w:val="Hyperlink"/>
          </w:rPr>
          <w:t xml:space="preserve">SEC, Form 8-K</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Item 1.03 may concern an issuer or its parent and includes different bankruptcy or receivership circumstances. Item 2.04 covers events that can accelerate or increase an obligation, but such events do not always arise from non-payment. Requiring explicit missed-payment evidence narrows the latter category while retaining the uncertainty of automated document interpretation.</w:t>
      </w:r>
    </w:p>
    <w:p>
      <w:pPr>
        <w:pStyle w:val="BodyText"/>
        <w:spacing w:before="0" w:after="200" w:line="276" w:lineRule="auto"/>
        <w:jc w:val="both"/>
      </w:pPr>
      <w:r>
        <w:rPr>
          <w:rFonts w:ascii="Times New Roman" w:hAnsi="Times New Roman" w:eastAsia="Times New Roman"/>
          <w:b w:val="0"/>
          <w:sz w:val="24"/>
        </w:rPr>
        <w:t xml:space="preserve">Disclosures no more than 90 days apart form one episode. Company-months within an episode and the 90 days after its last filing are excluded from new-event prediction, preventing follow-up filings from becoming new events. The gap is operational, not evidence of recovery.</w:t>
      </w:r>
    </w:p>
    <w:p>
      <w:pPr>
        <w:pStyle w:val="BodyText"/>
        <w:spacing w:before="0" w:after="200" w:line="276" w:lineRule="auto"/>
        <w:jc w:val="both"/>
      </w:pPr>
      <w:r>
        <w:rPr>
          <w:rFonts w:ascii="Times New Roman" w:hAnsi="Times New Roman" w:eastAsia="Times New Roman"/>
          <w:b w:val="0"/>
          <w:sz w:val="24"/>
        </w:rPr>
        <w:t xml:space="preserve">Without episode grouping, several filings about one restructuring could be counted as repeated independent failures and inflate apparent performance. Conversely, the chosen gap may join distinct problems or separate a prolonged one. It is a transparent rule rather than a clinical definition of resolution.</w:t>
      </w:r>
    </w:p>
    <w:p>
      <w:pPr>
        <w:pStyle w:val="BodyText"/>
        <w:spacing w:before="0" w:after="200" w:line="276" w:lineRule="auto"/>
        <w:jc w:val="both"/>
      </w:pPr>
      <w:r>
        <w:rPr>
          <w:rFonts w:ascii="Times New Roman" w:hAnsi="Times New Roman" w:eastAsia="Times New Roman"/>
          <w:b w:val="0"/>
          <w:sz w:val="24"/>
        </w:rPr>
        <w:t xml:space="preserve">A negative label requires a later 10-K, 10-Q or 8-K at or beyond the window’s end. It confirms observable follow-up, not absence of distress. The label becomes available only after that filing and must precede the study cutoff and the next modeling stage, preventing future information from entering earlier decisions.</w:t>
      </w:r>
    </w:p>
    <w:p>
      <w:pPr>
        <w:pStyle w:val="BodyText"/>
        <w:spacing w:before="0" w:after="200" w:line="276" w:lineRule="auto"/>
        <w:jc w:val="both"/>
      </w:pPr>
      <w:r>
        <w:rPr>
          <w:rFonts w:ascii="Times New Roman" w:hAnsi="Times New Roman" w:eastAsia="Times New Roman"/>
          <w:b w:val="0"/>
          <w:sz w:val="24"/>
        </w:rPr>
        <w:t xml:space="preserve">Rows after an issuer’s final observed filing cannot safely be labeled negative because silence may reflect deregistration, reporting disruption or an unobserved event. The follow-up rule reduces this error at the cost of excluding some otherwise financially usable observations.</w:t>
      </w:r>
    </w:p>
    <w:p>
      <w:pPr>
        <w:pStyle w:val="BodyText"/>
        <w:spacing w:before="0" w:after="200" w:line="276" w:lineRule="auto"/>
        <w:jc w:val="both"/>
      </w:pPr>
      <w:r>
        <w:rPr>
          <w:rFonts w:ascii="Times New Roman" w:hAnsi="Times New Roman" w:eastAsia="Times New Roman"/>
          <w:b w:val="0"/>
          <w:sz w:val="24"/>
        </w:rPr>
        <w:t xml:space="preserve">The labeling rules reduce 611,705 financially usable company-months to 565,222 labeled observations: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Reason for removal</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Company-months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Not enough later SEC reporting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6,011</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Occurred after an unresolved payment disclosure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38,664</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Fell within an existing episode or its 90-day quiet period</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1,458</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Contained unresolved payment evidence in the next 60 days</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350</w:t>
            </w:r>
          </w:p>
        </w:tc>
      </w:tr>
    </w:tbl>
    <w:p>
      <w:pPr>
        <w:pStyle w:val="Caption"/>
        <w:spacing w:line="240" w:lineRule="auto"/>
        <w:jc w:val="center"/>
      </w:pPr>
      <w:r>
        <w:rPr>
          <w:rFonts w:ascii="Times New Roman" w:hAnsi="Times New Roman" w:eastAsia="Times New Roman"/>
          <w:i/>
          <w:iCs/>
          <w:sz w:val="24"/>
        </w:rPr>
        <w:t xml:space="preserve">Table 3. Company-months removed by the outcome-labeling rules.</w:t>
      </w:r>
    </w:p>
    <w:p>
      <w:pPr>
        <w:pStyle w:val="BodyText"/>
        <w:spacing w:before="0" w:after="200" w:line="276" w:lineRule="auto"/>
        <w:jc w:val="both"/>
      </w:pPr>
      <w:r>
        <w:rPr>
          <w:rFonts w:ascii="Times New Roman" w:hAnsi="Times New Roman" w:eastAsia="Times New Roman"/>
          <w:b w:val="0"/>
          <w:sz w:val="24"/>
        </w:rPr>
        <w:t xml:space="preserve">These outcomes are unreliable and excluded, although a disclosure already known on the decision date can still trigger a policy hard stop.</w:t>
      </w:r>
    </w:p>
    <w:p>
      <w:pPr>
        <w:pStyle w:val="Heading2"/>
      </w:pPr>
      <w:bookmarkStart w:id="118" w:name="_7f8b350a30b1906e22c050e3c148c8226908d05"/>
      <w:r>
        <w:rPr>
          <w:rFonts w:ascii="Times New Roman" w:hAnsi="Times New Roman" w:eastAsia="Times New Roman"/>
          <w:b/>
          <w:sz w:val="26"/>
        </w:rPr>
        <w:t xml:space="preserve">3.4 Feature Construction</w:t>
      </w:r>
      <w:bookmarkEnd w:id="118"/>
    </w:p>
    <w:p>
      <w:pPr>
        <w:pStyle w:val="BodyText"/>
        <w:spacing w:before="0" w:after="200" w:line="276" w:lineRule="auto"/>
        <w:jc w:val="both"/>
      </w:pPr>
      <w:r>
        <w:rPr>
          <w:rFonts w:ascii="Times New Roman" w:hAnsi="Times New Roman" w:eastAsia="Times New Roman"/>
          <w:b w:val="0"/>
          <w:sz w:val="24"/>
        </w:rPr>
        <w:t xml:space="preserve">The predictive experiment uses twelve features covering liquidity, leverage, financial change, profitability, cash generation and size. In the formulas below,</w:t>
      </w:r>
      <w:r>
        <w:rPr>
          <w:rFonts w:ascii="Times New Roman" w:hAnsi="Times New Roman" w:eastAsia="Times New Roman"/>
          <w:b w:val="0"/>
          <w:sz w:val="24"/>
        </w:rPr>
        <w:t xml:space="preserve"> </w:t>
      </w:r>
      <m:oMath>
        <m:r>
          <m:t>C</m:t>
        </m:r>
        <m:r>
          <m:t>A</m:t>
        </m:r>
      </m:oMath>
      <w:r>
        <w:rPr>
          <w:rFonts w:ascii="Times New Roman" w:hAnsi="Times New Roman" w:eastAsia="Times New Roman"/>
          <w:b w:val="0"/>
          <w:sz w:val="24"/>
        </w:rPr>
        <w:t xml:space="preserve"> </w:t>
      </w:r>
      <w:r>
        <w:rPr>
          <w:rFonts w:ascii="Times New Roman" w:hAnsi="Times New Roman" w:eastAsia="Times New Roman"/>
          <w:b w:val="0"/>
          <w:sz w:val="24"/>
        </w:rPr>
        <w:t xml:space="preserve">is current assets,</w:t>
      </w:r>
      <w:r>
        <w:rPr>
          <w:rFonts w:ascii="Times New Roman" w:hAnsi="Times New Roman" w:eastAsia="Times New Roman"/>
          <w:b w:val="0"/>
          <w:sz w:val="24"/>
        </w:rPr>
        <w:t xml:space="preserve"> </w:t>
      </w:r>
      <m:oMath>
        <m:r>
          <m:t>C</m:t>
        </m:r>
        <m:r>
          <m:t>L</m:t>
        </m:r>
      </m:oMath>
      <w:r>
        <w:rPr>
          <w:rFonts w:ascii="Times New Roman" w:hAnsi="Times New Roman" w:eastAsia="Times New Roman"/>
          <w:b w:val="0"/>
          <w:sz w:val="24"/>
        </w:rPr>
        <w:t xml:space="preserve"> </w:t>
      </w:r>
      <w:r>
        <w:rPr>
          <w:rFonts w:ascii="Times New Roman" w:hAnsi="Times New Roman" w:eastAsia="Times New Roman"/>
          <w:b w:val="0"/>
          <w:sz w:val="24"/>
        </w:rPr>
        <w:t xml:space="preserve">current liabilities,</w:t>
      </w:r>
      <w:r>
        <w:rPr>
          <w:rFonts w:ascii="Times New Roman" w:hAnsi="Times New Roman" w:eastAsia="Times New Roman"/>
          <w:b w:val="0"/>
          <w:sz w:val="24"/>
        </w:rPr>
        <w:t xml:space="preserve"> </w:t>
      </w:r>
      <m:oMath>
        <m:r>
          <m:t>T</m:t>
        </m:r>
        <m:r>
          <m:t>A</m:t>
        </m:r>
      </m:oMath>
      <w:r>
        <w:rPr>
          <w:rFonts w:ascii="Times New Roman" w:hAnsi="Times New Roman" w:eastAsia="Times New Roman"/>
          <w:b w:val="0"/>
          <w:sz w:val="24"/>
        </w:rPr>
        <w:t xml:space="preserve"> </w:t>
      </w:r>
      <w:r>
        <w:rPr>
          <w:rFonts w:ascii="Times New Roman" w:hAnsi="Times New Roman" w:eastAsia="Times New Roman"/>
          <w:b w:val="0"/>
          <w:sz w:val="24"/>
        </w:rPr>
        <w:t xml:space="preserve">total assets,</w:t>
      </w:r>
      <w:r>
        <w:rPr>
          <w:rFonts w:ascii="Times New Roman" w:hAnsi="Times New Roman" w:eastAsia="Times New Roman"/>
          <w:b w:val="0"/>
          <w:sz w:val="24"/>
        </w:rPr>
        <w:t xml:space="preserve"> </w:t>
      </w:r>
      <m:oMath>
        <m:r>
          <m:t>L</m:t>
        </m:r>
      </m:oMath>
      <w:r>
        <w:rPr>
          <w:rFonts w:ascii="Times New Roman" w:hAnsi="Times New Roman" w:eastAsia="Times New Roman"/>
          <w:b w:val="0"/>
          <w:sz w:val="24"/>
        </w:rPr>
        <w:t xml:space="preserve"> </w:t>
      </w:r>
      <w:r>
        <w:rPr>
          <w:rFonts w:ascii="Times New Roman" w:hAnsi="Times New Roman" w:eastAsia="Times New Roman"/>
          <w:b w:val="0"/>
          <w:sz w:val="24"/>
        </w:rPr>
        <w:t xml:space="preserve">total liabilities,</w:t>
      </w:r>
      <w:r>
        <w:rPr>
          <w:rFonts w:ascii="Times New Roman" w:hAnsi="Times New Roman" w:eastAsia="Times New Roman"/>
          <w:b w:val="0"/>
          <w:sz w:val="24"/>
        </w:rPr>
        <w:t xml:space="preserve"> </w:t>
      </w:r>
      <m:oMath>
        <m:r>
          <m:t>C</m:t>
        </m:r>
        <m:r>
          <m:t>a</m:t>
        </m:r>
        <m:r>
          <m:t>s</m:t>
        </m:r>
        <m:r>
          <m:t>h</m:t>
        </m:r>
      </m:oMath>
      <w:r>
        <w:rPr>
          <w:rFonts w:ascii="Times New Roman" w:hAnsi="Times New Roman" w:eastAsia="Times New Roman"/>
          <w:b w:val="0"/>
          <w:sz w:val="24"/>
        </w:rPr>
        <w:t xml:space="preserve"> </w:t>
      </w:r>
      <w:r>
        <w:rPr>
          <w:rFonts w:ascii="Times New Roman" w:hAnsi="Times New Roman" w:eastAsia="Times New Roman"/>
          <w:b w:val="0"/>
          <w:sz w:val="24"/>
        </w:rPr>
        <w:t xml:space="preserve">cash and cash equivalents,</w:t>
      </w:r>
      <w:r>
        <w:rPr>
          <w:rFonts w:ascii="Times New Roman" w:hAnsi="Times New Roman" w:eastAsia="Times New Roman"/>
          <w:b w:val="0"/>
          <w:sz w:val="24"/>
        </w:rPr>
        <w:t xml:space="preserve"> </w:t>
      </w:r>
      <m:oMath>
        <m:r>
          <m:t>N</m:t>
        </m:r>
        <m:r>
          <m:t>I</m:t>
        </m:r>
      </m:oMath>
      <w:r>
        <w:rPr>
          <w:rFonts w:ascii="Times New Roman" w:hAnsi="Times New Roman" w:eastAsia="Times New Roman"/>
          <w:b w:val="0"/>
          <w:sz w:val="24"/>
        </w:rPr>
        <w:t xml:space="preserve"> </w:t>
      </w:r>
      <w:r>
        <w:rPr>
          <w:rFonts w:ascii="Times New Roman" w:hAnsi="Times New Roman" w:eastAsia="Times New Roman"/>
          <w:b w:val="0"/>
          <w:sz w:val="24"/>
        </w:rPr>
        <w:t xml:space="preserve">net income and</w:t>
      </w:r>
      <w:r>
        <w:rPr>
          <w:rFonts w:ascii="Times New Roman" w:hAnsi="Times New Roman" w:eastAsia="Times New Roman"/>
          <w:b w:val="0"/>
          <w:sz w:val="24"/>
        </w:rPr>
        <w:t xml:space="preserve"> </w:t>
      </w:r>
      <m:oMath>
        <m:r>
          <m:t>O</m:t>
        </m:r>
        <m:r>
          <m:t>C</m:t>
        </m:r>
        <m:r>
          <m:t>F</m:t>
        </m:r>
      </m:oMath>
      <w:r>
        <w:rPr>
          <w:rFonts w:ascii="Times New Roman" w:hAnsi="Times New Roman" w:eastAsia="Times New Roman"/>
          <w:b w:val="0"/>
          <w:sz w:val="24"/>
        </w:rPr>
        <w:t xml:space="preserve"> </w:t>
      </w:r>
      <w:r>
        <w:rPr>
          <w:rFonts w:ascii="Times New Roman" w:hAnsi="Times New Roman" w:eastAsia="Times New Roman"/>
          <w:b w:val="0"/>
          <w:sz w:val="24"/>
        </w:rPr>
        <w:t xml:space="preserve">operating cash flow. Values at</w:t>
      </w:r>
      <w:r>
        <w:rPr>
          <w:rFonts w:ascii="Times New Roman" w:hAnsi="Times New Roman" w:eastAsia="Times New Roman"/>
          <w:b w:val="0"/>
          <w:sz w:val="24"/>
        </w:rPr>
        <w:t xml:space="preserve"> </w:t>
      </w:r>
      <m:oMath>
        <m:r>
          <m:t>t</m:t>
        </m:r>
      </m:oMath>
      <w:r>
        <w:rPr>
          <w:rFonts w:ascii="Times New Roman" w:hAnsi="Times New Roman" w:eastAsia="Times New Roman"/>
          <w:b w:val="0"/>
          <w:sz w:val="24"/>
        </w:rPr>
        <w:t xml:space="preserve"> </w:t>
      </w:r>
      <w:r>
        <w:rPr>
          <w:rFonts w:ascii="Times New Roman" w:hAnsi="Times New Roman" w:eastAsia="Times New Roman"/>
          <w:b w:val="0"/>
          <w:sz w:val="24"/>
        </w:rPr>
        <w:t xml:space="preserve">are the latest known at the monthly decision date. The notation</w:t>
      </w:r>
      <w:r>
        <w:rPr>
          <w:rFonts w:ascii="Times New Roman" w:hAnsi="Times New Roman" w:eastAsia="Times New Roman"/>
          <w:b w:val="0"/>
          <w:sz w:val="24"/>
        </w:rPr>
        <w:t xml:space="preserve"> </w:t>
      </w:r>
      <m:oMath>
        <m:r>
          <m:t>t</m:t>
        </m:r>
        <m:r>
          <m:rPr>
            <m:sty m:val="p"/>
          </m:rPr>
          <m:t>−</m:t>
        </m:r>
        <m:r>
          <m:t>12</m:t>
        </m:r>
      </m:oMath>
      <w:r>
        <w:rPr>
          <w:rFonts w:ascii="Times New Roman" w:hAnsi="Times New Roman" w:eastAsia="Times New Roman"/>
          <w:b w:val="0"/>
          <w:sz w:val="24"/>
        </w:rPr>
        <w:t xml:space="preserve"> </w:t>
      </w:r>
      <w:r>
        <w:rPr>
          <w:rFonts w:ascii="Times New Roman" w:hAnsi="Times New Roman" w:eastAsia="Times New Roman"/>
          <w:b w:val="0"/>
          <w:sz w:val="24"/>
        </w:rPr>
        <w:t xml:space="preserve">denotes the closest comparable balance about one year earlier, and</w:t>
      </w:r>
      <w:r>
        <w:rPr>
          <w:rFonts w:ascii="Times New Roman" w:hAnsi="Times New Roman" w:eastAsia="Times New Roman"/>
          <w:b w:val="0"/>
          <w:sz w:val="24"/>
        </w:rPr>
        <w:t xml:space="preserve"> </w:t>
      </w:r>
      <m:oMath>
        <m:r>
          <m:t>a</m:t>
        </m:r>
      </m:oMath>
      <w:r>
        <w:rPr>
          <w:rFonts w:ascii="Times New Roman" w:hAnsi="Times New Roman" w:eastAsia="Times New Roman"/>
          <w:b w:val="0"/>
          <w:sz w:val="24"/>
        </w:rPr>
        <w:t xml:space="preserve"> </w:t>
      </w:r>
      <w:r>
        <w:rPr>
          <w:rFonts w:ascii="Times New Roman" w:hAnsi="Times New Roman" w:eastAsia="Times New Roman"/>
          <w:b w:val="0"/>
          <w:sz w:val="24"/>
        </w:rPr>
        <w:t xml:space="preserve">denotes the latest complete annual period. Average assets and liabilities use the beginning and end of that period.</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Feature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Formula</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Interpretation and expected relationship with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Current ratio</w:t>
            </w:r>
          </w:p>
        </w:tc>
        <w:tc>
          <w:tcPr>
            <w:tcW w:type="dxa" w:w="2987"/>
            <w:vAlign w:val="center"/>
            <w:tcMar>
              <w:top w:w="60" w:type="dxa"/>
              <w:start w:w="70" w:type="dxa"/>
              <w:bottom w:w="60" w:type="dxa"/>
              <w:end w:w="70" w:type="dxa"/>
            </w:tcMar>
          </w:tcPr>
          <w:p>
            <w:pPr>
              <w:pStyle w:val="TableParagraph"/>
              <w:spacing w:line="240" w:lineRule="auto" w:before="0" w:after="0"/>
              <w:jc w:val="left"/>
            </w:pPr>
            <m:oMath>
              <m:r>
                <m:t>C</m:t>
              </m:r>
              <m:sSub>
                <m:e>
                  <m:r>
                    <m:t>A</m:t>
                  </m:r>
                </m:e>
                <m:sub>
                  <m:r>
                    <m:t>t</m:t>
                  </m:r>
                </m:sub>
              </m:sSub>
              <m:r>
                <m:rPr>
                  <m:sty m:val="p"/>
                </m:rPr>
                <m:t>/</m:t>
              </m:r>
              <m:r>
                <m:t>C</m:t>
              </m:r>
              <m:sSub>
                <m:e>
                  <m:r>
                    <m:t>L</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Short-term resources relative to obligations. Lower values can indicate payment pressure, although inventory and receivable quality matter.</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Cash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t>C</m:t>
              </m:r>
              <m:r>
                <m:t>a</m:t>
              </m:r>
              <m:r>
                <m:t>s</m:t>
              </m:r>
              <m:sSub>
                <m:e>
                  <m:r>
                    <m:t>h</m:t>
                  </m:r>
                </m:e>
                <m:sub>
                  <m:r>
                    <m:t>t</m:t>
                  </m:r>
                </m:sub>
              </m:sSub>
              <m:r>
                <m:rPr>
                  <m:sty m:val="p"/>
                </m:rPr>
                <m:t>/</m:t>
              </m:r>
              <m:r>
                <m:t>T</m:t>
              </m:r>
              <m:sSub>
                <m:e>
                  <m:r>
                    <m:t>A</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Immediate liquidity buffer. Higher values generally suggest lower risk unless cash is restricted or operationally necessary.</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Liabilities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sSub>
                <m:e>
                  <m:r>
                    <m:t>L</m:t>
                  </m:r>
                </m:e>
                <m:sub>
                  <m:r>
                    <m:t>t</m:t>
                  </m:r>
                </m:sub>
              </m:sSub>
              <m:r>
                <m:rPr>
                  <m:sty m:val="p"/>
                </m:rPr>
                <m:t>/</m:t>
              </m:r>
              <m:r>
                <m:t>T</m:t>
              </m:r>
              <m:sSub>
                <m:e>
                  <m:r>
                    <m:t>A</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Overall obligations and equity buffer. Higher values generally suggest greater risk, subject to industry differences.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Asset growth, 12 months</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ty m:val="p"/>
                </m:rPr>
                <m:t>(</m:t>
              </m:r>
              <m:r>
                <m:t>T</m:t>
              </m:r>
              <m:sSub>
                <m:e>
                  <m:r>
                    <m:t>A</m:t>
                  </m:r>
                </m:e>
                <m:sub>
                  <m:r>
                    <m:t>t</m:t>
                  </m:r>
                </m:sub>
              </m:sSub>
              <m:r>
                <m:rPr>
                  <m:sty m:val="p"/>
                </m:rPr>
                <m:t>−</m:t>
              </m:r>
              <m:r>
                <m:t>T</m:t>
              </m:r>
              <m:sSub>
                <m:e>
                  <m:r>
                    <m:t>A</m:t>
                  </m:r>
                </m:e>
                <m:sub>
                  <m:r>
                    <m:t>t</m:t>
                  </m:r>
                  <m:r>
                    <m:rPr>
                      <m:sty m:val="p"/>
                    </m:rPr>
                    <m:t>−</m:t>
                  </m:r>
                  <m:r>
                    <m:t>12</m:t>
                  </m:r>
                </m:sub>
              </m:sSub>
              <m:r>
                <m:rPr>
                  <m:sty m:val="p"/>
                </m:rPr>
                <m:t>)</m:t>
              </m:r>
              <m:r>
                <m:rPr>
                  <m:sty m:val="p"/>
                </m:rPr>
                <m:t>/</m:t>
              </m:r>
              <m:r>
                <m:t>T</m:t>
              </m:r>
              <m:sSub>
                <m:e>
                  <m:r>
                    <m:t>A</m:t>
                  </m:r>
                </m:e>
                <m:sub>
                  <m:r>
                    <m:t>t</m:t>
                  </m:r>
                  <m:r>
                    <m:rPr>
                      <m:sty m:val="p"/>
                    </m:rPr>
                    <m:t>−</m:t>
                  </m:r>
                  <m:r>
                    <m:t>12</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Captures expansion, contraction, acquisitions or asset sales. Either rapid growth or contraction can be adverse, so no single direction is assumed.</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Change in liabilities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sSub>
                <m:e>
                  <m:r>
                    <m:t>L</m:t>
                  </m:r>
                </m:e>
                <m:sub>
                  <m:r>
                    <m:t>t</m:t>
                  </m:r>
                </m:sub>
              </m:sSub>
              <m:r>
                <m:rPr>
                  <m:sty m:val="p"/>
                </m:rPr>
                <m:t>/</m:t>
              </m:r>
              <m:r>
                <m:t>T</m:t>
              </m:r>
              <m:sSub>
                <m:e>
                  <m:r>
                    <m:t>A</m:t>
                  </m:r>
                </m:e>
                <m:sub>
                  <m:r>
                    <m:t>t</m:t>
                  </m:r>
                </m:sub>
              </m:sSub>
              <m:r>
                <m:rPr>
                  <m:sty m:val="p"/>
                </m:rPr>
                <m:t>−</m:t>
              </m:r>
              <m:sSub>
                <m:e>
                  <m:r>
                    <m:t>L</m:t>
                  </m:r>
                </m:e>
                <m:sub>
                  <m:r>
                    <m:t>t</m:t>
                  </m:r>
                  <m:r>
                    <m:rPr>
                      <m:sty m:val="p"/>
                    </m:rPr>
                    <m:t>−</m:t>
                  </m:r>
                  <m:r>
                    <m:t>12</m:t>
                  </m:r>
                </m:sub>
              </m:sSub>
              <m:r>
                <m:rPr>
                  <m:sty m:val="p"/>
                </m:rPr>
                <m:t>/</m:t>
              </m:r>
              <m:r>
                <m:t>T</m:t>
              </m:r>
              <m:sSub>
                <m:e>
                  <m:r>
                    <m:t>A</m:t>
                  </m:r>
                </m:e>
                <m:sub>
                  <m:r>
                    <m:t>t</m:t>
                  </m:r>
                  <m:r>
                    <m:rPr>
                      <m:sty m:val="p"/>
                    </m:rPr>
                    <m:t>−</m:t>
                  </m:r>
                  <m:r>
                    <m:t>12</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Measures the change in leverage. An increase generally suggests higher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Working capital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ty m:val="p"/>
                </m:rPr>
                <m:t>(</m:t>
              </m:r>
              <m:r>
                <m:t>C</m:t>
              </m:r>
              <m:sSub>
                <m:e>
                  <m:r>
                    <m:t>A</m:t>
                  </m:r>
                </m:e>
                <m:sub>
                  <m:r>
                    <m:t>t</m:t>
                  </m:r>
                </m:sub>
              </m:sSub>
              <m:r>
                <m:rPr>
                  <m:sty m:val="p"/>
                </m:rPr>
                <m:t>−</m:t>
              </m:r>
              <m:r>
                <m:t>C</m:t>
              </m:r>
              <m:sSub>
                <m:e>
                  <m:r>
                    <m:t>L</m:t>
                  </m:r>
                </m:e>
                <m:sub>
                  <m:r>
                    <m:t>t</m:t>
                  </m:r>
                </m:sub>
              </m:sSub>
              <m:r>
                <m:rPr>
                  <m:sty m:val="p"/>
                </m:rPr>
                <m:t>)</m:t>
              </m:r>
              <m:r>
                <m:rPr>
                  <m:sty m:val="p"/>
                </m:rPr>
                <m:t>/</m:t>
              </m:r>
              <m:r>
                <m:t>T</m:t>
              </m:r>
              <m:sSub>
                <m:e>
                  <m:r>
                    <m:t>A</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Short-term surplus or shortage relative to company size. Larger positive values generally suggest lower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Return on average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t>N</m:t>
              </m:r>
              <m:sSub>
                <m:e>
                  <m:r>
                    <m:t>I</m:t>
                  </m:r>
                </m:e>
                <m:sub>
                  <m:r>
                    <m:t>a</m:t>
                  </m:r>
                </m:sub>
              </m:sSub>
              <m:r>
                <m:rPr>
                  <m:sty m:val="p"/>
                </m:rPr>
                <m:t>/</m:t>
              </m:r>
              <m:sSub>
                <m:e>
                  <m:bar>
                    <m:barPr>
                      <m:pos m:val="top"/>
                    </m:barPr>
                    <m:e>
                      <m:r>
                        <m:t>T</m:t>
                      </m:r>
                      <m:r>
                        <m:t>A</m:t>
                      </m:r>
                    </m:e>
                  </m:bar>
                </m:e>
                <m:sub>
                  <m:r>
                    <m:t>a</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Accounting profitability. Low or negative returns generally suggest higher risk, but profit need not imply cash generation.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t>O</m:t>
              </m:r>
              <m:r>
                <m:t>C</m:t>
              </m:r>
              <m:sSub>
                <m:e>
                  <m:r>
                    <m:t>F</m:t>
                  </m:r>
                </m:e>
                <m:sub>
                  <m:r>
                    <m:t>a</m:t>
                  </m:r>
                </m:sub>
              </m:sSub>
              <m:r>
                <m:rPr>
                  <m:sty m:val="p"/>
                </m:rPr>
                <m:t>/</m:t>
              </m:r>
              <m:sSub>
                <m:e>
                  <m:bar>
                    <m:barPr>
                      <m:pos m:val="top"/>
                    </m:barPr>
                    <m:e>
                      <m:r>
                        <m:t>T</m:t>
                      </m:r>
                      <m:r>
                        <m:t>A</m:t>
                      </m:r>
                    </m:e>
                  </m:bar>
                </m:e>
                <m:sub>
                  <m:r>
                    <m:t>a</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generation relative to assets. Low or negative values can indicate cash pressure.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liabilities</w:t>
            </w:r>
          </w:p>
        </w:tc>
        <w:tc>
          <w:tcPr>
            <w:tcW w:type="dxa" w:w="2987"/>
            <w:vAlign w:val="center"/>
            <w:tcMar>
              <w:top w:w="60" w:type="dxa"/>
              <w:start w:w="70" w:type="dxa"/>
              <w:bottom w:w="60" w:type="dxa"/>
              <w:end w:w="70" w:type="dxa"/>
            </w:tcMar>
          </w:tcPr>
          <w:p>
            <w:pPr>
              <w:pStyle w:val="TableParagraph"/>
              <w:spacing w:line="240" w:lineRule="auto" w:before="0" w:after="0"/>
              <w:jc w:val="left"/>
            </w:pPr>
            <m:oMath>
              <m:r>
                <m:t>O</m:t>
              </m:r>
              <m:r>
                <m:t>C</m:t>
              </m:r>
              <m:sSub>
                <m:e>
                  <m:r>
                    <m:t>F</m:t>
                  </m:r>
                </m:e>
                <m:sub>
                  <m:r>
                    <m:t>a</m:t>
                  </m:r>
                </m:sub>
              </m:sSub>
              <m:r>
                <m:rPr>
                  <m:sty m:val="p"/>
                </m:rPr>
                <m:t>/</m:t>
              </m:r>
              <m:sSub>
                <m:e>
                  <m:bar>
                    <m:barPr>
                      <m:pos m:val="top"/>
                    </m:barPr>
                    <m:e>
                      <m:r>
                        <m:t>L</m:t>
                      </m:r>
                    </m:e>
                  </m:bar>
                </m:e>
                <m:sub>
                  <m:r>
                    <m:t>a</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Cash generation relative to obligations. This is not debt-service coverage because scheduled principal and interest are unavailable.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income</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cr m:val="double-struck"/>
                  <m:sty m:val="p"/>
                </m:rPr>
                <m:t>1</m:t>
              </m:r>
              <m:r>
                <m:rPr>
                  <m:sty m:val="p"/>
                </m:rPr>
                <m:t>(</m:t>
              </m:r>
              <m:r>
                <m:t>N</m:t>
              </m:r>
              <m:sSub>
                <m:e>
                  <m:r>
                    <m:t>I</m:t>
                  </m:r>
                </m:e>
                <m:sub>
                  <m:r>
                    <m:t>a</m:t>
                  </m:r>
                </m:sub>
              </m:sSub>
              <m:r>
                <m:rPr>
                  <m:sty m:val="p"/>
                </m:rPr>
                <m:t>&lt;</m:t>
              </m:r>
              <m:r>
                <m:t>0</m:t>
              </m:r>
              <m:r>
                <m:rPr>
                  <m:sty m:val="p"/>
                </m:rPr>
                <m:t>)</m:t>
              </m:r>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Captures the loss threshold separately from return on assets. A value of one generally suggests higher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operating cash flow</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cr m:val="double-struck"/>
                  <m:sty m:val="p"/>
                </m:rPr>
                <m:t>1</m:t>
              </m:r>
              <m:r>
                <m:rPr>
                  <m:sty m:val="p"/>
                </m:rPr>
                <m:t>(</m:t>
              </m:r>
              <m:r>
                <m:t>O</m:t>
              </m:r>
              <m:r>
                <m:t>C</m:t>
              </m:r>
              <m:sSub>
                <m:e>
                  <m:r>
                    <m:t>F</m:t>
                  </m:r>
                </m:e>
                <m:sub>
                  <m:r>
                    <m:t>a</m:t>
                  </m:r>
                </m:sub>
              </m:sSub>
              <m:r>
                <m:rPr>
                  <m:sty m:val="p"/>
                </m:rPr>
                <m:t>&lt;</m:t>
              </m:r>
              <m:r>
                <m:t>0</m:t>
              </m:r>
              <m:r>
                <m:rPr>
                  <m:sty m:val="p"/>
                </m:rPr>
                <m:t>)</m:t>
              </m:r>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Identifies operations that consume cash, while allowing that one negative year may reflect temporary working-capital investment.</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Log assets</w:t>
            </w:r>
          </w:p>
        </w:tc>
        <w:tc>
          <w:tcPr>
            <w:tcW w:type="dxa" w:w="2987"/>
            <w:vAlign w:val="center"/>
            <w:tcMar>
              <w:top w:w="60" w:type="dxa"/>
              <w:start w:w="70" w:type="dxa"/>
              <w:bottom w:w="60" w:type="dxa"/>
              <w:end w:w="70" w:type="dxa"/>
            </w:tcMar>
          </w:tcPr>
          <w:p>
            <w:pPr>
              <w:pStyle w:val="TableParagraph"/>
              <w:keepNext/>
              <w:spacing w:line="240" w:lineRule="auto" w:before="0" w:after="0"/>
              <w:jc w:val="left"/>
            </w:pPr>
            <m:oMath>
              <m:r>
                <m:rPr>
                  <m:sty m:val="p"/>
                </m:rPr>
                <m:t>ln</m:t>
              </m:r>
              <m:r>
                <m:rPr>
                  <m:sty m:val="p"/>
                </m:rPr>
                <m:t>(</m:t>
              </m:r>
              <m:r>
                <m:t>T</m:t>
              </m:r>
              <m:sSub>
                <m:e>
                  <m:r>
                    <m:t>A</m:t>
                  </m:r>
                </m:e>
                <m:sub>
                  <m:r>
                    <m:t>t</m:t>
                  </m:r>
                </m:sub>
              </m:sSub>
              <m:r>
                <m:rPr>
                  <m:sty m:val="p"/>
                </m:rPr>
                <m:t>)</m:t>
              </m:r>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Controls for company size on a compressed scale. Larger firms may have diversification and funding advantages, but are not necessarily safer.</w:t>
            </w:r>
          </w:p>
        </w:tc>
      </w:tr>
    </w:tbl>
    <w:p>
      <w:pPr>
        <w:pStyle w:val="Caption"/>
        <w:spacing w:line="240" w:lineRule="auto"/>
        <w:jc w:val="center"/>
      </w:pPr>
      <w:r>
        <w:rPr>
          <w:rFonts w:ascii="Times New Roman" w:hAnsi="Times New Roman" w:eastAsia="Times New Roman"/>
          <w:i/>
          <w:iCs/>
          <w:sz w:val="24"/>
        </w:rPr>
        <w:t xml:space="preserve">Table 4. Accounting predictors, definitions and expected relationships with risk.</w:t>
      </w:r>
    </w:p>
    <w:p>
      <w:pPr>
        <w:pStyle w:val="BodyText"/>
        <w:spacing w:before="0" w:after="200" w:line="276" w:lineRule="auto"/>
        <w:jc w:val="both"/>
      </w:pPr>
      <w:r>
        <w:rPr>
          <w:rFonts w:ascii="Times New Roman" w:hAnsi="Times New Roman" w:eastAsia="Times New Roman"/>
          <w:b w:val="0"/>
          <w:sz w:val="24"/>
        </w:rPr>
        <w:t xml:space="preserve">Expected directions are economic priors, not causal claims. Ratio components use compatible dates and periods. Quarterly cumulative values are not added and missing values are not zeroed. Interest coverage is excluded because SEC tags did not support a consistent calculation. Industry and reporting age are audit fields, not predictors.</w:t>
      </w:r>
    </w:p>
    <w:p>
      <w:pPr>
        <w:pStyle w:val="BodyText"/>
        <w:spacing w:before="0" w:after="200" w:line="276" w:lineRule="auto"/>
        <w:jc w:val="both"/>
      </w:pPr>
      <w:r>
        <w:rPr>
          <w:rFonts w:ascii="Times New Roman" w:hAnsi="Times New Roman" w:eastAsia="Times New Roman"/>
          <w:b w:val="0"/>
          <w:sz w:val="24"/>
        </w:rPr>
        <w:t xml:space="preserve">Average assets and liabilities use the beginning and end of the relevant annual period. Twelve-month changes use the closest sufficiently comparable prior balance rather than assuming every company files on identical calendar dates. Denominators that are zero or economically invalid produce missing ratios instead of extreme artificial values.</w:t>
      </w:r>
    </w:p>
    <w:p>
      <w:pPr>
        <w:pStyle w:val="Heading2"/>
      </w:pPr>
      <w:bookmarkStart w:id="119" w:name="_6af82f4e55e03b11700e9e97db6be662f292ee7"/>
      <w:r>
        <w:rPr>
          <w:rFonts w:ascii="Times New Roman" w:hAnsi="Times New Roman" w:eastAsia="Times New Roman"/>
          <w:b/>
          <w:sz w:val="26"/>
        </w:rPr>
        <w:t xml:space="preserve">3.5 Data Quality and Preprocessing</w:t>
      </w:r>
      <w:bookmarkEnd w:id="119"/>
    </w:p>
    <w:p>
      <w:pPr>
        <w:pStyle w:val="BodyText"/>
        <w:spacing w:before="0" w:after="200" w:line="276" w:lineRule="auto"/>
        <w:jc w:val="both"/>
      </w:pPr>
      <w:r>
        <w:rPr>
          <w:rFonts w:ascii="Times New Roman" w:hAnsi="Times New Roman" w:eastAsia="Times New Roman"/>
          <w:b w:val="0"/>
          <w:sz w:val="24"/>
        </w:rPr>
        <w:t xml:space="preserve">Eligibility and missing-value rules address incomplete SEC reporting.</w:t>
      </w:r>
    </w:p>
    <w:p>
      <w:pPr>
        <w:pStyle w:val="Heading3"/>
      </w:pPr>
      <w:bookmarkStart w:id="120" w:name="_0d7087ead0f4de27cc12fe0c092bdd66f15e9ec"/>
      <w:r>
        <w:rPr>
          <w:rFonts w:ascii="Times New Roman" w:hAnsi="Times New Roman" w:eastAsia="Times New Roman"/>
          <w:b/>
          <w:sz w:val="24"/>
        </w:rPr>
        <w:t xml:space="preserve">3.5.1 Which Company-Months Are Included</w:t>
      </w:r>
      <w:bookmarkEnd w:id="120"/>
    </w:p>
    <w:p>
      <w:pPr>
        <w:pStyle w:val="BodyText"/>
        <w:spacing w:before="0" w:after="200" w:line="276" w:lineRule="auto"/>
        <w:jc w:val="both"/>
      </w:pPr>
      <w:r>
        <w:rPr>
          <w:rFonts w:ascii="Times New Roman" w:hAnsi="Times New Roman" w:eastAsia="Times New Roman"/>
          <w:b w:val="0"/>
          <w:sz w:val="24"/>
        </w:rPr>
        <w:t xml:space="preserve">A company-month enters the labeled dataset only when:</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company is still within its observed SEC reporting history</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total assets are available and greater than zero</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annual operating cash flow is available</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latest balance sheet is no more than 180 days old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latest annual cash-flow period ended no more than 540 days earlier</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60-day outcome can be determined using the rules in Section 3.3.</w:t>
      </w:r>
    </w:p>
    <w:p>
      <w:pPr>
        <w:pStyle w:val="BodyText"/>
        <w:spacing w:before="0" w:after="200" w:line="276" w:lineRule="auto"/>
        <w:jc w:val="both"/>
      </w:pPr>
      <w:r>
        <w:rPr>
          <w:rFonts w:ascii="Times New Roman" w:hAnsi="Times New Roman" w:eastAsia="Times New Roman"/>
          <w:b w:val="0"/>
          <w:sz w:val="24"/>
        </w:rPr>
        <w:t xml:space="preserve">The age limits exclude stale statements. Sequential filters produce the following counts:</w:t>
      </w:r>
    </w:p>
    <w:p>
      <w:pPr>
        <w:pStyle w:val="BodyText"/>
        <w:spacing w:before="0" w:after="200" w:line="276" w:lineRule="auto"/>
        <w:jc w:val="both"/>
      </w:pPr>
      <w:r>
        <w:rPr>
          <w:rFonts w:ascii="Times New Roman" w:hAnsi="Times New Roman" w:eastAsia="Times New Roman"/>
          <w:b w:val="0"/>
          <w:sz w:val="24"/>
        </w:rPr>
        <w:t xml:space="preserve">They are applied in order, so every removed row appears once. The reporting-history screen is separate from financial freshness: a company can remain an SEC filer yet lack the required recent accounting inputs.</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Filter</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Rows removed</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Rows remaining</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Initial company-month grid</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Not applicable</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1,958,220</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Remove months outside each company’s observed reporting history</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1,014,086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944,134</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Remove months without usable and sufficiently recent required financial data</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332,429</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611,705</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Remove months whose 60-day outcome cannot be labeled reliably</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46,483</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565,222</w:t>
            </w:r>
          </w:p>
        </w:tc>
      </w:tr>
    </w:tbl>
    <w:p>
      <w:pPr>
        <w:pStyle w:val="Caption"/>
        <w:spacing w:line="240" w:lineRule="auto"/>
        <w:jc w:val="center"/>
      </w:pPr>
      <w:r>
        <w:rPr>
          <w:rFonts w:ascii="Times New Roman" w:hAnsi="Times New Roman" w:eastAsia="Times New Roman"/>
          <w:i/>
          <w:iCs/>
          <w:sz w:val="24"/>
        </w:rPr>
        <w:t xml:space="preserve">Table 5. Sequential company-month filtering.</w:t>
      </w:r>
    </w:p>
    <w:p>
      <w:pPr>
        <w:pStyle w:val="BodyText"/>
        <w:spacing w:before="0" w:after="200" w:line="276" w:lineRule="auto"/>
        <w:jc w:val="both"/>
      </w:pPr>
      <w:r>
        <w:rPr>
          <w:rFonts w:ascii="Times New Roman" w:hAnsi="Times New Roman" w:eastAsia="Times New Roman"/>
          <w:b w:val="0"/>
          <w:i/>
          <w:iCs/>
          <w:sz w:val="24"/>
        </w:rPr>
        <w:t xml:space="preserve">Source: primary model experiment panel audit. These counts are calculated before the later time-based filtering described in Chapter 4.</w:t>
      </w:r>
    </w:p>
    <w:p>
      <w:pPr>
        <w:pStyle w:val="Heading3"/>
      </w:pPr>
      <w:bookmarkStart w:id="121" w:name="_b906e5130a9e38b39b0ed309ba77e57e5e7f3bc"/>
      <w:r>
        <w:rPr>
          <w:rFonts w:ascii="Times New Roman" w:hAnsi="Times New Roman" w:eastAsia="Times New Roman"/>
          <w:b/>
          <w:sz w:val="24"/>
        </w:rPr>
        <w:t xml:space="preserve">3.5.2 Missing Feature Values</w:t>
      </w:r>
      <w:bookmarkEnd w:id="121"/>
    </w:p>
    <w:p>
      <w:pPr>
        <w:pStyle w:val="BodyText"/>
        <w:spacing w:before="0" w:after="200" w:line="276" w:lineRule="auto"/>
        <w:jc w:val="both"/>
      </w:pPr>
      <w:r>
        <w:rPr>
          <w:rFonts w:ascii="Times New Roman" w:hAnsi="Times New Roman" w:eastAsia="Times New Roman"/>
          <w:b w:val="0"/>
          <w:sz w:val="24"/>
        </w:rPr>
        <w:t xml:space="preserve">Included rows may still lack individual predictors. Ratios are also missing when denominators are non-positive.</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Feature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Missing rows</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Share of 565,222 labeled rows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Current ratio</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27,431</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4.85%</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Cash to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51,043</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9.03%</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Liabilities to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52,646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9.31%</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Asset growth, 12 months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26,304</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4.65%</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Leverage change, 12 months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87,963</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15.56%</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Working capital to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27,296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4.83%</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Return on average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27,207</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4.81%</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5,515</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0.98%</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liabilities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59,801</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10.58%</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income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22,284</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3.94%</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operating cash flow</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Log assets</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0.00%</w:t>
            </w:r>
          </w:p>
        </w:tc>
      </w:tr>
    </w:tbl>
    <w:p>
      <w:pPr>
        <w:pStyle w:val="Caption"/>
        <w:spacing w:line="240" w:lineRule="auto"/>
        <w:jc w:val="center"/>
      </w:pPr>
      <w:r>
        <w:rPr>
          <w:rFonts w:ascii="Times New Roman" w:hAnsi="Times New Roman" w:eastAsia="Times New Roman"/>
          <w:i/>
          <w:iCs/>
          <w:sz w:val="24"/>
        </w:rPr>
        <w:t xml:space="preserve">Table 6. Missing values among the twelve model features.</w:t>
      </w:r>
    </w:p>
    <w:p>
      <w:pPr>
        <w:pStyle w:val="BodyText"/>
        <w:spacing w:before="0" w:after="200" w:line="276" w:lineRule="auto"/>
        <w:jc w:val="both"/>
      </w:pPr>
      <w:r>
        <w:rPr>
          <w:rFonts w:ascii="Times New Roman" w:hAnsi="Times New Roman" w:eastAsia="Times New Roman"/>
          <w:b w:val="0"/>
          <w:i/>
          <w:iCs/>
          <w:sz w:val="24"/>
        </w:rPr>
        <w:t xml:space="preserve">A company-month can be missing more than one feature, so these counts must not be added together.</w:t>
      </w:r>
    </w:p>
    <w:p>
      <w:pPr>
        <w:pStyle w:val="BodyText"/>
        <w:spacing w:before="0" w:after="200" w:line="276" w:lineRule="auto"/>
        <w:jc w:val="both"/>
      </w:pPr>
      <w:r>
        <w:rPr>
          <w:rFonts w:ascii="Times New Roman" w:hAnsi="Times New Roman" w:eastAsia="Times New Roman"/>
          <w:b w:val="0"/>
          <w:sz w:val="24"/>
        </w:rPr>
        <w:t xml:space="preserve">Leverage change has most missingness because it needs assets and liabilities at two dates. Training-sample medians replace missing predictors, missingness indicators preserve that fact, and the fitted medians are reused later. This enables modeling rather than estimating the missing accounting value. Negative amounts and extreme ratios are retained, leaving logistic models more sensitive to outliers.</w:t>
      </w:r>
    </w:p>
    <w:p>
      <w:pPr>
        <w:pStyle w:val="BodyText"/>
        <w:spacing w:before="0" w:after="200" w:line="276" w:lineRule="auto"/>
        <w:jc w:val="both"/>
      </w:pPr>
      <w:r>
        <w:rPr>
          <w:rFonts w:ascii="Times New Roman" w:hAnsi="Times New Roman" w:eastAsia="Times New Roman"/>
          <w:b w:val="0"/>
          <w:sz w:val="24"/>
        </w:rPr>
        <w:t xml:space="preserve">Re-estimating a median on later data would leak distributional information across time, so every chronological fold fits its own preprocessing. Missingness indicators also allow a model to distinguish an observed median-like value from an imputed one, although they may capture reporting conventions rather than financial condition.</w:t>
      </w:r>
    </w:p>
    <w:p>
      <w:pPr>
        <w:pStyle w:val="Heading3"/>
      </w:pPr>
      <w:bookmarkStart w:id="122" w:name="_6d19d87798570e9d1d8d4dd881fee0e6b6927d7"/>
      <w:r>
        <w:rPr>
          <w:rFonts w:ascii="Times New Roman" w:hAnsi="Times New Roman" w:eastAsia="Times New Roman"/>
          <w:b/>
          <w:sz w:val="24"/>
        </w:rPr>
        <w:t xml:space="preserve">3.5.3 Data Required for the Credit-Limit Policy</w:t>
      </w:r>
      <w:bookmarkEnd w:id="122"/>
    </w:p>
    <w:p>
      <w:pPr>
        <w:pStyle w:val="BodyText"/>
        <w:spacing w:before="0" w:after="200" w:line="276" w:lineRule="auto"/>
        <w:jc w:val="both"/>
      </w:pPr>
      <w:r>
        <w:rPr>
          <w:rFonts w:ascii="Times New Roman" w:hAnsi="Times New Roman" w:eastAsia="Times New Roman"/>
          <w:b w:val="0"/>
          <w:sz w:val="24"/>
        </w:rPr>
        <w:t xml:space="preserve">The credit-limit calculation has stricter requirements than the prediction model. It needs observed values for:</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total assets</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annual revenue</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annual operating cash flow</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cash.</w:t>
      </w:r>
    </w:p>
    <w:p>
      <w:pPr>
        <w:pStyle w:val="BodyText"/>
        <w:spacing w:before="0" w:after="200" w:line="276" w:lineRule="auto"/>
        <w:jc w:val="both"/>
      </w:pPr>
      <w:r>
        <w:rPr>
          <w:rFonts w:ascii="Times New Roman" w:hAnsi="Times New Roman" w:eastAsia="Times New Roman"/>
          <w:b w:val="0"/>
          <w:sz w:val="24"/>
        </w:rPr>
        <w:t xml:space="preserve">Because these inputs determine money, none is imputed. Assets must be positive. Revenue and cash must be non-negative, while operating cash flow may be negative. The policy sample can include a company whose known disclosure triggers a zero limit even though it is ineligible for new-event prediction.</w:t>
      </w:r>
    </w:p>
    <w:p>
      <w:pPr>
        <w:pStyle w:val="BodyText"/>
        <w:spacing w:before="0" w:after="200" w:line="276" w:lineRule="auto"/>
        <w:jc w:val="both"/>
      </w:pPr>
      <w:r>
        <w:rPr>
          <w:rFonts w:ascii="Times New Roman" w:hAnsi="Times New Roman" w:eastAsia="Times New Roman"/>
          <w:b w:val="0"/>
          <w:sz w:val="24"/>
        </w:rPr>
        <w:t xml:space="preserve">This stricter rule makes the policy sample smaller and different from the modeling sample. Substituting a median or zero would create a fictitious dollar capacity, whereas retaining negative operating cash flow is necessary for genuine weak-company cases.</w:t>
      </w:r>
    </w:p>
    <w:p>
      <w:pPr>
        <w:pStyle w:val="Heading2"/>
      </w:pPr>
      <w:bookmarkStart w:id="123" w:name="_1dd505245248036eb050a07803add631185bdb8"/>
      <w:r>
        <w:rPr>
          <w:rFonts w:ascii="Times New Roman" w:hAnsi="Times New Roman" w:eastAsia="Times New Roman"/>
          <w:b/>
          <w:sz w:val="26"/>
        </w:rPr>
        <w:t xml:space="preserve">3.6 Data Limitations</w:t>
      </w:r>
      <w:bookmarkEnd w:id="123"/>
    </w:p>
    <w:p>
      <w:pPr>
        <w:pStyle w:val="BodyText"/>
        <w:spacing w:before="0" w:after="200" w:line="276" w:lineRule="auto"/>
        <w:jc w:val="both"/>
      </w:pPr>
      <w:r>
        <w:rPr>
          <w:rFonts w:ascii="Times New Roman" w:hAnsi="Times New Roman" w:eastAsia="Times New Roman"/>
          <w:b w:val="0"/>
          <w:sz w:val="24"/>
        </w:rPr>
        <w:t xml:space="preserve">Quarterly or annual values repeat between monthly decisions, hiding interim changes. Accounting differences and reporting errors remain despite statement reconciliation. The outcome is a disclosure proxy, Item 1.03 is heterogeneous, Item 2.04 review lacks independent validation, and disrupted reporters may be excluded. Results therefore concern the defined disclosure, not exact default probability.</w:t>
      </w:r>
    </w:p>
    <w:p>
      <w:pPr>
        <w:pStyle w:val="Heading1"/>
        <w:pageBreakBefore/>
      </w:pPr>
      <w:bookmarkStart w:id="124" w:name="_94013d99a6c425a8117fa7a9f5aaec32dedfe64"/>
      <w:r>
        <w:rPr>
          <w:rFonts w:ascii="Times New Roman" w:hAnsi="Times New Roman" w:eastAsia="Times New Roman"/>
          <w:b/>
          <w:sz w:val="32"/>
        </w:rPr>
        <w:t xml:space="preserve">4 Risk Modeling and Validation Methodology</w:t>
      </w:r>
      <w:bookmarkEnd w:id="124"/>
    </w:p>
    <w:p>
      <w:pPr>
        <w:pStyle w:val="BodyText"/>
        <w:spacing w:before="0" w:after="200" w:line="276" w:lineRule="auto"/>
        <w:jc w:val="both"/>
      </w:pPr>
      <w:r>
        <w:rPr>
          <w:rFonts w:ascii="Times New Roman" w:hAnsi="Times New Roman" w:eastAsia="Times New Roman"/>
          <w:b w:val="0"/>
          <w:sz w:val="24"/>
        </w:rPr>
        <w:t xml:space="preserve">All models use the same features, outcome and timing rules. Appendix A gives exact settings.</w:t>
      </w:r>
    </w:p>
    <w:p>
      <w:pPr>
        <w:pStyle w:val="Heading2"/>
      </w:pPr>
      <w:bookmarkStart w:id="125" w:name="_49b7f1c0712cc87c915e6b75714e147d774ae02"/>
      <w:r>
        <w:rPr>
          <w:rFonts w:ascii="Times New Roman" w:hAnsi="Times New Roman" w:eastAsia="Times New Roman"/>
          <w:b/>
          <w:sz w:val="26"/>
        </w:rPr>
        <w:t xml:space="preserve">4.1 Modeling Framework</w:t>
      </w:r>
      <w:bookmarkEnd w:id="125"/>
    </w:p>
    <w:p>
      <w:pPr>
        <w:pStyle w:val="BodyText"/>
        <w:spacing w:before="0" w:after="200" w:line="276" w:lineRule="auto"/>
        <w:jc w:val="both"/>
      </w:pPr>
      <w:r>
        <w:rPr>
          <w:rFonts w:ascii="Times New Roman" w:hAnsi="Times New Roman" w:eastAsia="Times New Roman"/>
          <w:b w:val="0"/>
          <w:sz w:val="24"/>
        </w:rPr>
        <w:t xml:space="preserve">Models use the twelve Chapter 3 features but exclude identifiers, industry, future information and policy results. Fitting-sample medians and missingness indicators handle missing predictors. Logistic inputs are also scaled. Transformations remain fixed later. There is no synthetic oversampling or outlier capping, and monetary-policy inputs are never imputed with model medians.</w:t>
      </w:r>
    </w:p>
    <w:p>
      <w:pPr>
        <w:pStyle w:val="BodyText"/>
        <w:spacing w:before="0" w:after="200" w:line="276" w:lineRule="auto"/>
        <w:jc w:val="both"/>
      </w:pPr>
      <w:r>
        <w:rPr>
          <w:rFonts w:ascii="Times New Roman" w:hAnsi="Times New Roman" w:eastAsia="Times New Roman"/>
          <w:b w:val="0"/>
          <w:sz w:val="24"/>
        </w:rPr>
        <w:t xml:space="preserve">Keeping a common feature set makes family comparisons interpretable. Excluding company identifiers prevents direct memorization, although repeated financial patterns from the same issuer can still appear across stages as part of the monitoring design.</w:t>
      </w:r>
    </w:p>
    <w:p>
      <w:pPr>
        <w:pStyle w:val="Heading2"/>
      </w:pPr>
      <w:bookmarkStart w:id="126" w:name="_5690eac97de81b18a7b0021009490c6e736218c"/>
      <w:r>
        <w:rPr>
          <w:rFonts w:ascii="Times New Roman" w:hAnsi="Times New Roman" w:eastAsia="Times New Roman"/>
          <w:b/>
          <w:sz w:val="26"/>
        </w:rPr>
        <w:t xml:space="preserve">4.2 Models and Constant Benchmark</w:t>
      </w:r>
      <w:bookmarkEnd w:id="126"/>
    </w:p>
    <w:p>
      <w:pPr>
        <w:pStyle w:val="BodyText"/>
        <w:spacing w:before="0" w:after="200" w:line="276" w:lineRule="auto"/>
        <w:jc w:val="both"/>
      </w:pPr>
      <w:r>
        <w:rPr>
          <w:rFonts w:ascii="Times New Roman" w:hAnsi="Times New Roman" w:eastAsia="Times New Roman"/>
          <w:b w:val="0"/>
          <w:sz w:val="24"/>
        </w:rPr>
        <w:t xml:space="preserve">The constant benchmark assigns every observation the original training event rate. Logistic regression, L2 logistic regression, random forest and XGBoost are compared. The tree models can capture nonlinearities and interactions. Scaled, pre-calibration logistic coefficients are associations rather than causal or percentage-point effects, and a convergence warning stops fitting.</w:t>
      </w:r>
    </w:p>
    <w:p>
      <w:pPr>
        <w:pStyle w:val="BodyText"/>
        <w:spacing w:before="0" w:after="200" w:line="276" w:lineRule="auto"/>
        <w:jc w:val="both"/>
      </w:pPr>
      <w:r>
        <w:rPr>
          <w:rFonts w:ascii="Times New Roman" w:hAnsi="Times New Roman" w:eastAsia="Times New Roman"/>
          <w:b w:val="0"/>
          <w:sz w:val="24"/>
        </w:rPr>
        <w:t xml:space="preserve">The constant is a demanding probability benchmark for a rare outcome because assigning a small rate to every row can achieve a low Brier score. A candidate must therefore add ranking information without degrading probability error.</w:t>
      </w:r>
    </w:p>
    <w:p>
      <w:pPr>
        <w:pStyle w:val="Heading2"/>
      </w:pPr>
      <w:bookmarkStart w:id="127" w:name="_900f192366dcca64ae4a95d001ae892c2cb3da6"/>
      <w:r>
        <w:rPr>
          <w:rFonts w:ascii="Times New Roman" w:hAnsi="Times New Roman" w:eastAsia="Times New Roman"/>
          <w:b/>
          <w:sz w:val="26"/>
        </w:rPr>
        <w:t xml:space="preserve">4.3 Model Tuning</w:t>
      </w:r>
      <w:bookmarkEnd w:id="127"/>
    </w:p>
    <w:p>
      <w:pPr>
        <w:pStyle w:val="BodyText"/>
        <w:spacing w:before="0" w:after="200" w:line="276" w:lineRule="auto"/>
        <w:jc w:val="both"/>
      </w:pPr>
      <w:r>
        <w:rPr>
          <w:rFonts w:ascii="Times New Roman" w:hAnsi="Times New Roman" w:eastAsia="Times New Roman"/>
          <w:b w:val="0"/>
          <w:sz w:val="24"/>
        </w:rPr>
        <w:t xml:space="preserve">The search contains 24 candidates including weighted and unweighted versions: two logistic, six L2 logistic, eight random-forest and eight XGBoost settings.</w:t>
      </w:r>
    </w:p>
    <w:p>
      <w:pPr>
        <w:pStyle w:val="BodyText"/>
        <w:spacing w:before="0" w:after="200" w:line="276" w:lineRule="auto"/>
        <w:jc w:val="both"/>
      </w:pPr>
      <w:r>
        <w:rPr>
          <w:rFonts w:ascii="Times New Roman" w:hAnsi="Times New Roman" w:eastAsia="Times New Roman"/>
          <w:b w:val="0"/>
          <w:sz w:val="24"/>
        </w:rPr>
        <w:t xml:space="preserve">Candidate settings are compared using two expanding yearly tests:</w:t>
      </w:r>
    </w:p>
    <w:p>
      <w:pPr>
        <w:pStyle w:val="Compact"/>
        <w:numPr>
          <w:ilvl w:val="0"/>
          <w:numId w:val="1004"/>
        </w:numPr>
        <w:spacing w:before="0" w:after="40" w:line="276" w:lineRule="auto"/>
        <w:ind w:left="397" w:hanging="227"/>
        <w:jc w:val="left"/>
      </w:pPr>
      <w:r>
        <w:rPr>
          <w:rFonts w:ascii="Times New Roman" w:hAnsi="Times New Roman" w:eastAsia="Times New Roman"/>
          <w:b w:val="0"/>
          <w:sz w:val="24"/>
        </w:rPr>
        <w:t xml:space="preserve">Fit on 2011–2016 and evaluate on 2017.</w:t>
      </w:r>
    </w:p>
    <w:p>
      <w:pPr>
        <w:pStyle w:val="Compact"/>
        <w:numPr>
          <w:ilvl w:val="0"/>
          <w:numId w:val="1004"/>
        </w:numPr>
        <w:spacing w:before="0" w:after="40" w:line="276" w:lineRule="auto"/>
        <w:ind w:left="397" w:hanging="227"/>
        <w:jc w:val="left"/>
      </w:pPr>
      <w:r>
        <w:rPr>
          <w:rFonts w:ascii="Times New Roman" w:hAnsi="Times New Roman" w:eastAsia="Times New Roman"/>
          <w:b w:val="0"/>
          <w:sz w:val="24"/>
        </w:rPr>
        <w:t xml:space="preserve">Add eligible 2017 observations, refit, and evaluate on 2018.</w:t>
      </w:r>
    </w:p>
    <w:p>
      <w:pPr>
        <w:pStyle w:val="BodyText"/>
        <w:spacing w:before="0" w:after="200" w:line="276" w:lineRule="auto"/>
        <w:jc w:val="both"/>
      </w:pPr>
      <w:r>
        <w:rPr>
          <w:rFonts w:ascii="Times New Roman" w:hAnsi="Times New Roman" w:eastAsia="Times New Roman"/>
          <w:b w:val="0"/>
          <w:sz w:val="24"/>
        </w:rPr>
        <w:t xml:space="preserve">Each fold uses only labels then available and refits preprocessing. Candidates rank first by mean annual</w:t>
      </w:r>
      <w:r>
        <w:rPr>
          <w:rFonts w:ascii="Times New Roman" w:hAnsi="Times New Roman" w:eastAsia="Times New Roman"/>
          <w:b w:val="0"/>
          <w:sz w:val="24"/>
        </w:rPr>
        <w:t xml:space="preserve"> </w:t>
      </w:r>
      <w:r>
        <w:rPr>
          <w:rFonts w:ascii="Times New Roman" w:hAnsi="Times New Roman" w:eastAsia="Times New Roman"/>
          <w:b w:val="0"/>
          <w:bCs/>
          <w:sz w:val="24"/>
        </w:rPr>
        <w:t xml:space="preserve">average-precision lift</w:t>
      </w:r>
      <w:r>
        <w:rPr>
          <w:rFonts w:ascii="Times New Roman" w:hAnsi="Times New Roman" w:eastAsia="Times New Roman"/>
          <w:b w:val="0"/>
          <w:sz w:val="24"/>
        </w:rPr>
        <w:t xml:space="preserve"> </w:t>
      </w:r>
      <w:r>
        <w:rPr>
          <w:rFonts w:ascii="Times New Roman" w:hAnsi="Times New Roman" w:eastAsia="Times New Roman"/>
          <w:b w:val="0"/>
          <w:sz w:val="24"/>
        </w:rPr>
        <w:t xml:space="preserve">over the event rate, then by</w:t>
      </w:r>
      <w:r>
        <w:rPr>
          <w:rFonts w:ascii="Times New Roman" w:hAnsi="Times New Roman" w:eastAsia="Times New Roman"/>
          <w:b w:val="0"/>
          <w:sz w:val="24"/>
        </w:rPr>
        <w:t xml:space="preserve"> </w:t>
      </w:r>
      <w:r>
        <w:rPr>
          <w:rFonts w:ascii="Times New Roman" w:hAnsi="Times New Roman" w:eastAsia="Times New Roman"/>
          <w:b w:val="0"/>
          <w:bCs/>
          <w:sz w:val="24"/>
        </w:rPr>
        <w:t xml:space="preserve">Brier skill</w:t>
      </w:r>
      <w:r>
        <w:rPr>
          <w:rFonts w:ascii="Times New Roman" w:hAnsi="Times New Roman" w:eastAsia="Times New Roman"/>
          <w:b w:val="0"/>
          <w:sz w:val="24"/>
        </w:rPr>
        <w:t xml:space="preserve"> </w:t>
      </w:r>
      <w:r>
        <w:rPr>
          <w:rFonts w:ascii="Times New Roman" w:hAnsi="Times New Roman" w:eastAsia="Times New Roman"/>
          <w:b w:val="0"/>
          <w:sz w:val="24"/>
        </w:rPr>
        <w:t xml:space="preserve">relative to the fitting-sample rate and a fixed tie order. The winner within each family is refitted on combined training and tuning data.</w:t>
      </w:r>
    </w:p>
    <w:p>
      <w:pPr>
        <w:pStyle w:val="BodyText"/>
        <w:spacing w:before="0" w:after="200" w:line="276" w:lineRule="auto"/>
        <w:jc w:val="both"/>
      </w:pPr>
      <w:r>
        <w:rPr>
          <w:rFonts w:ascii="Times New Roman" w:hAnsi="Times New Roman" w:eastAsia="Times New Roman"/>
          <w:b w:val="0"/>
          <w:sz w:val="24"/>
        </w:rPr>
        <w:t xml:space="preserve">Lift and skill normalize each year against its own prevalence, limiting the influence of changes in the event rate. Expanding folds preserve temporal order and expose candidates to two distinct forward tests before a family setting is fixed.</w:t>
      </w:r>
    </w:p>
    <w:p>
      <w:pPr>
        <w:pStyle w:val="Heading2"/>
      </w:pPr>
      <w:bookmarkStart w:id="128" w:name="_d230503cfb58defe5907726cd796f3e5720fade"/>
      <w:r>
        <w:rPr>
          <w:rFonts w:ascii="Times New Roman" w:hAnsi="Times New Roman" w:eastAsia="Times New Roman"/>
          <w:b/>
          <w:sz w:val="26"/>
        </w:rPr>
        <w:t xml:space="preserve">4.4 Chronological Validation and Information Timing</w:t>
      </w:r>
      <w:bookmarkEnd w:id="128"/>
    </w:p>
    <w:p>
      <w:pPr>
        <w:pStyle w:val="BodyText"/>
        <w:spacing w:before="0" w:after="200" w:line="276" w:lineRule="auto"/>
        <w:jc w:val="both"/>
      </w:pPr>
      <w:r>
        <w:rPr>
          <w:rFonts w:ascii="Times New Roman" w:hAnsi="Times New Roman" w:eastAsia="Times New Roman"/>
          <w:b w:val="0"/>
          <w:sz w:val="24"/>
        </w:rPr>
        <w:t xml:space="preserve">Five ordered stages prevent future information from entering earlier predictions:</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Stage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Nominal decision dates</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Purpose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Training</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 2011–December 2016</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Fit candidate models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Tuning</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 2017–December 2018</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Choose settings within each model family</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Calibration</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January–December 2019</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Fit a possible probability correction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Selection</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 2020–December 2022</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Choose raw or corrected probabilities, alert thresholds and the final model</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Later evaluation</w:t>
            </w:r>
          </w:p>
        </w:tc>
        <w:tc>
          <w:tcPr>
            <w:tcW w:type="dxa" w:w="2987"/>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January 2023–December 2025</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Evaluate the frozen choices</w:t>
            </w:r>
          </w:p>
        </w:tc>
      </w:tr>
    </w:tbl>
    <w:p>
      <w:pPr>
        <w:pStyle w:val="Caption"/>
        <w:spacing w:line="240" w:lineRule="auto"/>
        <w:jc w:val="center"/>
      </w:pPr>
      <w:r>
        <w:rPr>
          <w:rFonts w:ascii="Times New Roman" w:hAnsi="Times New Roman" w:eastAsia="Times New Roman"/>
          <w:i/>
          <w:iCs/>
          <w:sz w:val="24"/>
        </w:rPr>
        <w:t xml:space="preserve">Table 7. Chronological model-development and evaluation stages.</w:t>
      </w:r>
    </w:p>
    <w:p>
      <w:pPr>
        <w:pStyle w:val="BodyText"/>
        <w:spacing w:before="0" w:after="200" w:line="276" w:lineRule="auto"/>
        <w:jc w:val="both"/>
      </w:pPr>
      <w:r>
        <w:rPr>
          <w:rFonts w:ascii="Times New Roman" w:hAnsi="Times New Roman" w:eastAsia="Times New Roman"/>
          <w:b w:val="0"/>
          <w:sz w:val="24"/>
        </w:rPr>
        <w:t xml:space="preserve">Rows whose complete label was unavailable before the next stage are purged. The data cutoff is 7 September 2026. Companies may span stages and contribute repeated months, reflecting monitoring rather than a separate borrower sample. One episode may create several positive rows, so rows, episodes and companies are reported separately. Although excluded from final model development, 2023–2025 was examined during earlier work. Evaluation is retrospective, not untouched external validation.</w:t>
      </w:r>
    </w:p>
    <w:p>
      <w:pPr>
        <w:pStyle w:val="BodyText"/>
        <w:spacing w:before="0" w:after="200" w:line="276" w:lineRule="auto"/>
        <w:jc w:val="both"/>
      </w:pPr>
      <w:r>
        <w:rPr>
          <w:rFonts w:ascii="Times New Roman" w:hAnsi="Times New Roman" w:eastAsia="Times New Roman"/>
          <w:b w:val="0"/>
          <w:sz w:val="24"/>
        </w:rPr>
        <w:t xml:space="preserve">Repeated company-months also mean that ordinary row-level intervals would understate dependence. The cluster bootstrap keeps a sampled company’s full history together, while chronological stages address time ordering. Neither device removes dependence caused by market-wide shocks.</w:t>
      </w:r>
    </w:p>
    <w:p>
      <w:pPr>
        <w:pStyle w:val="Heading2"/>
      </w:pPr>
      <w:bookmarkStart w:id="129" w:name="_f72b839005ca26c3170f6e07a57732d8d6b3833"/>
      <w:r>
        <w:rPr>
          <w:rFonts w:ascii="Times New Roman" w:hAnsi="Times New Roman" w:eastAsia="Times New Roman"/>
          <w:b/>
          <w:sz w:val="26"/>
        </w:rPr>
        <w:t xml:space="preserve">4.5 Rare Outcomes and the Alert Threshold</w:t>
      </w:r>
      <w:bookmarkEnd w:id="129"/>
    </w:p>
    <w:p>
      <w:pPr>
        <w:pStyle w:val="BodyText"/>
        <w:spacing w:before="0" w:after="200" w:line="276" w:lineRule="auto"/>
        <w:jc w:val="both"/>
      </w:pPr>
      <w:r>
        <w:rPr>
          <w:rFonts w:ascii="Times New Roman" w:hAnsi="Times New Roman" w:eastAsia="Times New Roman"/>
          <w:b w:val="0"/>
          <w:sz w:val="24"/>
        </w:rPr>
        <w:t xml:space="preserve">Balanced fitting weights can give the rare and common classes equal total influence:</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w</m:t>
            </m:r>
          </m:e>
          <m:sub>
            <m:r>
              <m:t>c</m:t>
            </m:r>
          </m:sub>
        </m:sSub>
        <m:r>
          <m:rPr>
            <m:sty m:val="p"/>
          </m:rPr>
          <m:t>=</m:t>
        </m:r>
        <m:f>
          <m:fPr>
            <m:type m:val="bar"/>
          </m:fPr>
          <m:num>
            <m:r>
              <m:t>N</m:t>
            </m:r>
          </m:num>
          <m:den>
            <m:r>
              <m:t>2</m:t>
            </m:r>
            <m:sSub>
              <m:e>
                <m:r>
                  <m:t>N</m:t>
                </m:r>
              </m:e>
              <m:sub>
                <m:r>
                  <m:t>c</m:t>
                </m:r>
              </m:sub>
            </m:sSub>
          </m:den>
        </m:f>
        <m:r>
          <m:rPr>
            <m:sty m:val="p"/>
          </m:rPr>
          <m:t>,</m:t>
        </m:r>
      </m:oMath>
      <w:r>
        <w:rPr>
          <w:rFonts w:ascii="Times New Roman" w:hAnsi="Times New Roman" w:eastAsia="Times New Roman"/>
          <w:sz w:val="24"/>
        </w:rPr>
        <w:tab/>
        <w:t>(4)</w:t>
      </w:r>
    </w:p>
    <w:p>
      <w:pPr>
        <w:pStyle w:val="BodyText"/>
        <w:spacing w:before="0" w:after="200" w:line="276" w:lineRule="auto"/>
        <w:jc w:val="both"/>
      </w:pPr>
      <w:r>
        <w:rPr>
          <w:rFonts w:ascii="Times New Roman" w:hAnsi="Times New Roman" w:eastAsia="Times New Roman"/>
          <w:b w:val="0"/>
          <w:sz w:val="24"/>
        </w:rPr>
        <w:t xml:space="preserve">where</w:t>
      </w:r>
      <w:r>
        <w:rPr>
          <w:rFonts w:ascii="Times New Roman" w:hAnsi="Times New Roman" w:eastAsia="Times New Roman"/>
          <w:b w:val="0"/>
          <w:sz w:val="24"/>
        </w:rPr>
        <w:t xml:space="preserve"> </w:t>
      </w:r>
      <m:oMath>
        <m:r>
          <m:t>N</m:t>
        </m:r>
      </m:oMath>
      <w:r>
        <w:rPr>
          <w:rFonts w:ascii="Times New Roman" w:hAnsi="Times New Roman" w:eastAsia="Times New Roman"/>
          <w:b w:val="0"/>
          <w:sz w:val="24"/>
        </w:rPr>
        <w:t xml:space="preserve"> </w:t>
      </w:r>
      <w:r>
        <w:rPr>
          <w:rFonts w:ascii="Times New Roman" w:hAnsi="Times New Roman" w:eastAsia="Times New Roman"/>
          <w:b w:val="0"/>
          <w:sz w:val="24"/>
        </w:rPr>
        <w:t xml:space="preserve">is the number of fitting observations,</w:t>
      </w:r>
      <w:r>
        <w:rPr>
          <w:rFonts w:ascii="Times New Roman" w:hAnsi="Times New Roman" w:eastAsia="Times New Roman"/>
          <w:b w:val="0"/>
          <w:sz w:val="24"/>
        </w:rPr>
        <w:t xml:space="preserve"> </w:t>
      </w:r>
      <m:oMath>
        <m:sSub>
          <m:e>
            <m:r>
              <m:t>N</m:t>
            </m:r>
          </m:e>
          <m:sub>
            <m:r>
              <m:t>c</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is the number in class</w:t>
      </w:r>
      <w:r>
        <w:rPr>
          <w:rFonts w:ascii="Times New Roman" w:hAnsi="Times New Roman" w:eastAsia="Times New Roman"/>
          <w:b w:val="0"/>
          <w:sz w:val="24"/>
        </w:rPr>
        <w:t xml:space="preserve"> </w:t>
      </w:r>
      <m:oMath>
        <m:r>
          <m:t>c</m:t>
        </m:r>
      </m:oMath>
      <w:r>
        <w:rPr>
          <w:rFonts w:ascii="Times New Roman" w:hAnsi="Times New Roman" w:eastAsia="Times New Roman"/>
          <w:b w:val="0"/>
          <w:sz w:val="24"/>
        </w:rPr>
        <w:t xml:space="preserve">, and</w:t>
      </w:r>
      <w:r>
        <w:rPr>
          <w:rFonts w:ascii="Times New Roman" w:hAnsi="Times New Roman" w:eastAsia="Times New Roman"/>
          <w:b w:val="0"/>
          <w:sz w:val="24"/>
        </w:rPr>
        <w:t xml:space="preserve"> </w:t>
      </w:r>
      <m:oMath>
        <m:sSub>
          <m:e>
            <m:r>
              <m:t>w</m:t>
            </m:r>
          </m:e>
          <m:sub>
            <m:r>
              <m:t>c</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is the weight for that class. The weights are calculated separately in each fitting sample. Calibration and evaluation keep the observed event distribution.</w:t>
      </w:r>
    </w:p>
    <w:p>
      <w:pPr>
        <w:pStyle w:val="BodyText"/>
        <w:spacing w:before="0" w:after="200" w:line="276" w:lineRule="auto"/>
        <w:jc w:val="both"/>
      </w:pPr>
      <w:r>
        <w:rPr>
          <w:rFonts w:ascii="Times New Roman" w:hAnsi="Times New Roman" w:eastAsia="Times New Roman"/>
          <w:b w:val="0"/>
          <w:sz w:val="24"/>
        </w:rPr>
        <w:t xml:space="preserve">Weighting is tuned because it can improve detection while distorting probabilities. Each family’s 2020–2022 threshold maximizes F1, with ties favoring recall and then the higher threshold, and is frozen for 2023–2025. Thresholds only report alerts. The policy uses continuous probability and is not an approval rule.</w:t>
      </w:r>
    </w:p>
    <w:p>
      <w:pPr>
        <w:pStyle w:val="BodyText"/>
        <w:spacing w:before="0" w:after="200" w:line="276" w:lineRule="auto"/>
        <w:jc w:val="both"/>
      </w:pPr>
      <w:r>
        <w:rPr>
          <w:rFonts w:ascii="Times New Roman" w:hAnsi="Times New Roman" w:eastAsia="Times New Roman"/>
          <w:b w:val="0"/>
          <w:sz w:val="24"/>
        </w:rPr>
        <w:t xml:space="preserve">Balanced weights are recalculated inside each fitting sample. Evaluation always retains the observed class distribution, avoiding artificially favorable precision or calibration results.</w:t>
      </w:r>
    </w:p>
    <w:p>
      <w:pPr>
        <w:pStyle w:val="Heading2"/>
      </w:pPr>
      <w:bookmarkStart w:id="130" w:name="_1f01cc66d8307f531e23b83a617fd156c994362"/>
      <w:r>
        <w:rPr>
          <w:rFonts w:ascii="Times New Roman" w:hAnsi="Times New Roman" w:eastAsia="Times New Roman"/>
          <w:b/>
          <w:sz w:val="26"/>
        </w:rPr>
        <w:t xml:space="preserve">4.6 Performance Measures and Uncertainty</w:t>
      </w:r>
      <w:bookmarkEnd w:id="130"/>
    </w:p>
    <w:p>
      <w:pPr>
        <w:pStyle w:val="BodyText"/>
        <w:spacing w:before="0" w:after="200" w:line="276" w:lineRule="auto"/>
        <w:jc w:val="both"/>
      </w:pPr>
      <w:r>
        <w:rPr>
          <w:rFonts w:ascii="Times New Roman" w:hAnsi="Times New Roman" w:eastAsia="Times New Roman"/>
          <w:b w:val="0"/>
          <w:bCs/>
          <w:sz w:val="24"/>
        </w:rPr>
        <w:t xml:space="preserve">ROC-AUC</w:t>
      </w:r>
      <w:r>
        <w:rPr>
          <w:rFonts w:ascii="Times New Roman" w:hAnsi="Times New Roman" w:eastAsia="Times New Roman"/>
          <w:b w:val="0"/>
          <w:sz w:val="24"/>
        </w:rPr>
        <w:t xml:space="preserve"> </w:t>
      </w:r>
      <w:r>
        <w:rPr>
          <w:rFonts w:ascii="Times New Roman" w:hAnsi="Times New Roman" w:eastAsia="Times New Roman"/>
          <w:b w:val="0"/>
          <w:sz w:val="24"/>
        </w:rPr>
        <w:t xml:space="preserve">measures how often an event observation ranks above a non-event observation. A value of 0.5 indicates no useful ranking and 1 indicates perfect ranking.</w:t>
      </w:r>
      <w:r>
        <w:rPr>
          <w:rFonts w:ascii="Times New Roman" w:hAnsi="Times New Roman" w:eastAsia="Times New Roman"/>
          <w:b w:val="0"/>
          <w:sz w:val="24"/>
        </w:rPr>
        <w:t xml:space="preserve"> </w:t>
      </w:r>
      <w:r>
        <w:rPr>
          <w:rFonts w:ascii="Times New Roman" w:hAnsi="Times New Roman" w:eastAsia="Times New Roman"/>
          <w:b w:val="0"/>
          <w:bCs/>
          <w:sz w:val="24"/>
        </w:rPr>
        <w:t xml:space="preserve">Average precision</w:t>
      </w:r>
      <w:r>
        <w:rPr>
          <w:rFonts w:ascii="Times New Roman" w:hAnsi="Times New Roman" w:eastAsia="Times New Roman"/>
          <w:b w:val="0"/>
          <w:sz w:val="24"/>
        </w:rPr>
        <w:t xml:space="preserve"> </w:t>
      </w:r>
      <w:r>
        <w:rPr>
          <w:rFonts w:ascii="Times New Roman" w:hAnsi="Times New Roman" w:eastAsia="Times New Roman"/>
          <w:b w:val="0"/>
          <w:sz w:val="24"/>
        </w:rPr>
        <w:t xml:space="preserve">summarizes precision and recall across thresholds and is compared with the event share, its no-skill baseline.</w:t>
      </w:r>
    </w:p>
    <w:p>
      <w:pPr>
        <w:pStyle w:val="BodyText"/>
        <w:spacing w:before="0" w:after="200" w:line="276" w:lineRule="auto"/>
        <w:jc w:val="both"/>
      </w:pPr>
      <w:r>
        <w:rPr>
          <w:rFonts w:ascii="Times New Roman" w:hAnsi="Times New Roman" w:eastAsia="Times New Roman"/>
          <w:b w:val="0"/>
          <w:sz w:val="24"/>
        </w:rPr>
        <w:t xml:space="preserve">ROC-AUC uses the full score distribution, whereas average precision focuses more directly on the rare positive class. Reporting both reduces the risk of treating a strong global ranking as sufficient evidence at the operationally relevant high-risk end.</w:t>
      </w:r>
    </w:p>
    <w:p>
      <w:pPr>
        <w:pStyle w:val="BodyText"/>
        <w:spacing w:before="0" w:after="200" w:line="276" w:lineRule="auto"/>
        <w:jc w:val="both"/>
      </w:pPr>
      <w:r>
        <w:rPr>
          <w:rFonts w:ascii="Times New Roman" w:hAnsi="Times New Roman" w:eastAsia="Times New Roman"/>
          <w:b w:val="0"/>
          <w:bCs/>
          <w:sz w:val="24"/>
        </w:rPr>
        <w:t xml:space="preserve">Brier score</w:t>
      </w:r>
      <w:r>
        <w:rPr>
          <w:rFonts w:ascii="Times New Roman" w:hAnsi="Times New Roman" w:eastAsia="Times New Roman"/>
          <w:b w:val="0"/>
          <w:sz w:val="24"/>
        </w:rPr>
        <w:t xml:space="preserve"> </w:t>
      </w:r>
      <w:r>
        <w:rPr>
          <w:rFonts w:ascii="Times New Roman" w:hAnsi="Times New Roman" w:eastAsia="Times New Roman"/>
          <w:b w:val="0"/>
          <w:sz w:val="24"/>
        </w:rPr>
        <w:t xml:space="preserve">measures the squared difference between predicted probabilities and observed outcomes: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B</m:t>
        </m:r>
        <m:r>
          <m:t>S</m:t>
        </m:r>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r>
              <m:rPr>
                <m:sty m:val="p"/>
              </m:rPr>
              <m:t>(</m:t>
            </m:r>
          </m:e>
        </m:nary>
        <m:sSub>
          <m:e>
            <m:r>
              <m:t>q</m:t>
            </m:r>
          </m:e>
          <m:sub>
            <m:r>
              <m:t>n</m:t>
            </m:r>
          </m:sub>
        </m:sSub>
        <m:r>
          <m:rPr>
            <m:sty m:val="p"/>
          </m:rPr>
          <m:t>−</m:t>
        </m:r>
        <m:sSub>
          <m:e>
            <m:r>
              <m:t>y</m:t>
            </m:r>
          </m:e>
          <m:sub>
            <m:r>
              <m:t>n</m:t>
            </m:r>
          </m:sub>
        </m:sSub>
        <m:sSup>
          <m:e>
            <m:r>
              <m:rPr>
                <m:sty m:val="p"/>
              </m:rPr>
              <m:t>)</m:t>
            </m:r>
          </m:e>
          <m:sup>
            <m:r>
              <m:t>2</m:t>
            </m:r>
          </m:sup>
        </m:sSup>
        <m:r>
          <m:rPr>
            <m:sty m:val="p"/>
          </m:rPr>
          <m:t>.</m:t>
        </m:r>
      </m:oMath>
      <w:r>
        <w:rPr>
          <w:rFonts w:ascii="Times New Roman" w:hAnsi="Times New Roman" w:eastAsia="Times New Roman"/>
          <w:sz w:val="24"/>
        </w:rPr>
        <w:tab/>
        <w:t>(5)</w:t>
      </w:r>
    </w:p>
    <w:p>
      <w:pPr>
        <w:pStyle w:val="BodyText"/>
        <w:spacing w:before="0" w:after="200" w:line="276" w:lineRule="auto"/>
        <w:jc w:val="both"/>
      </w:pPr>
      <w:r>
        <w:rPr>
          <w:rFonts w:ascii="Times New Roman" w:hAnsi="Times New Roman" w:eastAsia="Times New Roman"/>
          <w:b w:val="0"/>
          <w:sz w:val="24"/>
        </w:rPr>
        <w:t xml:space="preserve">Lower values are better. Because a constant low probability can score well on a rare outcome, models are compared with the training-rate benchmark.</w:t>
      </w:r>
    </w:p>
    <w:p>
      <w:pPr>
        <w:pStyle w:val="BodyText"/>
        <w:spacing w:before="0" w:after="200" w:line="276" w:lineRule="auto"/>
        <w:jc w:val="both"/>
      </w:pPr>
      <w:r>
        <w:rPr>
          <w:rFonts w:ascii="Times New Roman" w:hAnsi="Times New Roman" w:eastAsia="Times New Roman"/>
          <w:b w:val="0"/>
          <w:sz w:val="24"/>
        </w:rPr>
        <w:t xml:space="preserve">At the frozen alert threshold,</w:t>
      </w:r>
      <w:r>
        <w:rPr>
          <w:rFonts w:ascii="Times New Roman" w:hAnsi="Times New Roman" w:eastAsia="Times New Roman"/>
          <w:b w:val="0"/>
          <w:sz w:val="24"/>
        </w:rPr>
        <w:t xml:space="preserve"> </w:t>
      </w:r>
      <w:r>
        <w:rPr>
          <w:rFonts w:ascii="Times New Roman" w:hAnsi="Times New Roman" w:eastAsia="Times New Roman"/>
          <w:b w:val="0"/>
          <w:bCs/>
          <w:sz w:val="24"/>
        </w:rPr>
        <w:t xml:space="preserve">precision</w:t>
      </w:r>
      <w:r>
        <w:rPr>
          <w:rFonts w:ascii="Times New Roman" w:hAnsi="Times New Roman" w:eastAsia="Times New Roman"/>
          <w:b w:val="0"/>
          <w:sz w:val="24"/>
        </w:rPr>
        <w:t xml:space="preserve"> </w:t>
      </w:r>
      <w:r>
        <w:rPr>
          <w:rFonts w:ascii="Times New Roman" w:hAnsi="Times New Roman" w:eastAsia="Times New Roman"/>
          <w:b w:val="0"/>
          <w:sz w:val="24"/>
        </w:rPr>
        <w:t xml:space="preserve">is the share of alerts followed by an event, while</w:t>
      </w:r>
      <w:r>
        <w:rPr>
          <w:rFonts w:ascii="Times New Roman" w:hAnsi="Times New Roman" w:eastAsia="Times New Roman"/>
          <w:b w:val="0"/>
          <w:sz w:val="24"/>
        </w:rPr>
        <w:t xml:space="preserve"> </w:t>
      </w:r>
      <w:r>
        <w:rPr>
          <w:rFonts w:ascii="Times New Roman" w:hAnsi="Times New Roman" w:eastAsia="Times New Roman"/>
          <w:b w:val="0"/>
          <w:bCs/>
          <w:sz w:val="24"/>
        </w:rPr>
        <w:t xml:space="preserve">recall</w:t>
      </w:r>
      <w:r>
        <w:rPr>
          <w:rFonts w:ascii="Times New Roman" w:hAnsi="Times New Roman" w:eastAsia="Times New Roman"/>
          <w:b w:val="0"/>
          <w:sz w:val="24"/>
        </w:rPr>
        <w:t xml:space="preserve"> </w:t>
      </w:r>
      <w:r>
        <w:rPr>
          <w:rFonts w:ascii="Times New Roman" w:hAnsi="Times New Roman" w:eastAsia="Times New Roman"/>
          <w:b w:val="0"/>
          <w:sz w:val="24"/>
        </w:rPr>
        <w:t xml:space="preserve">is the share of actual positive observations detected by the alerts: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rPr>
            <m:sty m:val="p"/>
          </m:rPr>
          <m:t>Precision</m:t>
        </m:r>
        <m:r>
          <m:rPr>
            <m:sty m:val="p"/>
          </m:rPr>
          <m:t>=</m:t>
        </m:r>
        <m:f>
          <m:fPr>
            <m:type m:val="bar"/>
          </m:fPr>
          <m:num>
            <m:r>
              <m:t>T</m:t>
            </m:r>
            <m:r>
              <m:t>P</m:t>
            </m:r>
          </m:num>
          <m:den>
            <m:r>
              <m:t>T</m:t>
            </m:r>
            <m:r>
              <m:t>P</m:t>
            </m:r>
            <m:r>
              <m:rPr>
                <m:sty m:val="p"/>
              </m:rPr>
              <m:t>+</m:t>
            </m:r>
            <m:r>
              <m:t>F</m:t>
            </m:r>
            <m:r>
              <m:t>P</m:t>
            </m:r>
          </m:den>
        </m:f>
        <m:r>
          <m:rPr>
            <m:sty m:val="p"/>
          </m:rPr>
          <m:t>,</m:t>
        </m:r>
        <m:r>
          <m:t>  </m:t>
        </m:r>
        <m:r>
          <m:rPr>
            <m:sty m:val="p"/>
          </m:rPr>
          <m:t>Recall</m:t>
        </m:r>
        <m:r>
          <m:rPr>
            <m:sty m:val="p"/>
          </m:rPr>
          <m:t>=</m:t>
        </m:r>
        <m:f>
          <m:fPr>
            <m:type m:val="bar"/>
          </m:fPr>
          <m:num>
            <m:r>
              <m:t>T</m:t>
            </m:r>
            <m:r>
              <m:t>P</m:t>
            </m:r>
          </m:num>
          <m:den>
            <m:r>
              <m:t>T</m:t>
            </m:r>
            <m:r>
              <m:t>P</m:t>
            </m:r>
            <m:r>
              <m:rPr>
                <m:sty m:val="p"/>
              </m:rPr>
              <m:t>+</m:t>
            </m:r>
            <m:r>
              <m:t>F</m:t>
            </m:r>
            <m:r>
              <m:t>N</m:t>
            </m:r>
          </m:den>
        </m:f>
        <m:r>
          <m:rPr>
            <m:sty m:val="p"/>
          </m:rPr>
          <m:t>.</m:t>
        </m:r>
      </m:oMath>
      <w:r>
        <w:rPr>
          <w:rFonts w:ascii="Times New Roman" w:hAnsi="Times New Roman" w:eastAsia="Times New Roman"/>
          <w:sz w:val="24"/>
        </w:rPr>
        <w:tab/>
        <w:t>(6)</w:t>
      </w:r>
    </w:p>
    <w:p>
      <w:pPr>
        <w:pStyle w:val="BodyText"/>
        <w:spacing w:before="0" w:after="200" w:line="276" w:lineRule="auto"/>
        <w:jc w:val="both"/>
      </w:pPr>
      <w:r>
        <w:rPr>
          <w:rFonts w:ascii="Times New Roman" w:hAnsi="Times New Roman" w:eastAsia="Times New Roman"/>
          <w:b w:val="0"/>
          <w:bCs/>
          <w:sz w:val="24"/>
        </w:rPr>
        <w:t xml:space="preserve">F1</w:t>
      </w:r>
      <w:r>
        <w:rPr>
          <w:rFonts w:ascii="Times New Roman" w:hAnsi="Times New Roman" w:eastAsia="Times New Roman"/>
          <w:b w:val="0"/>
          <w:sz w:val="24"/>
        </w:rPr>
        <w:t xml:space="preserve"> </w:t>
      </w:r>
      <w:r>
        <w:rPr>
          <w:rFonts w:ascii="Times New Roman" w:hAnsi="Times New Roman" w:eastAsia="Times New Roman"/>
          <w:b w:val="0"/>
          <w:sz w:val="24"/>
        </w:rPr>
        <w:t xml:space="preserve">combines precision and recall into one value:</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F</m:t>
            </m:r>
          </m:e>
          <m:sub>
            <m:r>
              <m:t>1</m:t>
            </m:r>
          </m:sub>
        </m:sSub>
        <m:r>
          <m:rPr>
            <m:sty m:val="p"/>
          </m:rPr>
          <m:t>=</m:t>
        </m:r>
        <m:f>
          <m:fPr>
            <m:type m:val="bar"/>
          </m:fPr>
          <m:num>
            <m:r>
              <m:t>2</m:t>
            </m:r>
            <m:r>
              <m:t> </m:t>
            </m:r>
            <m:r>
              <m:rPr>
                <m:sty m:val="p"/>
              </m:rPr>
              <m:t>Precision</m:t>
            </m:r>
            <m:r>
              <m:t> </m:t>
            </m:r>
            <m:r>
              <m:rPr>
                <m:sty m:val="p"/>
              </m:rPr>
              <m:t>Recall</m:t>
            </m:r>
          </m:num>
          <m:den>
            <m:r>
              <m:rPr>
                <m:sty m:val="p"/>
              </m:rPr>
              <m:t>Precision</m:t>
            </m:r>
            <m:r>
              <m:rPr>
                <m:sty m:val="p"/>
              </m:rPr>
              <m:t>+</m:t>
            </m:r>
            <m:r>
              <m:rPr>
                <m:sty m:val="p"/>
              </m:rPr>
              <m:t>Recall</m:t>
            </m:r>
          </m:den>
        </m:f>
        <m:r>
          <m:rPr>
            <m:sty m:val="p"/>
          </m:rPr>
          <m:t>.</m:t>
        </m:r>
      </m:oMath>
      <w:r>
        <w:rPr>
          <w:rFonts w:ascii="Times New Roman" w:hAnsi="Times New Roman" w:eastAsia="Times New Roman"/>
          <w:sz w:val="24"/>
        </w:rPr>
        <w:tab/>
        <w:t>(7)</w:t>
      </w:r>
    </w:p>
    <w:p>
      <w:pPr>
        <w:pStyle w:val="BodyText"/>
        <w:spacing w:before="0" w:after="200" w:line="276" w:lineRule="auto"/>
        <w:jc w:val="both"/>
      </w:pPr>
      <w:r>
        <w:rPr>
          <w:rFonts w:ascii="Times New Roman" w:hAnsi="Times New Roman" w:eastAsia="Times New Roman"/>
          <w:b w:val="0"/>
          <w:sz w:val="24"/>
        </w:rPr>
        <w:t xml:space="preserve">Uncertainty is estimated with 500 company-cluster bootstrap repetitions. Companies are sampled with replacement, and all monthly observations for each sampled company remain together. The 2.5th and 97.5th percentiles form the reported 95% interval. Repetitions containing only one outcome class are excluded and counted.</w:t>
      </w:r>
    </w:p>
    <w:p>
      <w:pPr>
        <w:pStyle w:val="BodyText"/>
        <w:spacing w:before="0" w:after="200" w:line="276" w:lineRule="auto"/>
        <w:jc w:val="both"/>
      </w:pPr>
      <w:r>
        <w:rPr>
          <w:rFonts w:ascii="Times New Roman" w:hAnsi="Times New Roman" w:eastAsia="Times New Roman"/>
          <w:b w:val="0"/>
          <w:sz w:val="24"/>
        </w:rPr>
        <w:t xml:space="preserve">These are conditional empirical intervals around the frozen fitted model, not guarantees about another population or future economic regime.</w:t>
      </w:r>
      <w:r>
        <w:rPr>
          <w:rFonts w:ascii="Times New Roman" w:hAnsi="Times New Roman" w:eastAsia="Times New Roman"/>
          <w:b w:val="0"/>
          <w:sz w:val="24"/>
        </w:rPr>
        <w:t xml:space="preserve"> </w:t>
      </w:r>
      <w:r>
        <w:rPr>
          <w:rFonts w:ascii="Times New Roman" w:hAnsi="Times New Roman" w:eastAsia="Times New Roman"/>
          <w:b w:val="0"/>
          <w:sz w:val="24"/>
        </w:rPr>
        <w:t xml:space="preserve">The study also reports confusion matrices and episode detection. Bootstrap intervals preserve within-company dependence but exclude shared shocks, model-selection and sample-construction uncertainty, and label errors.</w:t>
      </w:r>
    </w:p>
    <w:p>
      <w:pPr>
        <w:pStyle w:val="Heading2"/>
      </w:pPr>
      <w:bookmarkStart w:id="131" w:name="_cdfe77d7836f79f31b35a4084374c4f8e3f3e10"/>
      <w:r>
        <w:rPr>
          <w:rFonts w:ascii="Times New Roman" w:hAnsi="Times New Roman" w:eastAsia="Times New Roman"/>
          <w:b/>
          <w:sz w:val="26"/>
        </w:rPr>
        <w:t xml:space="preserve">4.7 Probability Calibration</w:t>
      </w:r>
      <w:bookmarkEnd w:id="131"/>
    </w:p>
    <w:p>
      <w:pPr>
        <w:pStyle w:val="BodyText"/>
        <w:spacing w:before="0" w:after="200" w:line="276" w:lineRule="auto"/>
        <w:jc w:val="both"/>
      </w:pPr>
      <w:r>
        <w:rPr>
          <w:rFonts w:ascii="Times New Roman" w:hAnsi="Times New Roman" w:eastAsia="Times New Roman"/>
          <w:b w:val="0"/>
          <w:sz w:val="24"/>
        </w:rPr>
        <w:t xml:space="preserve">With each fitted model frozen, a sigmoid correction is learned on 2019 data. Raw and corrected probabilities are compared on 2020–2022 by Brier score, with ties favoring raw output. Later equal-width and quantile diagnostics compare predicted and observed rates without changing the model.</w:t>
      </w:r>
    </w:p>
    <w:p>
      <w:pPr>
        <w:pStyle w:val="BodyText"/>
        <w:spacing w:before="0" w:after="200" w:line="276" w:lineRule="auto"/>
        <w:jc w:val="both"/>
      </w:pPr>
      <w:r>
        <w:rPr>
          <w:rFonts w:ascii="Times New Roman" w:hAnsi="Times New Roman" w:eastAsia="Times New Roman"/>
          <w:b w:val="0"/>
          <w:sz w:val="24"/>
        </w:rPr>
        <w:t xml:space="preserve">Separating calibration from model fitting prevents the correction sample from influencing coefficients or tree structure. Quantile groups remain informative when rare-event probabilities occupy only a small part of the zero-to-one range.</w:t>
      </w:r>
    </w:p>
    <w:p>
      <w:pPr>
        <w:pStyle w:val="Heading2"/>
      </w:pPr>
      <w:bookmarkStart w:id="132" w:name="_bbddf986a26b2b9e5dfdaaab41a77d410302710"/>
      <w:r>
        <w:rPr>
          <w:rFonts w:ascii="Times New Roman" w:hAnsi="Times New Roman" w:eastAsia="Times New Roman"/>
          <w:b/>
          <w:sz w:val="26"/>
        </w:rPr>
        <w:t xml:space="preserve">4.8 Model Interpretation and Error Analysis</w:t>
      </w:r>
      <w:bookmarkEnd w:id="132"/>
    </w:p>
    <w:p>
      <w:pPr>
        <w:pStyle w:val="BodyText"/>
        <w:spacing w:before="0" w:after="200" w:line="276" w:lineRule="auto"/>
        <w:jc w:val="both"/>
      </w:pPr>
      <w:r>
        <w:rPr>
          <w:rFonts w:ascii="Times New Roman" w:hAnsi="Times New Roman" w:eastAsia="Times New Roman"/>
          <w:b w:val="0"/>
          <w:sz w:val="24"/>
        </w:rPr>
        <w:t xml:space="preserve">Scaled logistic coefficients are associative. For the selected model, each original feature is permuted 20 times in the selection period. The Brier increase measures reliance, although correlated features can share importance. Later error analysis reports false alerts, missed events, annual performance and episode detection without redesigning the model.</w:t>
      </w:r>
    </w:p>
    <w:p>
      <w:pPr>
        <w:pStyle w:val="BodyText"/>
        <w:spacing w:before="0" w:after="200" w:line="276" w:lineRule="auto"/>
        <w:jc w:val="both"/>
      </w:pPr>
      <w:r>
        <w:rPr>
          <w:rFonts w:ascii="Times New Roman" w:hAnsi="Times New Roman" w:eastAsia="Times New Roman"/>
          <w:b w:val="0"/>
          <w:sz w:val="24"/>
        </w:rPr>
        <w:t xml:space="preserve">Permutation is applied to original features after the full prediction pipeline, so it measures the fitted system rather than an isolated tree split. It remains a global diagnostic and does not explain any individual limit decision.</w:t>
      </w:r>
    </w:p>
    <w:p>
      <w:pPr>
        <w:pStyle w:val="Heading2"/>
      </w:pPr>
      <w:bookmarkStart w:id="133" w:name="_79220f616a884fe0afa9bb8eec6191dfe0924df"/>
      <w:r>
        <w:rPr>
          <w:rFonts w:ascii="Times New Roman" w:hAnsi="Times New Roman" w:eastAsia="Times New Roman"/>
          <w:b/>
          <w:sz w:val="26"/>
        </w:rPr>
        <w:t xml:space="preserve">4.9 Final Model Selection and Connection to the Policy</w:t>
      </w:r>
      <w:bookmarkEnd w:id="133"/>
    </w:p>
    <w:p>
      <w:pPr>
        <w:pStyle w:val="BodyText"/>
        <w:spacing w:before="0" w:after="200" w:line="276" w:lineRule="auto"/>
        <w:jc w:val="both"/>
      </w:pPr>
      <w:r>
        <w:rPr>
          <w:rFonts w:ascii="Times New Roman" w:hAnsi="Times New Roman" w:eastAsia="Times New Roman"/>
          <w:b w:val="0"/>
          <w:sz w:val="24"/>
        </w:rPr>
        <w:t xml:space="preserve">A model family can qualify only when, on the 2020–2022 selection period: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its average precision is higher than the observed event share</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its Brier score is lower than the constant prediction based on the original training event rate.</w:t>
      </w:r>
    </w:p>
    <w:p>
      <w:pPr>
        <w:pStyle w:val="BodyText"/>
        <w:spacing w:before="0" w:after="200" w:line="276" w:lineRule="auto"/>
        <w:jc w:val="both"/>
      </w:pPr>
      <w:r>
        <w:rPr>
          <w:rFonts w:ascii="Times New Roman" w:hAnsi="Times New Roman" w:eastAsia="Times New Roman"/>
          <w:b w:val="0"/>
          <w:sz w:val="24"/>
        </w:rPr>
        <w:t xml:space="preserve">Among qualifying families, the lowest Brier score wins. Exact ties favor logistic, L2 logistic, random forest, then XGBoost. The choice is saved before 2023–2025 prediction, does not imply statistical superiority and need not maximize average precision. The selected probability enters the policy without later refitting. Policy coefficients are separate assumptions.</w:t>
      </w:r>
    </w:p>
    <w:p>
      <w:pPr>
        <w:pStyle w:val="Heading1"/>
        <w:pageBreakBefore/>
      </w:pPr>
      <w:bookmarkStart w:id="134" w:name="_b3f9ecc519ac69a0df3ad2908ac67f3b82b0e19"/>
      <w:r>
        <w:rPr>
          <w:rFonts w:ascii="Times New Roman" w:hAnsi="Times New Roman" w:eastAsia="Times New Roman"/>
          <w:b/>
          <w:sz w:val="32"/>
        </w:rPr>
        <w:t xml:space="preserve">5 Credit Limit Methodology</w:t>
      </w:r>
      <w:bookmarkEnd w:id="134"/>
    </w:p>
    <w:p>
      <w:pPr>
        <w:pStyle w:val="BodyText"/>
        <w:spacing w:before="0" w:after="200" w:line="276" w:lineRule="auto"/>
        <w:jc w:val="both"/>
      </w:pPr>
      <w:r>
        <w:rPr>
          <w:rFonts w:ascii="Times New Roman" w:hAnsi="Times New Roman" w:eastAsia="Times New Roman"/>
          <w:b w:val="0"/>
          <w:sz w:val="24"/>
        </w:rPr>
        <w:t xml:space="preserve">The policy combines capacity, 60-day disclosure probability, an exposure cap and monthly rules to produce a hypothetical limit. A known qualifying disclosure sets it to zero.</w:t>
      </w:r>
    </w:p>
    <w:p>
      <w:pPr>
        <w:pStyle w:val="Heading2"/>
      </w:pPr>
      <w:bookmarkStart w:id="135" w:name="_cb3bf3c1af5828e277b5eb0501e9be1e10f1bb6"/>
      <w:r>
        <w:rPr>
          <w:rFonts w:ascii="Times New Roman" w:hAnsi="Times New Roman" w:eastAsia="Times New Roman"/>
          <w:b/>
          <w:sz w:val="26"/>
        </w:rPr>
        <w:t xml:space="preserve">5.1 Design Principles</w:t>
      </w:r>
      <w:bookmarkEnd w:id="135"/>
    </w:p>
    <w:p>
      <w:pPr>
        <w:pStyle w:val="BodyText"/>
        <w:spacing w:before="0" w:after="200" w:line="276" w:lineRule="auto"/>
        <w:jc w:val="both"/>
      </w:pPr>
      <w:r>
        <w:rPr>
          <w:rFonts w:ascii="Times New Roman" w:hAnsi="Times New Roman" w:eastAsia="Times New Roman"/>
          <w:b w:val="0"/>
          <w:sz w:val="24"/>
        </w:rPr>
        <w:t xml:space="preserve">The limit covers total facility exposure. Available new credit subtracts the outstanding balance. Low estimated risk cannot substitute for capacity. Inputs must be available on the review date and use one currency. Policy coefficients are sensitivity-tested assumptions, not fitted lending standards.</w:t>
      </w:r>
    </w:p>
    <w:p>
      <w:pPr>
        <w:pStyle w:val="BodyText"/>
        <w:spacing w:before="0" w:after="200" w:line="276" w:lineRule="auto"/>
        <w:jc w:val="both"/>
      </w:pPr>
      <w:r>
        <w:rPr>
          <w:rFonts w:ascii="Times New Roman" w:hAnsi="Times New Roman" w:eastAsia="Times New Roman"/>
          <w:b w:val="0"/>
          <w:sz w:val="24"/>
        </w:rPr>
        <w:t xml:space="preserve">The design seeks four properties: monotonic risk response, a capacity ceiling, an independent exposure cap and stable monthly changes. Every intermediate amount is retained so a reviewer can identify whether capacity, risk, the cap or an update safeguard determined the final result.</w:t>
      </w:r>
    </w:p>
    <w:p>
      <w:pPr>
        <w:pStyle w:val="Heading2"/>
      </w:pPr>
      <w:bookmarkStart w:id="136" w:name="_5a035dc8d6e42c113b520c30c0494db2c629425"/>
      <w:r>
        <w:rPr>
          <w:rFonts w:ascii="Times New Roman" w:hAnsi="Times New Roman" w:eastAsia="Times New Roman"/>
          <w:b/>
          <w:sz w:val="26"/>
        </w:rPr>
        <w:t xml:space="preserve">5.2 Capacity Proxy and Input Assumptions</w:t>
      </w:r>
      <w:bookmarkEnd w:id="136"/>
    </w:p>
    <w:p>
      <w:pPr>
        <w:pStyle w:val="BodyText"/>
        <w:spacing w:before="0" w:after="200" w:line="276" w:lineRule="auto"/>
        <w:jc w:val="both"/>
      </w:pPr>
      <w:r>
        <w:rPr>
          <w:rFonts w:ascii="Times New Roman" w:hAnsi="Times New Roman" w:eastAsia="Times New Roman"/>
          <w:b w:val="0"/>
          <w:sz w:val="24"/>
        </w:rPr>
        <w:t xml:space="preserve">The replay combines SEC values, model output and facility assumptions because filings omit cash eligibility, exact 60-day debt payments and the studied facility balance.</w:t>
      </w:r>
    </w:p>
    <w:p>
      <w:pPr>
        <w:pStyle w:val="BodyText"/>
        <w:spacing w:before="0" w:after="200" w:line="276" w:lineRule="auto"/>
        <w:jc w:val="both"/>
      </w:pPr>
      <w:r>
        <w:rPr>
          <w:rFonts w:ascii="Times New Roman" w:hAnsi="Times New Roman" w:eastAsia="Times New Roman"/>
          <w:b w:val="0"/>
          <w:sz w:val="24"/>
        </w:rPr>
        <w:t xml:space="preserve">Table 8 separates these categories explicitly. This prevents assumed zeros from being mistaken for reported borrower facts and makes sensitivity cases interpretable as policy scenarios rather than alternative historical observations.</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Input</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Value used in the replay</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Type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revenue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annual value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operating cash flow</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annual value for the same period</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Reported cash</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balance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Total assets</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balance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60-day disclosure probability</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Output from the selected prediction model</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Model estimate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Known qualifying disclosure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Derived from SEC filings available by the review date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SEC-derived indicator</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Eligible cash</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100% of reported cash in the base scenario</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Scenario assumption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Additional external debt payments due within 60 days</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Zero in the base scenario</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Scenario assumption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Maximum exposure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1% of reported assets in the base scenario</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Scenario assumption</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Outstanding facility exposure</w:t>
            </w:r>
          </w:p>
        </w:tc>
        <w:tc>
          <w:tcPr>
            <w:tcW w:type="dxa" w:w="2987"/>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Zero in the base scenario</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Scenario assumption</w:t>
            </w:r>
          </w:p>
        </w:tc>
      </w:tr>
    </w:tbl>
    <w:p>
      <w:pPr>
        <w:pStyle w:val="Caption"/>
        <w:spacing w:line="240" w:lineRule="auto"/>
        <w:jc w:val="center"/>
      </w:pPr>
      <w:r>
        <w:rPr>
          <w:rFonts w:ascii="Times New Roman" w:hAnsi="Times New Roman" w:eastAsia="Times New Roman"/>
          <w:i/>
          <w:iCs/>
          <w:sz w:val="24"/>
        </w:rPr>
        <w:t xml:space="preserve">Table 8. Observed and assumed inputs to the policy replay.</w:t>
      </w:r>
    </w:p>
    <w:p>
      <w:pPr>
        <w:pStyle w:val="BodyText"/>
        <w:spacing w:before="0" w:after="200" w:line="276" w:lineRule="auto"/>
        <w:jc w:val="both"/>
      </w:pPr>
      <w:r>
        <w:rPr>
          <w:rFonts w:ascii="Times New Roman" w:hAnsi="Times New Roman" w:eastAsia="Times New Roman"/>
          <w:b w:val="0"/>
          <w:sz w:val="24"/>
        </w:rPr>
        <w:t xml:space="preserve">For company</w:t>
      </w:r>
      <w:r>
        <w:rPr>
          <w:rFonts w:ascii="Times New Roman" w:hAnsi="Times New Roman" w:eastAsia="Times New Roman"/>
          <w:b w:val="0"/>
          <w:sz w:val="24"/>
        </w:rPr>
        <w:t xml:space="preserve"> </w:t>
      </w:r>
      <m:oMath>
        <m:r>
          <m:t>i</m:t>
        </m:r>
      </m:oMath>
      <w:r>
        <w:rPr>
          <w:rFonts w:ascii="Times New Roman" w:hAnsi="Times New Roman" w:eastAsia="Times New Roman"/>
          <w:b w:val="0"/>
          <w:sz w:val="24"/>
        </w:rPr>
        <w:t xml:space="preserve"> </w:t>
      </w:r>
      <w:r>
        <w:rPr>
          <w:rFonts w:ascii="Times New Roman" w:hAnsi="Times New Roman" w:eastAsia="Times New Roman"/>
          <w:b w:val="0"/>
          <w:sz w:val="24"/>
        </w:rPr>
        <w:t xml:space="preserve">at review date</w:t>
      </w:r>
      <w:r>
        <w:rPr>
          <w:rFonts w:ascii="Times New Roman" w:hAnsi="Times New Roman" w:eastAsia="Times New Roman"/>
          <w:b w:val="0"/>
          <w:sz w:val="24"/>
        </w:rPr>
        <w:t xml:space="preserve"> </w:t>
      </w:r>
      <m:oMath>
        <m:r>
          <m:t>t</m:t>
        </m:r>
      </m:oMath>
      <w:r>
        <w:rPr>
          <w:rFonts w:ascii="Times New Roman" w:hAnsi="Times New Roman" w:eastAsia="Times New Roman"/>
          <w:b w:val="0"/>
          <w:sz w:val="24"/>
        </w:rPr>
        <w:t xml:space="preserve">, define:</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m:oMath>
        <m:sSub>
          <m:e>
            <m:r>
              <m:t>R</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as annual revenue</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m:oMath>
        <m:sSub>
          <m:e>
            <m:r>
              <m:t>F</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as annual operating cash flow for the same period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m:oMath>
        <m:sSub>
          <m:e>
            <m:r>
              <m:t>B</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as cash considered eligible to support repayment</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m:oMath>
        <m:sSubSup>
          <m:e>
            <m:r>
              <m:t>D</m:t>
            </m:r>
          </m:e>
          <m:sub>
            <m:r>
              <m:t>i</m:t>
            </m:r>
            <m:r>
              <m:rPr>
                <m:sty m:val="p"/>
              </m:rPr>
              <m:t>,</m:t>
            </m:r>
            <m:r>
              <m:t>t</m:t>
            </m:r>
          </m:sub>
          <m:sup>
            <m:r>
              <m:t>60</m:t>
            </m:r>
          </m:sup>
        </m:sSubSup>
      </m:oMath>
      <w:r>
        <w:rPr>
          <w:rFonts w:ascii="Times New Roman" w:hAnsi="Times New Roman" w:eastAsia="Times New Roman"/>
          <w:b w:val="0"/>
          <w:sz w:val="24"/>
        </w:rPr>
        <w:t xml:space="preserve"> </w:t>
      </w:r>
      <w:r>
        <w:rPr>
          <w:rFonts w:ascii="Times New Roman" w:hAnsi="Times New Roman" w:eastAsia="Times New Roman"/>
          <w:b w:val="0"/>
          <w:sz w:val="24"/>
        </w:rPr>
        <w:t xml:space="preserve">as additional external debt payments due within the next 60 days.</w:t>
      </w:r>
    </w:p>
    <w:p>
      <w:pPr>
        <w:pStyle w:val="BodyText"/>
        <w:spacing w:before="0" w:after="200" w:line="276" w:lineRule="auto"/>
        <w:jc w:val="both"/>
      </w:pPr>
      <w:r>
        <w:rPr>
          <w:rFonts w:ascii="Times New Roman" w:hAnsi="Times New Roman" w:eastAsia="Times New Roman"/>
          <w:b w:val="0"/>
          <w:sz w:val="24"/>
        </w:rPr>
        <w:t xml:space="preserve">The policy first calculates a revenue-based amount:</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C</m:t>
            </m:r>
          </m:e>
          <m:sub>
            <m:r>
              <m:t>i</m:t>
            </m:r>
            <m:r>
              <m:rPr>
                <m:sty m:val="p"/>
              </m:rPr>
              <m:t>,</m:t>
            </m:r>
            <m:r>
              <m:t>t</m:t>
            </m:r>
          </m:sub>
          <m:sup>
            <m:r>
              <m:t>R</m:t>
            </m:r>
          </m:sup>
        </m:sSubSup>
        <m:r>
          <m:rPr>
            <m:sty m:val="p"/>
          </m:rPr>
          <m:t>=</m:t>
        </m:r>
        <m:r>
          <m:t>a</m:t>
        </m:r>
        <m:f>
          <m:fPr>
            <m:type m:val="bar"/>
          </m:fPr>
          <m:num>
            <m:sSub>
              <m:e>
                <m:r>
                  <m:t>R</m:t>
                </m:r>
              </m:e>
              <m:sub>
                <m:r>
                  <m:t>i</m:t>
                </m:r>
                <m:r>
                  <m:rPr>
                    <m:sty m:val="p"/>
                  </m:rPr>
                  <m:t>,</m:t>
                </m:r>
                <m:r>
                  <m:t>t</m:t>
                </m:r>
              </m:sub>
            </m:sSub>
          </m:num>
          <m:den>
            <m:r>
              <m:t>6</m:t>
            </m:r>
          </m:den>
        </m:f>
        <m:r>
          <m:rPr>
            <m:sty m:val="p"/>
          </m:rPr>
          <m:t>.</m:t>
        </m:r>
      </m:oMath>
      <w:r>
        <w:rPr>
          <w:rFonts w:ascii="Times New Roman" w:hAnsi="Times New Roman" w:eastAsia="Times New Roman"/>
          <w:sz w:val="24"/>
        </w:rPr>
        <w:tab/>
        <w:t>(8)</w:t>
      </w:r>
    </w:p>
    <w:p>
      <w:pPr>
        <w:pStyle w:val="BodyText"/>
        <w:spacing w:before="0" w:after="200" w:line="276" w:lineRule="auto"/>
        <w:jc w:val="both"/>
      </w:pPr>
      <w:r>
        <w:rPr>
          <w:rFonts w:ascii="Times New Roman" w:hAnsi="Times New Roman" w:eastAsia="Times New Roman"/>
          <w:b w:val="0"/>
          <w:sz w:val="24"/>
        </w:rPr>
        <w:t xml:space="preserve">It also calculates an amount based on operating cash flow and eligible cash:</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C</m:t>
            </m:r>
          </m:e>
          <m:sub>
            <m:r>
              <m:t>i</m:t>
            </m:r>
            <m:r>
              <m:rPr>
                <m:sty m:val="p"/>
              </m:rPr>
              <m:t>,</m:t>
            </m:r>
            <m:r>
              <m:t>t</m:t>
            </m:r>
          </m:sub>
          <m:sup>
            <m:r>
              <m:t>F</m:t>
            </m:r>
          </m:sup>
        </m:sSubSup>
        <m:r>
          <m:rPr>
            <m:sty m:val="p"/>
          </m:rPr>
          <m:t>=</m:t>
        </m:r>
        <m:r>
          <m:t>b</m:t>
        </m:r>
        <m:f>
          <m:fPr>
            <m:type m:val="bar"/>
          </m:fPr>
          <m:num>
            <m:r>
              <m:rPr>
                <m:sty m:val="p"/>
              </m:rPr>
              <m:t>max</m:t>
            </m:r>
            <m:r>
              <m:rPr>
                <m:sty m:val="p"/>
              </m:rPr>
              <m:t>(</m:t>
            </m:r>
            <m:sSub>
              <m:e>
                <m:r>
                  <m:t>F</m:t>
                </m:r>
              </m:e>
              <m:sub>
                <m:r>
                  <m:t>i</m:t>
                </m:r>
                <m:r>
                  <m:rPr>
                    <m:sty m:val="p"/>
                  </m:rPr>
                  <m:t>,</m:t>
                </m:r>
                <m:r>
                  <m:t>t</m:t>
                </m:r>
              </m:sub>
            </m:sSub>
            <m:r>
              <m:rPr>
                <m:sty m:val="p"/>
              </m:rPr>
              <m:t>,</m:t>
            </m:r>
            <m:r>
              <m:t>0</m:t>
            </m:r>
            <m:r>
              <m:rPr>
                <m:sty m:val="p"/>
              </m:rPr>
              <m:t>)</m:t>
            </m:r>
          </m:num>
          <m:den>
            <m:r>
              <m:t>6</m:t>
            </m:r>
          </m:den>
        </m:f>
        <m:r>
          <m:rPr>
            <m:sty m:val="p"/>
          </m:rPr>
          <m:t>+</m:t>
        </m:r>
        <m:r>
          <m:t>c</m:t>
        </m:r>
        <m:sSub>
          <m:e>
            <m:r>
              <m:t>B</m:t>
            </m:r>
          </m:e>
          <m:sub>
            <m:r>
              <m:t>i</m:t>
            </m:r>
            <m:r>
              <m:rPr>
                <m:sty m:val="p"/>
              </m:rPr>
              <m:t>,</m:t>
            </m:r>
            <m:r>
              <m:t>t</m:t>
            </m:r>
          </m:sub>
        </m:sSub>
        <m:r>
          <m:rPr>
            <m:sty m:val="p"/>
          </m:rPr>
          <m:t>.</m:t>
        </m:r>
      </m:oMath>
      <w:r>
        <w:rPr>
          <w:rFonts w:ascii="Times New Roman" w:hAnsi="Times New Roman" w:eastAsia="Times New Roman"/>
          <w:sz w:val="24"/>
        </w:rPr>
        <w:tab/>
        <w:t>(9)</w:t>
      </w:r>
    </w:p>
    <w:p>
      <w:pPr>
        <w:pStyle w:val="BodyText"/>
        <w:spacing w:before="0" w:after="200" w:line="276" w:lineRule="auto"/>
        <w:jc w:val="both"/>
      </w:pPr>
      <w:r>
        <w:rPr>
          <w:rFonts w:ascii="Times New Roman" w:hAnsi="Times New Roman" w:eastAsia="Times New Roman"/>
          <w:b w:val="0"/>
          <w:sz w:val="24"/>
        </w:rPr>
        <w:t xml:space="preserve">The capacity proxy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C</m:t>
            </m:r>
          </m:e>
          <m:sub>
            <m:r>
              <m:t>i</m:t>
            </m:r>
            <m:r>
              <m:rPr>
                <m:sty m:val="p"/>
              </m:rPr>
              <m:t>,</m:t>
            </m:r>
            <m:r>
              <m:t>t</m:t>
            </m:r>
          </m:sub>
        </m:sSub>
        <m:r>
          <m:rPr>
            <m:sty m:val="p"/>
          </m:rPr>
          <m:t>=</m:t>
        </m:r>
        <m:r>
          <m:rPr>
            <m:sty m:val="p"/>
          </m:rPr>
          <m:t>max</m:t>
        </m:r>
        <m:d>
          <m:dPr>
            <m:begChr m:val="("/>
            <m:sepChr m:val=""/>
            <m:endChr m:val=")"/>
            <m:grow/>
          </m:dPr>
          <m:e>
            <m:r>
              <m:t>0</m:t>
            </m:r>
            <m:r>
              <m:rPr>
                <m:sty m:val="p"/>
              </m:rPr>
              <m:t>,</m:t>
            </m:r>
            <m:r>
              <m:rPr>
                <m:sty m:val="p"/>
              </m:rPr>
              <m:t>min</m:t>
            </m:r>
            <m:r>
              <m:rPr>
                <m:sty m:val="p"/>
              </m:rPr>
              <m:t>(</m:t>
            </m:r>
            <m:sSubSup>
              <m:e>
                <m:r>
                  <m:t>C</m:t>
                </m:r>
              </m:e>
              <m:sub>
                <m:r>
                  <m:t>i</m:t>
                </m:r>
                <m:r>
                  <m:rPr>
                    <m:sty m:val="p"/>
                  </m:rPr>
                  <m:t>,</m:t>
                </m:r>
                <m:r>
                  <m:t>t</m:t>
                </m:r>
              </m:sub>
              <m:sup>
                <m:r>
                  <m:t>R</m:t>
                </m:r>
              </m:sup>
            </m:sSubSup>
            <m:r>
              <m:rPr>
                <m:sty m:val="p"/>
              </m:rPr>
              <m:t>,</m:t>
            </m:r>
            <m:sSubSup>
              <m:e>
                <m:r>
                  <m:t>C</m:t>
                </m:r>
              </m:e>
              <m:sub>
                <m:r>
                  <m:t>i</m:t>
                </m:r>
                <m:r>
                  <m:rPr>
                    <m:sty m:val="p"/>
                  </m:rPr>
                  <m:t>,</m:t>
                </m:r>
                <m:r>
                  <m:t>t</m:t>
                </m:r>
              </m:sub>
              <m:sup>
                <m:r>
                  <m:t>F</m:t>
                </m:r>
              </m:sup>
            </m:sSubSup>
            <m:r>
              <m:rPr>
                <m:sty m:val="p"/>
              </m:rPr>
              <m:t>)</m:t>
            </m:r>
            <m:r>
              <m:rPr>
                <m:sty m:val="p"/>
              </m:rPr>
              <m:t>−</m:t>
            </m:r>
            <m:sSubSup>
              <m:e>
                <m:r>
                  <m:t>D</m:t>
                </m:r>
              </m:e>
              <m:sub>
                <m:r>
                  <m:t>i</m:t>
                </m:r>
                <m:r>
                  <m:rPr>
                    <m:sty m:val="p"/>
                  </m:rPr>
                  <m:t>,</m:t>
                </m:r>
                <m:r>
                  <m:t>t</m:t>
                </m:r>
              </m:sub>
              <m:sup>
                <m:r>
                  <m:t>60</m:t>
                </m:r>
              </m:sup>
            </m:sSubSup>
          </m:e>
        </m:d>
        <m:r>
          <m:rPr>
            <m:sty m:val="p"/>
          </m:rPr>
          <m:t>.</m:t>
        </m:r>
      </m:oMath>
      <w:r>
        <w:rPr>
          <w:rFonts w:ascii="Times New Roman" w:hAnsi="Times New Roman" w:eastAsia="Times New Roman"/>
          <w:sz w:val="24"/>
        </w:rPr>
        <w:tab/>
        <w:t>(10)</w:t>
      </w:r>
    </w:p>
    <w:p>
      <w:pPr>
        <w:pStyle w:val="BodyText"/>
        <w:spacing w:before="0" w:after="200" w:line="276" w:lineRule="auto"/>
        <w:jc w:val="both"/>
      </w:pPr>
      <w:r>
        <w:rPr>
          <w:rFonts w:ascii="Times New Roman" w:hAnsi="Times New Roman" w:eastAsia="Times New Roman"/>
          <w:b w:val="0"/>
          <w:sz w:val="24"/>
        </w:rPr>
        <w:t xml:space="preserve">Taking the smaller amount prevents revenue from supporting a large limit when cash generation is weak. Near-term external payments then reduce it. Annual flows are divided by six as a 60-day approximation that ignores seasonality. Cash is a balance, and negative cash flow contributes zero. The illustrative values are</w:t>
      </w:r>
      <w:r>
        <w:rPr>
          <w:rFonts w:ascii="Times New Roman" w:hAnsi="Times New Roman" w:eastAsia="Times New Roman"/>
          <w:b w:val="0"/>
          <w:sz w:val="24"/>
        </w:rPr>
        <w:t xml:space="preserve"> </w:t>
      </w:r>
      <m:oMath>
        <m:r>
          <m:t>a</m:t>
        </m:r>
        <m:r>
          <m:rPr>
            <m:sty m:val="p"/>
          </m:rPr>
          <m:t>=</m:t>
        </m:r>
        <m:r>
          <m:t>0.20</m:t>
        </m:r>
      </m:oMath>
      <w:r>
        <w:rPr>
          <w:rFonts w:ascii="Times New Roman" w:hAnsi="Times New Roman" w:eastAsia="Times New Roman"/>
          <w:b w:val="0"/>
          <w:sz w:val="24"/>
        </w:rPr>
        <w:t xml:space="preserve">,</w:t>
      </w:r>
      <w:r>
        <w:rPr>
          <w:rFonts w:ascii="Times New Roman" w:hAnsi="Times New Roman" w:eastAsia="Times New Roman"/>
          <w:b w:val="0"/>
          <w:sz w:val="24"/>
        </w:rPr>
        <w:t xml:space="preserve"> </w:t>
      </w:r>
      <m:oMath>
        <m:r>
          <m:t>b</m:t>
        </m:r>
        <m:r>
          <m:rPr>
            <m:sty m:val="p"/>
          </m:rPr>
          <m:t>=</m:t>
        </m:r>
        <m:r>
          <m:t>0.50</m:t>
        </m:r>
      </m:oMath>
      <w:r>
        <w:rPr>
          <w:rFonts w:ascii="Times New Roman" w:hAnsi="Times New Roman" w:eastAsia="Times New Roman"/>
          <w:b w:val="0"/>
          <w:sz w:val="24"/>
        </w:rPr>
        <w:t xml:space="preserve"> </w:t>
      </w:r>
      <w:r>
        <w:rPr>
          <w:rFonts w:ascii="Times New Roman" w:hAnsi="Times New Roman" w:eastAsia="Times New Roman"/>
          <w:b w:val="0"/>
          <w:sz w:val="24"/>
        </w:rPr>
        <w:t xml:space="preserve">and</w:t>
      </w:r>
      <w:r>
        <w:rPr>
          <w:rFonts w:ascii="Times New Roman" w:hAnsi="Times New Roman" w:eastAsia="Times New Roman"/>
          <w:b w:val="0"/>
          <w:sz w:val="24"/>
        </w:rPr>
        <w:t xml:space="preserve"> </w:t>
      </w:r>
      <m:oMath>
        <m:r>
          <m:t>c</m:t>
        </m:r>
        <m:r>
          <m:rPr>
            <m:sty m:val="p"/>
          </m:rPr>
          <m:t>=</m:t>
        </m:r>
        <m:r>
          <m:t>0.10</m:t>
        </m:r>
      </m:oMath>
      <w:r>
        <w:rPr>
          <w:rFonts w:ascii="Times New Roman" w:hAnsi="Times New Roman" w:eastAsia="Times New Roman"/>
          <w:b w:val="0"/>
          <w:sz w:val="24"/>
        </w:rPr>
        <w:t xml:space="preserve">. Annual flows use one period. The base case treats all cash as eligible and sets unobserved</w:t>
      </w:r>
      <w:r>
        <w:rPr>
          <w:rFonts w:ascii="Times New Roman" w:hAnsi="Times New Roman" w:eastAsia="Times New Roman"/>
          <w:b w:val="0"/>
          <w:sz w:val="24"/>
        </w:rPr>
        <w:t xml:space="preserve"> </w:t>
      </w:r>
      <m:oMath>
        <m:sSubSup>
          <m:e>
            <m:r>
              <m:t>D</m:t>
            </m:r>
          </m:e>
          <m:sub>
            <m:r>
              <m:t>i</m:t>
            </m:r>
            <m:r>
              <m:rPr>
                <m:sty m:val="p"/>
              </m:rPr>
              <m:t>,</m:t>
            </m:r>
            <m:r>
              <m:t>t</m:t>
            </m:r>
          </m:sub>
          <m:sup>
            <m:r>
              <m:t>60</m:t>
            </m:r>
          </m:sup>
        </m:sSubSup>
        <m:r>
          <m:rPr>
            <m:sty m:val="p"/>
          </m:rPr>
          <m:t>=</m:t>
        </m:r>
        <m:r>
          <m:t>0</m:t>
        </m:r>
      </m:oMath>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 revenue branch represents activity scale, while the cash-flow-and-cash branch approximates resources that could support repayment. Taking their minimum prevents either branch from overriding weakness in the other. The formula is intentionally conservative in structure but its coefficients are not empirically validated lending standards.</w:t>
      </w:r>
    </w:p>
    <w:p>
      <w:pPr>
        <w:pStyle w:val="Heading2"/>
      </w:pPr>
      <w:bookmarkStart w:id="137" w:name="_9b1bdd14198f10dc607cdc6ccc7f6df7d2471de"/>
      <w:r>
        <w:rPr>
          <w:rFonts w:ascii="Times New Roman" w:hAnsi="Times New Roman" w:eastAsia="Times New Roman"/>
          <w:b/>
          <w:sz w:val="26"/>
        </w:rPr>
        <w:t xml:space="preserve">5.3 Risk Adjustment</w:t>
      </w:r>
      <w:bookmarkEnd w:id="137"/>
    </w:p>
    <w:p>
      <w:pPr>
        <w:pStyle w:val="BodyText"/>
        <w:spacing w:before="0" w:after="200" w:line="276" w:lineRule="auto"/>
        <w:jc w:val="both"/>
      </w:pPr>
      <w:r>
        <w:rPr>
          <w:rFonts w:ascii="Times New Roman" w:hAnsi="Times New Roman" w:eastAsia="Times New Roman"/>
          <w:b w:val="0"/>
          <w:sz w:val="24"/>
        </w:rPr>
        <w:t xml:space="preserve">Let</w:t>
      </w:r>
      <w:r>
        <w:rPr>
          <w:rFonts w:ascii="Times New Roman" w:hAnsi="Times New Roman" w:eastAsia="Times New Roman"/>
          <w:b w:val="0"/>
          <w:sz w:val="24"/>
        </w:rPr>
        <w:t xml:space="preserve"> </w:t>
      </w:r>
      <m:oMath>
        <m:sSub>
          <m:e>
            <m:r>
              <m:t>q</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be the selected model’s estimated probability of a qualifying disclosure within 60 days. The proposed risk multiplier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g</m:t>
        </m:r>
        <m:r>
          <m:rPr>
            <m:sty m:val="p"/>
          </m:rPr>
          <m:t>(</m:t>
        </m:r>
        <m:sSub>
          <m:e>
            <m:r>
              <m:t>q</m:t>
            </m:r>
          </m:e>
          <m:sub>
            <m:r>
              <m:t>i</m:t>
            </m:r>
            <m:r>
              <m:rPr>
                <m:sty m:val="p"/>
              </m:rPr>
              <m:t>,</m:t>
            </m:r>
            <m:r>
              <m:t>t</m:t>
            </m:r>
          </m:sub>
        </m:sSub>
        <m:r>
          <m:rPr>
            <m:sty m:val="p"/>
          </m:rPr>
          <m:t>)</m:t>
        </m:r>
        <m:r>
          <m:rPr>
            <m:sty m:val="p"/>
          </m:rPr>
          <m:t>=</m:t>
        </m:r>
        <m:r>
          <m:rPr>
            <m:sty m:val="p"/>
          </m:rPr>
          <m:t>exp</m:t>
        </m:r>
        <m:r>
          <m:rPr>
            <m:sty m:val="p"/>
          </m:rPr>
          <m:t>(</m:t>
        </m:r>
        <m:r>
          <m:rPr>
            <m:sty m:val="p"/>
          </m:rPr>
          <m:t>−</m:t>
        </m:r>
        <m:r>
          <m:t>k</m:t>
        </m:r>
        <m:sSub>
          <m:e>
            <m:r>
              <m:t>q</m:t>
            </m:r>
          </m:e>
          <m:sub>
            <m:r>
              <m:t>i</m:t>
            </m:r>
            <m:r>
              <m:rPr>
                <m:sty m:val="p"/>
              </m:rPr>
              <m:t>,</m:t>
            </m:r>
            <m:r>
              <m:t>t</m:t>
            </m:r>
          </m:sub>
        </m:sSub>
        <m:r>
          <m:rPr>
            <m:sty m:val="p"/>
          </m:rPr>
          <m:t>)</m:t>
        </m:r>
        <m:r>
          <m:rPr>
            <m:sty m:val="p"/>
          </m:rPr>
          <m:t>,</m:t>
        </m:r>
        <m:r>
          <m:t>  </m:t>
        </m:r>
        <m:r>
          <m:t>k</m:t>
        </m:r>
        <m:r>
          <m:rPr>
            <m:sty m:val="p"/>
          </m:rPr>
          <m:t>≥</m:t>
        </m:r>
        <m:r>
          <m:t>0</m:t>
        </m:r>
        <m:r>
          <m:rPr>
            <m:sty m:val="p"/>
          </m:rPr>
          <m:t>.</m:t>
        </m:r>
      </m:oMath>
      <w:r>
        <w:rPr>
          <w:rFonts w:ascii="Times New Roman" w:hAnsi="Times New Roman" w:eastAsia="Times New Roman"/>
          <w:sz w:val="24"/>
        </w:rPr>
        <w:tab/>
        <w:t>(11)</w:t>
      </w:r>
    </w:p>
    <w:p>
      <w:pPr>
        <w:pStyle w:val="BodyText"/>
        <w:spacing w:before="0" w:after="200" w:line="276" w:lineRule="auto"/>
        <w:jc w:val="both"/>
      </w:pPr>
      <w:r>
        <w:rPr>
          <w:rFonts w:ascii="Times New Roman" w:hAnsi="Times New Roman" w:eastAsia="Times New Roman"/>
          <w:b w:val="0"/>
          <w:sz w:val="24"/>
        </w:rPr>
        <w:t xml:space="preserve">The risk-adjusted capacity proxy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C</m:t>
            </m:r>
          </m:e>
          <m:sub>
            <m:r>
              <m:t>i</m:t>
            </m:r>
            <m:r>
              <m:rPr>
                <m:sty m:val="p"/>
              </m:rPr>
              <m:t>,</m:t>
            </m:r>
            <m:r>
              <m:t>t</m:t>
            </m:r>
          </m:sub>
          <m:sup>
            <m:r>
              <m:t>r</m:t>
            </m:r>
            <m:r>
              <m:t>i</m:t>
            </m:r>
            <m:r>
              <m:t>s</m:t>
            </m:r>
            <m:r>
              <m:t>k</m:t>
            </m:r>
          </m:sup>
        </m:sSubSup>
        <m:r>
          <m:rPr>
            <m:sty m:val="p"/>
          </m:rPr>
          <m:t>=</m:t>
        </m:r>
        <m:sSub>
          <m:e>
            <m:r>
              <m:t>C</m:t>
            </m:r>
          </m:e>
          <m:sub>
            <m:r>
              <m:t>i</m:t>
            </m:r>
            <m:r>
              <m:rPr>
                <m:sty m:val="p"/>
              </m:rPr>
              <m:t>,</m:t>
            </m:r>
            <m:r>
              <m:t>t</m:t>
            </m:r>
          </m:sub>
        </m:sSub>
        <m:r>
          <m:rPr>
            <m:sty m:val="p"/>
          </m:rPr>
          <m:t>exp</m:t>
        </m:r>
        <m:r>
          <m:rPr>
            <m:sty m:val="p"/>
          </m:rPr>
          <m:t>(</m:t>
        </m:r>
        <m:r>
          <m:rPr>
            <m:sty m:val="p"/>
          </m:rPr>
          <m:t>−</m:t>
        </m:r>
        <m:r>
          <m:t>k</m:t>
        </m:r>
        <m:sSub>
          <m:e>
            <m:r>
              <m:t>q</m:t>
            </m:r>
          </m:e>
          <m:sub>
            <m:r>
              <m:t>i</m:t>
            </m:r>
            <m:r>
              <m:rPr>
                <m:sty m:val="p"/>
              </m:rPr>
              <m:t>,</m:t>
            </m:r>
            <m:r>
              <m:t>t</m:t>
            </m:r>
          </m:sub>
        </m:sSub>
        <m:r>
          <m:rPr>
            <m:sty m:val="p"/>
          </m:rPr>
          <m:t>)</m:t>
        </m:r>
        <m:r>
          <m:rPr>
            <m:sty m:val="p"/>
          </m:rPr>
          <m:t>.</m:t>
        </m:r>
      </m:oMath>
      <w:r>
        <w:rPr>
          <w:rFonts w:ascii="Times New Roman" w:hAnsi="Times New Roman" w:eastAsia="Times New Roman"/>
          <w:sz w:val="24"/>
        </w:rPr>
        <w:tab/>
        <w:t>(12)</w:t>
      </w:r>
    </w:p>
    <w:p>
      <w:pPr>
        <w:pStyle w:val="BodyText"/>
        <w:spacing w:before="0" w:after="200" w:line="276" w:lineRule="auto"/>
        <w:jc w:val="both"/>
      </w:pPr>
      <w:r>
        <w:rPr>
          <w:rFonts w:ascii="Times New Roman" w:hAnsi="Times New Roman" w:eastAsia="Times New Roman"/>
          <w:b w:val="0"/>
          <w:sz w:val="24"/>
        </w:rPr>
        <w:t xml:space="preserve">The multiplier lies in</w:t>
      </w:r>
      <w:r>
        <w:rPr>
          <w:rFonts w:ascii="Times New Roman" w:hAnsi="Times New Roman" w:eastAsia="Times New Roman"/>
          <w:b w:val="0"/>
          <w:sz w:val="24"/>
        </w:rPr>
        <w:t xml:space="preserve"> </w:t>
      </w:r>
      <m:oMath>
        <m:r>
          <m:rPr>
            <m:sty m:val="p"/>
          </m:rPr>
          <m:t>(</m:t>
        </m:r>
        <m:r>
          <m:t>0</m:t>
        </m:r>
        <m:r>
          <m:rPr>
            <m:sty m:val="p"/>
          </m:rPr>
          <m:t>,</m:t>
        </m:r>
        <m:r>
          <m:t>1</m:t>
        </m:r>
        <m:r>
          <m:rPr>
            <m:sty m:val="p"/>
          </m:rPr>
          <m:t>]</m:t>
        </m:r>
      </m:oMath>
      <w:r>
        <w:rPr>
          <w:rFonts w:ascii="Times New Roman" w:hAnsi="Times New Roman" w:eastAsia="Times New Roman"/>
          <w:b w:val="0"/>
          <w:sz w:val="24"/>
        </w:rPr>
        <w:t xml:space="preserve">. Larger</w:t>
      </w:r>
      <w:r>
        <w:rPr>
          <w:rFonts w:ascii="Times New Roman" w:hAnsi="Times New Roman" w:eastAsia="Times New Roman"/>
          <w:b w:val="0"/>
          <w:sz w:val="24"/>
        </w:rPr>
        <w:t xml:space="preserve"> </w:t>
      </w:r>
      <m:oMath>
        <m:r>
          <m:t>k</m:t>
        </m:r>
      </m:oMath>
      <w:r>
        <w:rPr>
          <w:rFonts w:ascii="Times New Roman" w:hAnsi="Times New Roman" w:eastAsia="Times New Roman"/>
          <w:b w:val="0"/>
          <w:sz w:val="24"/>
        </w:rPr>
        <w:t xml:space="preserve"> </w:t>
      </w:r>
      <w:r>
        <w:rPr>
          <w:rFonts w:ascii="Times New Roman" w:hAnsi="Times New Roman" w:eastAsia="Times New Roman"/>
          <w:b w:val="0"/>
          <w:sz w:val="24"/>
        </w:rPr>
        <w:t xml:space="preserve">strengthens the reduction and</w:t>
      </w:r>
      <w:r>
        <w:rPr>
          <w:rFonts w:ascii="Times New Roman" w:hAnsi="Times New Roman" w:eastAsia="Times New Roman"/>
          <w:b w:val="0"/>
          <w:sz w:val="24"/>
        </w:rPr>
        <w:t xml:space="preserve"> </w:t>
      </w:r>
      <m:oMath>
        <m:r>
          <m:t>k</m:t>
        </m:r>
        <m:r>
          <m:rPr>
            <m:sty m:val="p"/>
          </m:rPr>
          <m:t>=</m:t>
        </m:r>
        <m:r>
          <m:t>0</m:t>
        </m:r>
      </m:oMath>
      <w:r>
        <w:rPr>
          <w:rFonts w:ascii="Times New Roman" w:hAnsi="Times New Roman" w:eastAsia="Times New Roman"/>
          <w:b w:val="0"/>
          <w:sz w:val="24"/>
        </w:rPr>
        <w:t xml:space="preserve"> </w:t>
      </w:r>
      <w:r>
        <w:rPr>
          <w:rFonts w:ascii="Times New Roman" w:hAnsi="Times New Roman" w:eastAsia="Times New Roman"/>
          <w:b w:val="0"/>
          <w:sz w:val="24"/>
        </w:rPr>
        <w:t xml:space="preserve">removes it. With illustrative</w:t>
      </w:r>
      <w:r>
        <w:rPr>
          <w:rFonts w:ascii="Times New Roman" w:hAnsi="Times New Roman" w:eastAsia="Times New Roman"/>
          <w:b w:val="0"/>
          <w:sz w:val="24"/>
        </w:rPr>
        <w:t xml:space="preserve"> </w:t>
      </w:r>
      <m:oMath>
        <m:r>
          <m:t>k</m:t>
        </m:r>
        <m:r>
          <m:rPr>
            <m:sty m:val="p"/>
          </m:rPr>
          <m:t>=</m:t>
        </m:r>
        <m:r>
          <m:t>10</m:t>
        </m:r>
      </m:oMath>
      <w:r>
        <w:rPr>
          <w:rFonts w:ascii="Times New Roman" w:hAnsi="Times New Roman" w:eastAsia="Times New Roman"/>
          <w:b w:val="0"/>
          <w:sz w:val="24"/>
        </w:rPr>
        <w:t xml:space="preserve">, a 5% probability retains about 61% of capacity. Sensitivity uses 5 and 20. This rule is neither facility PD nor an estimated optimal exposure.</w:t>
      </w:r>
    </w:p>
    <w:p>
      <w:pPr>
        <w:pStyle w:val="BodyText"/>
        <w:spacing w:before="0" w:after="200" w:line="276" w:lineRule="auto"/>
        <w:jc w:val="both"/>
      </w:pPr>
      <w:r>
        <w:rPr>
          <w:rFonts w:ascii="Times New Roman" w:hAnsi="Times New Roman" w:eastAsia="Times New Roman"/>
          <w:b w:val="0"/>
          <w:sz w:val="24"/>
        </w:rPr>
        <w:t xml:space="preserve">The exponential form is continuous and strictly decreasing, so a higher estimated probability can never raise the limit when other inputs are fixed. It also avoids a single approval threshold, although the choice of</w:t>
      </w:r>
      <w:r>
        <w:rPr>
          <w:rFonts w:ascii="Times New Roman" w:hAnsi="Times New Roman" w:eastAsia="Times New Roman"/>
          <w:b w:val="0"/>
          <w:sz w:val="24"/>
        </w:rPr>
        <w:t xml:space="preserve"> </w:t>
      </w:r>
      <m:oMath>
        <m:r>
          <m:t>k</m:t>
        </m:r>
      </m:oMath>
      <w:r>
        <w:rPr>
          <w:rFonts w:ascii="Times New Roman" w:hAnsi="Times New Roman" w:eastAsia="Times New Roman"/>
          <w:b w:val="0"/>
          <w:sz w:val="24"/>
        </w:rPr>
        <w:t xml:space="preserve"> </w:t>
      </w:r>
      <w:r>
        <w:rPr>
          <w:rFonts w:ascii="Times New Roman" w:hAnsi="Times New Roman" w:eastAsia="Times New Roman"/>
          <w:b w:val="0"/>
          <w:sz w:val="24"/>
        </w:rPr>
        <w:t xml:space="preserve">determines how strongly small rare-event probabilities affect money.</w:t>
      </w:r>
    </w:p>
    <w:p>
      <w:pPr>
        <w:pStyle w:val="Heading2"/>
      </w:pPr>
      <w:bookmarkStart w:id="138" w:name="_07fcbdebaa7b6409725404b0eb8ad4641b08ac0"/>
      <w:r>
        <w:rPr>
          <w:rFonts w:ascii="Times New Roman" w:hAnsi="Times New Roman" w:eastAsia="Times New Roman"/>
          <w:b/>
          <w:sz w:val="26"/>
        </w:rPr>
        <w:t xml:space="preserve">5.4 Exposure Cap and Existing Exposure</w:t>
      </w:r>
      <w:bookmarkEnd w:id="138"/>
    </w:p>
    <w:p>
      <w:pPr>
        <w:pStyle w:val="BodyText"/>
        <w:spacing w:before="0" w:after="200" w:line="276" w:lineRule="auto"/>
        <w:jc w:val="both"/>
      </w:pPr>
      <w:r>
        <w:rPr>
          <w:rFonts w:ascii="Times New Roman" w:hAnsi="Times New Roman" w:eastAsia="Times New Roman"/>
          <w:b w:val="0"/>
          <w:sz w:val="24"/>
        </w:rPr>
        <w:t xml:space="preserve">Let</w:t>
      </w:r>
      <w:r>
        <w:rPr>
          <w:rFonts w:ascii="Times New Roman" w:hAnsi="Times New Roman" w:eastAsia="Times New Roman"/>
          <w:b w:val="0"/>
          <w:sz w:val="24"/>
        </w:rPr>
        <w:t xml:space="preserve"> </w:t>
      </w:r>
      <m:oMath>
        <m:sSub>
          <m:e>
            <m:r>
              <m:t>K</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be the maximum exposure permitted by the research policy. The preliminary limit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L</m:t>
            </m:r>
          </m:e>
          <m:sub>
            <m:r>
              <m:t>i</m:t>
            </m:r>
            <m:r>
              <m:rPr>
                <m:sty m:val="p"/>
              </m:rPr>
              <m:t>,</m:t>
            </m:r>
            <m:r>
              <m:t>t</m:t>
            </m:r>
          </m:sub>
          <m:sup>
            <m:r>
              <m:rPr>
                <m:sty m:val="p"/>
              </m:rPr>
              <m:t>*</m:t>
            </m:r>
          </m:sup>
        </m:sSubSup>
        <m:r>
          <m:rPr>
            <m:sty m:val="p"/>
          </m:rPr>
          <m:t>=</m:t>
        </m:r>
        <m:r>
          <m:rPr>
            <m:sty m:val="p"/>
          </m:rPr>
          <m:t>min</m:t>
        </m:r>
        <m:d>
          <m:dPr>
            <m:begChr m:val="("/>
            <m:sepChr m:val=""/>
            <m:endChr m:val=")"/>
            <m:grow/>
          </m:dPr>
          <m:e>
            <m:sSub>
              <m:e>
                <m:r>
                  <m:t>K</m:t>
                </m:r>
              </m:e>
              <m:sub>
                <m:r>
                  <m:t>i</m:t>
                </m:r>
                <m:r>
                  <m:rPr>
                    <m:sty m:val="p"/>
                  </m:rPr>
                  <m:t>,</m:t>
                </m:r>
                <m:r>
                  <m:t>t</m:t>
                </m:r>
              </m:sub>
            </m:sSub>
            <m:r>
              <m:rPr>
                <m:sty m:val="p"/>
              </m:rPr>
              <m:t>,</m:t>
            </m:r>
            <m:sSubSup>
              <m:e>
                <m:r>
                  <m:t>C</m:t>
                </m:r>
              </m:e>
              <m:sub>
                <m:r>
                  <m:t>i</m:t>
                </m:r>
                <m:r>
                  <m:rPr>
                    <m:sty m:val="p"/>
                  </m:rPr>
                  <m:t>,</m:t>
                </m:r>
                <m:r>
                  <m:t>t</m:t>
                </m:r>
              </m:sub>
              <m:sup>
                <m:r>
                  <m:t>r</m:t>
                </m:r>
                <m:r>
                  <m:t>i</m:t>
                </m:r>
                <m:r>
                  <m:t>s</m:t>
                </m:r>
                <m:r>
                  <m:t>k</m:t>
                </m:r>
              </m:sup>
            </m:sSubSup>
          </m:e>
        </m:d>
        <m:r>
          <m:rPr>
            <m:sty m:val="p"/>
          </m:rPr>
          <m:t>.</m:t>
        </m:r>
      </m:oMath>
      <w:r>
        <w:rPr>
          <w:rFonts w:ascii="Times New Roman" w:hAnsi="Times New Roman" w:eastAsia="Times New Roman"/>
          <w:sz w:val="24"/>
        </w:rPr>
        <w:tab/>
        <w:t>(13)</w:t>
      </w:r>
    </w:p>
    <w:p>
      <w:pPr>
        <w:pStyle w:val="BodyText"/>
        <w:spacing w:before="0" w:after="200" w:line="276" w:lineRule="auto"/>
        <w:jc w:val="both"/>
      </w:pPr>
      <w:r>
        <w:rPr>
          <w:rFonts w:ascii="Times New Roman" w:hAnsi="Times New Roman" w:eastAsia="Times New Roman"/>
          <w:b w:val="0"/>
          <w:sz w:val="24"/>
        </w:rPr>
        <w:t xml:space="preserve">The worked example caps exposure at USD 150,000. The replay uses 1% of assets and tests 0.5% and 2%. No positive minimum can override capacity or the cap. Total liabilities affect prediction, but only additional payments due within 60 days reduce capacity.</w:t>
      </w:r>
    </w:p>
    <w:p>
      <w:pPr>
        <w:pStyle w:val="BodyText"/>
        <w:spacing w:before="0" w:after="200" w:line="276" w:lineRule="auto"/>
        <w:jc w:val="both"/>
      </w:pPr>
      <w:r>
        <w:rPr>
          <w:rFonts w:ascii="Times New Roman" w:hAnsi="Times New Roman" w:eastAsia="Times New Roman"/>
          <w:b w:val="0"/>
          <w:sz w:val="24"/>
        </w:rPr>
        <w:t xml:space="preserve">Deducting the entire liability balance would mix stock obligations with payments due over the short horizon. Conversely, omitting actual near-term debt service in deployment would overstate available capacity. This is why the unobserved payment assumption receives a separate sensitivity case.</w:t>
      </w:r>
    </w:p>
    <w:p>
      <w:pPr>
        <w:pStyle w:val="BodyText"/>
        <w:spacing w:before="0" w:after="200" w:line="276" w:lineRule="auto"/>
        <w:jc w:val="both"/>
      </w:pPr>
      <w:r>
        <w:rPr>
          <w:rFonts w:ascii="Times New Roman" w:hAnsi="Times New Roman" w:eastAsia="Times New Roman"/>
          <w:b w:val="0"/>
          <w:sz w:val="24"/>
        </w:rPr>
        <w:t xml:space="preserve">Let</w:t>
      </w:r>
      <w:r>
        <w:rPr>
          <w:rFonts w:ascii="Times New Roman" w:hAnsi="Times New Roman" w:eastAsia="Times New Roman"/>
          <w:b w:val="0"/>
          <w:sz w:val="24"/>
        </w:rPr>
        <w:t xml:space="preserve"> </w:t>
      </w:r>
      <m:oMath>
        <m:sSub>
          <m:e>
            <m:r>
              <m:t>E</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be the current outstanding balance on the hypothetical facility and</w:t>
      </w:r>
      <w:r>
        <w:rPr>
          <w:rFonts w:ascii="Times New Roman" w:hAnsi="Times New Roman" w:eastAsia="Times New Roman"/>
          <w:b w:val="0"/>
          <w:sz w:val="24"/>
        </w:rPr>
        <w:t xml:space="preserve"> </w:t>
      </w:r>
      <m:oMath>
        <m:sSub>
          <m:e>
            <m:r>
              <m:t>L</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the assigned limit after the monthly rules. New available credit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A</m:t>
            </m:r>
          </m:e>
          <m:sub>
            <m:r>
              <m:t>i</m:t>
            </m:r>
            <m:r>
              <m:rPr>
                <m:sty m:val="p"/>
              </m:rPr>
              <m:t>,</m:t>
            </m:r>
            <m:r>
              <m:t>t</m:t>
            </m:r>
          </m:sub>
        </m:sSub>
        <m:r>
          <m:rPr>
            <m:sty m:val="p"/>
          </m:rPr>
          <m:t>=</m:t>
        </m:r>
        <m:r>
          <m:rPr>
            <m:sty m:val="p"/>
          </m:rPr>
          <m:t>max</m:t>
        </m:r>
        <m:r>
          <m:rPr>
            <m:sty m:val="p"/>
          </m:rPr>
          <m:t>(</m:t>
        </m:r>
        <m:r>
          <m:t>0</m:t>
        </m:r>
        <m:r>
          <m:rPr>
            <m:sty m:val="p"/>
          </m:rPr>
          <m:t>,</m:t>
        </m:r>
        <m:sSub>
          <m:e>
            <m:r>
              <m:t>L</m:t>
            </m:r>
          </m:e>
          <m:sub>
            <m:r>
              <m:t>i</m:t>
            </m:r>
            <m:r>
              <m:rPr>
                <m:sty m:val="p"/>
              </m:rPr>
              <m:t>,</m:t>
            </m:r>
            <m:r>
              <m:t>t</m:t>
            </m:r>
          </m:sub>
        </m:sSub>
        <m:r>
          <m:rPr>
            <m:sty m:val="p"/>
          </m:rPr>
          <m:t>−</m:t>
        </m:r>
        <m:sSub>
          <m:e>
            <m:r>
              <m:t>E</m:t>
            </m:r>
          </m:e>
          <m:sub>
            <m:r>
              <m:t>i</m:t>
            </m:r>
            <m:r>
              <m:rPr>
                <m:sty m:val="p"/>
              </m:rPr>
              <m:t>,</m:t>
            </m:r>
            <m:r>
              <m:t>t</m:t>
            </m:r>
          </m:sub>
        </m:sSub>
        <m:r>
          <m:rPr>
            <m:sty m:val="p"/>
          </m:rPr>
          <m:t>)</m:t>
        </m:r>
        <m:r>
          <m:rPr>
            <m:sty m:val="p"/>
          </m:rPr>
          <m:t>.</m:t>
        </m:r>
      </m:oMath>
      <w:r>
        <w:rPr>
          <w:rFonts w:ascii="Times New Roman" w:hAnsi="Times New Roman" w:eastAsia="Times New Roman"/>
          <w:sz w:val="24"/>
        </w:rPr>
        <w:tab/>
        <w:t>(14)</w:t>
      </w:r>
    </w:p>
    <w:p>
      <w:pPr>
        <w:pStyle w:val="BodyText"/>
        <w:spacing w:before="0" w:after="200" w:line="276" w:lineRule="auto"/>
        <w:jc w:val="both"/>
      </w:pPr>
      <w:r>
        <w:rPr>
          <w:rFonts w:ascii="Times New Roman" w:hAnsi="Times New Roman" w:eastAsia="Times New Roman"/>
          <w:b w:val="0"/>
          <w:sz w:val="24"/>
        </w:rPr>
        <w:t xml:space="preserve">If exposure exceeds the reduced limit, excess is</w:t>
      </w:r>
      <w:r>
        <w:rPr>
          <w:rFonts w:ascii="Times New Roman" w:hAnsi="Times New Roman" w:eastAsia="Times New Roman"/>
          <w:b w:val="0"/>
          <w:sz w:val="24"/>
        </w:rPr>
        <w:t xml:space="preserve"> </w:t>
      </w:r>
      <m:oMath>
        <m:r>
          <m:rPr>
            <m:sty m:val="p"/>
          </m:rPr>
          <m:t>max</m:t>
        </m:r>
        <m:r>
          <m:rPr>
            <m:sty m:val="p"/>
          </m:rPr>
          <m:t>(</m:t>
        </m:r>
        <m:r>
          <m:t>0</m:t>
        </m:r>
        <m:r>
          <m:rPr>
            <m:sty m:val="p"/>
          </m:rPr>
          <m:t>,</m:t>
        </m:r>
        <m:sSub>
          <m:e>
            <m:r>
              <m:t>E</m:t>
            </m:r>
          </m:e>
          <m:sub>
            <m:r>
              <m:t>i</m:t>
            </m:r>
            <m:r>
              <m:rPr>
                <m:sty m:val="p"/>
              </m:rPr>
              <m:t>,</m:t>
            </m:r>
            <m:r>
              <m:t>t</m:t>
            </m:r>
          </m:sub>
        </m:sSub>
        <m:r>
          <m:rPr>
            <m:sty m:val="p"/>
          </m:rPr>
          <m:t>−</m:t>
        </m:r>
        <m:sSub>
          <m:e>
            <m:r>
              <m:t>L</m:t>
            </m:r>
          </m:e>
          <m:sub>
            <m:r>
              <m:t>i</m:t>
            </m:r>
            <m:r>
              <m:rPr>
                <m:sty m:val="p"/>
              </m:rPr>
              <m:t>,</m:t>
            </m:r>
            <m:r>
              <m:t>t</m:t>
            </m:r>
          </m:sub>
        </m:sSub>
        <m:r>
          <m:rPr>
            <m:sty m:val="p"/>
          </m:rPr>
          <m:t>)</m:t>
        </m:r>
      </m:oMath>
      <w:r>
        <w:rPr>
          <w:rFonts w:ascii="Times New Roman" w:hAnsi="Times New Roman" w:eastAsia="Times New Roman"/>
          <w:b w:val="0"/>
          <w:sz w:val="24"/>
        </w:rPr>
        <w:t xml:space="preserve">. The reduction prevents new use but neither removes nor proves repayment of the balance.</w:t>
      </w:r>
    </w:p>
    <w:p>
      <w:pPr>
        <w:pStyle w:val="Heading2"/>
      </w:pPr>
      <w:bookmarkStart w:id="139" w:name="_3cc22c81381b3542277d9013ee51f724637e192"/>
      <w:r>
        <w:rPr>
          <w:rFonts w:ascii="Times New Roman" w:hAnsi="Times New Roman" w:eastAsia="Times New Roman"/>
          <w:b/>
          <w:sz w:val="26"/>
        </w:rPr>
        <w:t xml:space="preserve">5.5 Monthly Update Rules and Safeguards</w:t>
      </w:r>
      <w:bookmarkEnd w:id="139"/>
    </w:p>
    <w:p>
      <w:pPr>
        <w:pStyle w:val="BodyText"/>
        <w:spacing w:before="0" w:after="200" w:line="276" w:lineRule="auto"/>
        <w:jc w:val="both"/>
      </w:pPr>
      <w:r>
        <w:rPr>
          <w:rFonts w:ascii="Times New Roman" w:hAnsi="Times New Roman" w:eastAsia="Times New Roman"/>
          <w:b w:val="0"/>
          <w:sz w:val="24"/>
        </w:rPr>
        <w:t xml:space="preserve">Monthly reviews use available information, which often remains unchanged between filings. Existing positive limits use a 2% deadband</w:t>
      </w:r>
      <w:r>
        <w:rPr>
          <w:rFonts w:ascii="Times New Roman" w:hAnsi="Times New Roman" w:eastAsia="Times New Roman"/>
          <w:b w:val="0"/>
          <w:sz w:val="24"/>
        </w:rPr>
        <w:t xml:space="preserve"> </w:t>
      </w:r>
      <m:oMath>
        <m:r>
          <m:t>δ</m:t>
        </m:r>
      </m:oMath>
      <w:r>
        <w:rPr>
          <w:rFonts w:ascii="Times New Roman" w:hAnsi="Times New Roman" w:eastAsia="Times New Roman"/>
          <w:b w:val="0"/>
          <w:sz w:val="24"/>
        </w:rPr>
        <w:t xml:space="preserve">, 50% smoothing</w:t>
      </w:r>
      <w:r>
        <w:rPr>
          <w:rFonts w:ascii="Times New Roman" w:hAnsi="Times New Roman" w:eastAsia="Times New Roman"/>
          <w:b w:val="0"/>
          <w:sz w:val="24"/>
        </w:rPr>
        <w:t xml:space="preserve"> </w:t>
      </w:r>
      <m:oMath>
        <m:r>
          <m:t>α</m:t>
        </m:r>
      </m:oMath>
      <w:r>
        <w:rPr>
          <w:rFonts w:ascii="Times New Roman" w:hAnsi="Times New Roman" w:eastAsia="Times New Roman"/>
          <w:b w:val="0"/>
          <w:sz w:val="24"/>
        </w:rPr>
        <w:t xml:space="preserve"> </w:t>
      </w:r>
      <w:r>
        <w:rPr>
          <w:rFonts w:ascii="Times New Roman" w:hAnsi="Times New Roman" w:eastAsia="Times New Roman"/>
          <w:b w:val="0"/>
          <w:sz w:val="24"/>
        </w:rPr>
        <w:t xml:space="preserve">and 10% increase ceiling</w:t>
      </w:r>
      <w:r>
        <w:rPr>
          <w:rFonts w:ascii="Times New Roman" w:hAnsi="Times New Roman" w:eastAsia="Times New Roman"/>
          <w:b w:val="0"/>
          <w:sz w:val="24"/>
        </w:rPr>
        <w:t xml:space="preserve"> </w:t>
      </w:r>
      <m:oMath>
        <m:r>
          <m:t>u</m:t>
        </m:r>
      </m:oMath>
      <w:r>
        <w:rPr>
          <w:rFonts w:ascii="Times New Roman" w:hAnsi="Times New Roman" w:eastAsia="Times New Roman"/>
          <w:b w:val="0"/>
          <w:sz w:val="24"/>
        </w:rPr>
        <w:t xml:space="preserve">:</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Situation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Policy action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 qualifying disclosure is already known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Set the limit to zero immediately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previous limit exists</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Assign the preliminary limit as an initial assessment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preliminary limit is lower than the previous limit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Apply the reduction immediately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preliminary and previous limits are equal</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the previous limit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preliminary limit is higher but no relevant input changed</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the previous limit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supported increase is no more than 2%</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the previous limit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 larger increase is supported by new information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Apply smoothing and the monthly increase ceiling</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The previous limit is zero</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Keep it at zero until a new initial assessment is documented</w:t>
            </w:r>
          </w:p>
        </w:tc>
      </w:tr>
    </w:tbl>
    <w:p>
      <w:pPr>
        <w:pStyle w:val="Caption"/>
        <w:spacing w:line="240" w:lineRule="auto"/>
        <w:jc w:val="center"/>
      </w:pPr>
      <w:r>
        <w:rPr>
          <w:rFonts w:ascii="Times New Roman" w:hAnsi="Times New Roman" w:eastAsia="Times New Roman"/>
          <w:i/>
          <w:iCs/>
          <w:sz w:val="24"/>
        </w:rPr>
        <w:t xml:space="preserve">Table 9. Monthly credit-limit update rules.</w:t>
      </w:r>
    </w:p>
    <w:p>
      <w:pPr>
        <w:pStyle w:val="BodyText"/>
        <w:spacing w:before="0" w:after="200" w:line="276" w:lineRule="auto"/>
        <w:jc w:val="both"/>
      </w:pPr>
      <w:r>
        <w:rPr>
          <w:rFonts w:ascii="Times New Roman" w:hAnsi="Times New Roman" w:eastAsia="Times New Roman"/>
          <w:b w:val="0"/>
          <w:sz w:val="24"/>
        </w:rPr>
        <w:t xml:space="preserve">For a supported increase, the assigned limit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L</m:t>
            </m:r>
          </m:e>
          <m:sub>
            <m:r>
              <m:t>i</m:t>
            </m:r>
            <m:r>
              <m:rPr>
                <m:sty m:val="p"/>
              </m:rPr>
              <m:t>,</m:t>
            </m:r>
            <m:r>
              <m:t>t</m:t>
            </m:r>
          </m:sub>
        </m:sSub>
        <m:r>
          <m:rPr>
            <m:sty m:val="p"/>
          </m:rPr>
          <m:t>=</m:t>
        </m:r>
        <m:r>
          <m:rPr>
            <m:sty m:val="p"/>
          </m:rPr>
          <m:t>min</m:t>
        </m:r>
        <m:d>
          <m:dPr>
            <m:begChr m:val="{"/>
            <m:sepChr m:val=""/>
            <m:endChr m:val="}"/>
            <m:grow/>
          </m:dPr>
          <m:e>
            <m:sSubSup>
              <m:e>
                <m:r>
                  <m:t>L</m:t>
                </m:r>
              </m:e>
              <m:sub>
                <m:r>
                  <m:t>i</m:t>
                </m:r>
                <m:r>
                  <m:rPr>
                    <m:sty m:val="p"/>
                  </m:rPr>
                  <m:t>,</m:t>
                </m:r>
                <m:r>
                  <m:t>t</m:t>
                </m:r>
              </m:sub>
              <m:sup>
                <m:r>
                  <m:rPr>
                    <m:sty m:val="p"/>
                  </m:rPr>
                  <m:t>*</m:t>
                </m:r>
              </m:sup>
            </m:sSubSup>
            <m:r>
              <m:rPr>
                <m:sty m:val="p"/>
              </m:rPr>
              <m:t>,</m:t>
            </m:r>
            <m:r>
              <m:t> </m:t>
            </m:r>
            <m:sSub>
              <m:e>
                <m:r>
                  <m:t>L</m:t>
                </m:r>
              </m:e>
              <m:sub>
                <m:r>
                  <m:t>i</m:t>
                </m:r>
                <m:r>
                  <m:rPr>
                    <m:sty m:val="p"/>
                  </m:rPr>
                  <m:t>,</m:t>
                </m:r>
                <m:r>
                  <m:t>t</m:t>
                </m:r>
                <m:r>
                  <m:rPr>
                    <m:sty m:val="p"/>
                  </m:rPr>
                  <m:t>−</m:t>
                </m:r>
                <m:r>
                  <m:t>1</m:t>
                </m:r>
              </m:sub>
            </m:sSub>
            <m:r>
              <m:rPr>
                <m:sty m:val="p"/>
              </m:rPr>
              <m:t>+</m:t>
            </m:r>
            <m:r>
              <m:t>α</m:t>
            </m:r>
            <m:r>
              <m:rPr>
                <m:sty m:val="p"/>
              </m:rPr>
              <m:t>(</m:t>
            </m:r>
            <m:sSubSup>
              <m:e>
                <m:r>
                  <m:t>L</m:t>
                </m:r>
              </m:e>
              <m:sub>
                <m:r>
                  <m:t>i</m:t>
                </m:r>
                <m:r>
                  <m:rPr>
                    <m:sty m:val="p"/>
                  </m:rPr>
                  <m:t>,</m:t>
                </m:r>
                <m:r>
                  <m:t>t</m:t>
                </m:r>
              </m:sub>
              <m:sup>
                <m:r>
                  <m:rPr>
                    <m:sty m:val="p"/>
                  </m:rPr>
                  <m:t>*</m:t>
                </m:r>
              </m:sup>
            </m:sSubSup>
            <m:r>
              <m:rPr>
                <m:sty m:val="p"/>
              </m:rPr>
              <m:t>−</m:t>
            </m:r>
            <m:sSub>
              <m:e>
                <m:r>
                  <m:t>L</m:t>
                </m:r>
              </m:e>
              <m:sub>
                <m:r>
                  <m:t>i</m:t>
                </m:r>
                <m:r>
                  <m:rPr>
                    <m:sty m:val="p"/>
                  </m:rPr>
                  <m:t>,</m:t>
                </m:r>
                <m:r>
                  <m:t>t</m:t>
                </m:r>
                <m:r>
                  <m:rPr>
                    <m:sty m:val="p"/>
                  </m:rPr>
                  <m:t>−</m:t>
                </m:r>
                <m:r>
                  <m:t>1</m:t>
                </m:r>
              </m:sub>
            </m:sSub>
            <m:r>
              <m:rPr>
                <m:sty m:val="p"/>
              </m:rPr>
              <m:t>)</m:t>
            </m:r>
            <m:r>
              <m:rPr>
                <m:sty m:val="p"/>
              </m:rPr>
              <m:t>,</m:t>
            </m:r>
            <m:r>
              <m:t> </m:t>
            </m:r>
            <m:r>
              <m:rPr>
                <m:sty m:val="p"/>
              </m:rPr>
              <m:t>(</m:t>
            </m:r>
            <m:r>
              <m:t>1</m:t>
            </m:r>
            <m:r>
              <m:rPr>
                <m:sty m:val="p"/>
              </m:rPr>
              <m:t>+</m:t>
            </m:r>
            <m:r>
              <m:t>u</m:t>
            </m:r>
            <m:r>
              <m:rPr>
                <m:sty m:val="p"/>
              </m:rPr>
              <m:t>)</m:t>
            </m:r>
            <m:sSub>
              <m:e>
                <m:r>
                  <m:t>L</m:t>
                </m:r>
              </m:e>
              <m:sub>
                <m:r>
                  <m:t>i</m:t>
                </m:r>
                <m:r>
                  <m:rPr>
                    <m:sty m:val="p"/>
                  </m:rPr>
                  <m:t>,</m:t>
                </m:r>
                <m:r>
                  <m:t>t</m:t>
                </m:r>
                <m:r>
                  <m:rPr>
                    <m:sty m:val="p"/>
                  </m:rPr>
                  <m:t>−</m:t>
                </m:r>
                <m:r>
                  <m:t>1</m:t>
                </m:r>
              </m:sub>
            </m:sSub>
          </m:e>
        </m:d>
        <m:r>
          <m:rPr>
            <m:sty m:val="p"/>
          </m:rPr>
          <m:t>.</m:t>
        </m:r>
      </m:oMath>
      <w:r>
        <w:rPr>
          <w:rFonts w:ascii="Times New Roman" w:hAnsi="Times New Roman" w:eastAsia="Times New Roman"/>
          <w:sz w:val="24"/>
        </w:rPr>
        <w:tab/>
        <w:t>(15)</w:t>
      </w:r>
    </w:p>
    <w:p>
      <w:pPr>
        <w:pStyle w:val="BodyText"/>
        <w:spacing w:before="0" w:after="200" w:line="276" w:lineRule="auto"/>
        <w:jc w:val="both"/>
      </w:pPr>
      <w:r>
        <w:rPr>
          <w:rFonts w:ascii="Times New Roman" w:hAnsi="Times New Roman" w:eastAsia="Times New Roman"/>
          <w:b w:val="0"/>
          <w:sz w:val="24"/>
        </w:rPr>
        <w:t xml:space="preserve">The deadband ignores minor movements. Increase controls never delay reductions or breach the current cap. Missing, conflicting or stale inputs require review rather than zero replacement. Freshness limits are 180 days for balance sheets and 540 for annual flows.</w:t>
      </w:r>
    </w:p>
    <w:p>
      <w:pPr>
        <w:pStyle w:val="BodyText"/>
        <w:spacing w:before="0" w:after="200" w:line="276" w:lineRule="auto"/>
        <w:jc w:val="both"/>
      </w:pPr>
      <w:r>
        <w:rPr>
          <w:rFonts w:ascii="Times New Roman" w:hAnsi="Times New Roman" w:eastAsia="Times New Roman"/>
          <w:b w:val="0"/>
          <w:sz w:val="24"/>
        </w:rPr>
        <w:t xml:space="preserve">These asymmetric controls prevent a stale favorable assessment from supporting growth while ensuring that a lower current preliminary limit takes effect immediately. They also distinguish a data-quality exception from an economically calculated zero.</w:t>
      </w:r>
    </w:p>
    <w:p>
      <w:pPr>
        <w:pStyle w:val="BodyText"/>
        <w:spacing w:before="0" w:after="200" w:line="276" w:lineRule="auto"/>
        <w:jc w:val="both"/>
      </w:pPr>
      <w:r>
        <w:rPr>
          <w:rFonts w:ascii="Times New Roman" w:hAnsi="Times New Roman" w:eastAsia="Times New Roman"/>
          <w:b w:val="0"/>
          <w:sz w:val="24"/>
        </w:rPr>
        <w:t xml:space="preserve">A known disclosure immediately stops the limit. After its quiet period, the previous zero still prevents automatic reopening within a continuous segment. A missing-month gap starts a new hypothetical assessment. This is only a replay convention.</w:t>
      </w:r>
    </w:p>
    <w:p>
      <w:pPr>
        <w:pStyle w:val="BodyText"/>
        <w:spacing w:before="0" w:after="200" w:line="276" w:lineRule="auto"/>
        <w:jc w:val="both"/>
      </w:pPr>
      <w:r>
        <w:rPr>
          <w:rFonts w:ascii="Times New Roman" w:hAnsi="Times New Roman" w:eastAsia="Times New Roman"/>
          <w:b w:val="0"/>
          <w:sz w:val="24"/>
        </w:rPr>
        <w:t xml:space="preserve">In an operating policy, reopening would require documented review rather than a gap in the research data. The replay convention is retained only so disconnected historical segments do not inherit state across months with no eligible observation.</w:t>
      </w:r>
    </w:p>
    <w:p>
      <w:pPr>
        <w:pStyle w:val="Heading2"/>
      </w:pPr>
      <w:bookmarkStart w:id="140" w:name="_9c372369ec8edd02673153e1b901306b509bcc3"/>
      <w:r>
        <w:rPr>
          <w:rFonts w:ascii="Times New Roman" w:hAnsi="Times New Roman" w:eastAsia="Times New Roman"/>
          <w:b/>
          <w:sz w:val="26"/>
        </w:rPr>
        <w:t xml:space="preserve">5.6 Worked Example</w:t>
      </w:r>
      <w:bookmarkEnd w:id="140"/>
    </w:p>
    <w:p>
      <w:pPr>
        <w:pStyle w:val="BodyText"/>
        <w:spacing w:before="0" w:after="200" w:line="276" w:lineRule="auto"/>
        <w:jc w:val="both"/>
      </w:pPr>
      <w:r>
        <w:rPr>
          <w:rFonts w:ascii="Times New Roman" w:hAnsi="Times New Roman" w:eastAsia="Times New Roman"/>
          <w:b w:val="0"/>
          <w:sz w:val="24"/>
        </w:rPr>
        <w:t xml:space="preserve">Combining the capacity proxy, risk reduction and exposure cap gives: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L</m:t>
            </m:r>
          </m:e>
          <m:sub>
            <m:r>
              <m:t>i</m:t>
            </m:r>
            <m:r>
              <m:rPr>
                <m:sty m:val="p"/>
              </m:rPr>
              <m:t>,</m:t>
            </m:r>
            <m:r>
              <m:t>t</m:t>
            </m:r>
          </m:sub>
          <m:sup>
            <m:r>
              <m:rPr>
                <m:sty m:val="p"/>
              </m:rPr>
              <m:t>*</m:t>
            </m:r>
          </m:sup>
        </m:sSubSup>
        <m:r>
          <m:rPr>
            <m:sty m:val="p"/>
          </m:rPr>
          <m:t>=</m:t>
        </m:r>
        <m:r>
          <m:rPr>
            <m:sty m:val="p"/>
          </m:rPr>
          <m:t>min</m:t>
        </m:r>
        <m:d>
          <m:dPr>
            <m:begChr m:val="{"/>
            <m:sepChr m:val=""/>
            <m:endChr m:val="}"/>
            <m:grow/>
          </m:dPr>
          <m:e>
            <m:sSub>
              <m:e>
                <m:r>
                  <m:t>K</m:t>
                </m:r>
              </m:e>
              <m:sub>
                <m:r>
                  <m:t>i</m:t>
                </m:r>
                <m:r>
                  <m:rPr>
                    <m:sty m:val="p"/>
                  </m:rPr>
                  <m:t>,</m:t>
                </m:r>
                <m:r>
                  <m:t>t</m:t>
                </m:r>
              </m:sub>
            </m:sSub>
            <m:r>
              <m:rPr>
                <m:sty m:val="p"/>
              </m:rPr>
              <m:t>,</m:t>
            </m:r>
            <m:r>
              <m:t> </m:t>
            </m:r>
            <m:r>
              <m:rPr>
                <m:sty m:val="p"/>
              </m:rPr>
              <m:t>max</m:t>
            </m:r>
            <m:d>
              <m:dPr>
                <m:begChr m:val="["/>
                <m:sepChr m:val=""/>
                <m:endChr m:val="]"/>
                <m:grow/>
              </m:dPr>
              <m:e>
                <m:r>
                  <m:t>0</m:t>
                </m:r>
                <m:r>
                  <m:rPr>
                    <m:sty m:val="p"/>
                  </m:rPr>
                  <m:t>,</m:t>
                </m:r>
                <m:r>
                  <m:rPr>
                    <m:sty m:val="p"/>
                  </m:rPr>
                  <m:t>min</m:t>
                </m:r>
                <m:d>
                  <m:dPr>
                    <m:begChr m:val="("/>
                    <m:sepChr m:val=""/>
                    <m:endChr m:val=")"/>
                    <m:grow/>
                  </m:dPr>
                  <m:e>
                    <m:r>
                      <m:t>a</m:t>
                    </m:r>
                    <m:f>
                      <m:fPr>
                        <m:type m:val="bar"/>
                      </m:fPr>
                      <m:num>
                        <m:sSub>
                          <m:e>
                            <m:r>
                              <m:t>R</m:t>
                            </m:r>
                          </m:e>
                          <m:sub>
                            <m:r>
                              <m:t>i</m:t>
                            </m:r>
                            <m:r>
                              <m:rPr>
                                <m:sty m:val="p"/>
                              </m:rPr>
                              <m:t>,</m:t>
                            </m:r>
                            <m:r>
                              <m:t>t</m:t>
                            </m:r>
                          </m:sub>
                        </m:sSub>
                      </m:num>
                      <m:den>
                        <m:r>
                          <m:t>6</m:t>
                        </m:r>
                      </m:den>
                    </m:f>
                    <m:r>
                      <m:rPr>
                        <m:sty m:val="p"/>
                      </m:rPr>
                      <m:t>,</m:t>
                    </m:r>
                    <m:r>
                      <m:t>b</m:t>
                    </m:r>
                    <m:f>
                      <m:fPr>
                        <m:type m:val="bar"/>
                      </m:fPr>
                      <m:num>
                        <m:r>
                          <m:rPr>
                            <m:sty m:val="p"/>
                          </m:rPr>
                          <m:t>max</m:t>
                        </m:r>
                        <m:r>
                          <m:rPr>
                            <m:sty m:val="p"/>
                          </m:rPr>
                          <m:t>(</m:t>
                        </m:r>
                        <m:sSub>
                          <m:e>
                            <m:r>
                              <m:t>F</m:t>
                            </m:r>
                          </m:e>
                          <m:sub>
                            <m:r>
                              <m:t>i</m:t>
                            </m:r>
                            <m:r>
                              <m:rPr>
                                <m:sty m:val="p"/>
                              </m:rPr>
                              <m:t>,</m:t>
                            </m:r>
                            <m:r>
                              <m:t>t</m:t>
                            </m:r>
                          </m:sub>
                        </m:sSub>
                        <m:r>
                          <m:rPr>
                            <m:sty m:val="p"/>
                          </m:rPr>
                          <m:t>,</m:t>
                        </m:r>
                        <m:r>
                          <m:t>0</m:t>
                        </m:r>
                        <m:r>
                          <m:rPr>
                            <m:sty m:val="p"/>
                          </m:rPr>
                          <m:t>)</m:t>
                        </m:r>
                      </m:num>
                      <m:den>
                        <m:r>
                          <m:t>6</m:t>
                        </m:r>
                      </m:den>
                    </m:f>
                    <m:r>
                      <m:rPr>
                        <m:sty m:val="p"/>
                      </m:rPr>
                      <m:t>+</m:t>
                    </m:r>
                    <m:r>
                      <m:t>c</m:t>
                    </m:r>
                    <m:sSub>
                      <m:e>
                        <m:r>
                          <m:t>B</m:t>
                        </m:r>
                      </m:e>
                      <m:sub>
                        <m:r>
                          <m:t>i</m:t>
                        </m:r>
                        <m:r>
                          <m:rPr>
                            <m:sty m:val="p"/>
                          </m:rPr>
                          <m:t>,</m:t>
                        </m:r>
                        <m:r>
                          <m:t>t</m:t>
                        </m:r>
                      </m:sub>
                    </m:sSub>
                  </m:e>
                </m:d>
                <m:r>
                  <m:rPr>
                    <m:sty m:val="p"/>
                  </m:rPr>
                  <m:t>−</m:t>
                </m:r>
                <m:sSubSup>
                  <m:e>
                    <m:r>
                      <m:t>D</m:t>
                    </m:r>
                  </m:e>
                  <m:sub>
                    <m:r>
                      <m:t>i</m:t>
                    </m:r>
                    <m:r>
                      <m:rPr>
                        <m:sty m:val="p"/>
                      </m:rPr>
                      <m:t>,</m:t>
                    </m:r>
                    <m:r>
                      <m:t>t</m:t>
                    </m:r>
                  </m:sub>
                  <m:sup>
                    <m:r>
                      <m:t>60</m:t>
                    </m:r>
                  </m:sup>
                </m:sSubSup>
              </m:e>
            </m:d>
            <m:r>
              <m:rPr>
                <m:sty m:val="p"/>
              </m:rPr>
              <m:t>exp</m:t>
            </m:r>
            <m:r>
              <m:rPr>
                <m:sty m:val="p"/>
              </m:rPr>
              <m:t>(</m:t>
            </m:r>
            <m:r>
              <m:rPr>
                <m:sty m:val="p"/>
              </m:rPr>
              <m:t>−</m:t>
            </m:r>
            <m:r>
              <m:t>k</m:t>
            </m:r>
            <m:sSub>
              <m:e>
                <m:r>
                  <m:t>q</m:t>
                </m:r>
              </m:e>
              <m:sub>
                <m:r>
                  <m:t>i</m:t>
                </m:r>
                <m:r>
                  <m:rPr>
                    <m:sty m:val="p"/>
                  </m:rPr>
                  <m:t>,</m:t>
                </m:r>
                <m:r>
                  <m:t>t</m:t>
                </m:r>
              </m:sub>
            </m:sSub>
            <m:r>
              <m:rPr>
                <m:sty m:val="p"/>
              </m:rPr>
              <m:t>)</m:t>
            </m:r>
          </m:e>
        </m:d>
        <m:r>
          <m:rPr>
            <m:sty m:val="p"/>
          </m:rPr>
          <m:t>.</m:t>
        </m:r>
      </m:oMath>
      <w:r>
        <w:rPr>
          <w:rFonts w:ascii="Times New Roman" w:hAnsi="Times New Roman" w:eastAsia="Times New Roman"/>
          <w:sz w:val="24"/>
        </w:rPr>
        <w:tab/>
        <w:t>(16)</w:t>
      </w:r>
    </w:p>
    <w:p>
      <w:pPr>
        <w:pStyle w:val="BodyText"/>
        <w:spacing w:before="0" w:after="200" w:line="276" w:lineRule="auto"/>
        <w:jc w:val="both"/>
      </w:pPr>
      <w:r>
        <w:rPr>
          <w:rFonts w:ascii="Times New Roman" w:hAnsi="Times New Roman" w:eastAsia="Times New Roman"/>
          <w:b w:val="0"/>
          <w:sz w:val="24"/>
        </w:rPr>
        <w:t xml:space="preserve">Consider a hypothetical borrower with the following inputs: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Input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Illustrative value</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revenue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12,000,000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operating cash flow</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1,200,000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Eligible cash</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500,000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Additional external principal due within 60 days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50,000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Estimated disclosure probability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Exposure cap</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150,000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Previous assigned limit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70,000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Outstanding facility exposure</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USD 60,000</w:t>
            </w:r>
          </w:p>
        </w:tc>
      </w:tr>
    </w:tbl>
    <w:p>
      <w:pPr>
        <w:pStyle w:val="Caption"/>
        <w:spacing w:line="240" w:lineRule="auto"/>
        <w:jc w:val="center"/>
      </w:pPr>
      <w:r>
        <w:rPr>
          <w:rFonts w:ascii="Times New Roman" w:hAnsi="Times New Roman" w:eastAsia="Times New Roman"/>
          <w:i/>
          <w:iCs/>
          <w:sz w:val="24"/>
        </w:rPr>
        <w:t xml:space="preserve">Table 10. Inputs to the worked credit-limit example.</w:t>
      </w:r>
    </w:p>
    <w:p>
      <w:pPr>
        <w:pStyle w:val="BodyText"/>
        <w:spacing w:before="0" w:after="200" w:line="276" w:lineRule="auto"/>
        <w:jc w:val="both"/>
      </w:pPr>
      <w:r>
        <w:rPr>
          <w:rFonts w:ascii="Times New Roman" w:hAnsi="Times New Roman" w:eastAsia="Times New Roman"/>
          <w:b w:val="0"/>
          <w:sz w:val="24"/>
        </w:rPr>
        <w:t xml:space="preserve">The calculation is:</w:t>
      </w:r>
    </w:p>
    <w:tbl>
      <w:tblPr>
        <w:tblStyle w:val="TableGrid0"/>
        <w:tblW w:type="pct" w:w="5000"/>
        <w:jc w:val="center"/>
        <w:tblLayout w:type="fixed"/>
        <w:tblLook w:firstRow="1" w:lastRow="0" w:firstColumn="0" w:lastColumn="0" w:noHBand="0" w:noVBand="0" w:val="0020"/>
      </w:tblPr>
      <w:tblGrid>
        <w:gridCol w:w="2636"/>
        <w:gridCol w:w="4393"/>
        <w:gridCol w:w="1757"/>
      </w:tblGrid>
      <w:tr>
        <w:trPr>
          <w:tblHeader w:val="on"/>
          <w:tblHeader w:val="true"/>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Step</w:t>
            </w:r>
          </w:p>
        </w:tc>
        <w:tc>
          <w:tcPr>
            <w:tcW w:type="dxa" w:w="439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Calculation</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Result</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1. Revenue-based amount</w:t>
            </w:r>
          </w:p>
        </w:tc>
        <w:tc>
          <w:tcPr>
            <w:tcW w:type="dxa" w:w="4393"/>
            <w:vAlign w:val="center"/>
            <w:tcMar>
              <w:top w:w="60" w:type="dxa"/>
              <w:start w:w="70" w:type="dxa"/>
              <w:bottom w:w="60" w:type="dxa"/>
              <w:end w:w="70" w:type="dxa"/>
            </w:tcMar>
          </w:tcPr>
          <w:p>
            <w:pPr>
              <w:pStyle w:val="TableParagraph"/>
              <w:spacing w:line="240" w:lineRule="auto" w:before="0" w:after="0"/>
              <w:jc w:val="left"/>
            </w:pPr>
            <m:oMath>
              <m:r>
                <m:t>0.20</m:t>
              </m:r>
              <m:r>
                <m:rPr>
                  <m:sty m:val="p"/>
                </m:rPr>
                <m:t>×</m:t>
              </m:r>
              <m:r>
                <m:rPr>
                  <m:nor/>
                </m:rPr>
                <m:t>USD </m:t>
              </m:r>
              <m:r>
                <m:t>12</m:t>
              </m:r>
              <m:r>
                <m:rPr>
                  <m:sty m:val="p"/>
                </m:rPr>
                <m:t>,</m:t>
              </m:r>
              <m:r>
                <m:t>000</m:t>
              </m:r>
              <m:r>
                <m:rPr>
                  <m:sty m:val="p"/>
                </m:rPr>
                <m:t>,</m:t>
              </m:r>
              <m:r>
                <m:t>000</m:t>
              </m:r>
              <m:r>
                <m:rPr>
                  <m:sty m:val="p"/>
                </m:rPr>
                <m:t>/</m:t>
              </m:r>
              <m:r>
                <m:t>6</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400,000.00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 Cash-flow-and-cash amount</w:t>
            </w:r>
          </w:p>
        </w:tc>
        <w:tc>
          <w:tcPr>
            <w:tcW w:type="dxa" w:w="4393"/>
            <w:vAlign w:val="center"/>
            <w:tcMar>
              <w:top w:w="60" w:type="dxa"/>
              <w:start w:w="70" w:type="dxa"/>
              <w:bottom w:w="60" w:type="dxa"/>
              <w:end w:w="70" w:type="dxa"/>
            </w:tcMar>
          </w:tcPr>
          <w:p>
            <w:pPr>
              <w:pStyle w:val="TableParagraph"/>
              <w:spacing w:line="240" w:lineRule="auto" w:before="0" w:after="0"/>
              <w:jc w:val="left"/>
            </w:pPr>
            <m:oMath>
              <m:r>
                <m:t>0.50</m:t>
              </m:r>
              <m:r>
                <m:rPr>
                  <m:sty m:val="p"/>
                </m:rPr>
                <m:t>×</m:t>
              </m:r>
              <m:r>
                <m:rPr>
                  <m:nor/>
                </m:rPr>
                <m:t>USD </m:t>
              </m:r>
              <m:r>
                <m:t>1</m:t>
              </m:r>
              <m:r>
                <m:rPr>
                  <m:sty m:val="p"/>
                </m:rPr>
                <m:t>,</m:t>
              </m:r>
              <m:r>
                <m:t>200</m:t>
              </m:r>
              <m:r>
                <m:rPr>
                  <m:sty m:val="p"/>
                </m:rPr>
                <m:t>,</m:t>
              </m:r>
              <m:r>
                <m:t>000</m:t>
              </m:r>
              <m:r>
                <m:rPr>
                  <m:sty m:val="p"/>
                </m:rPr>
                <m:t>/</m:t>
              </m:r>
              <m:r>
                <m:t>6</m:t>
              </m:r>
              <m:r>
                <m:rPr>
                  <m:sty m:val="p"/>
                </m:rPr>
                <m:t>+</m:t>
              </m:r>
              <m:r>
                <m:t>0.10</m:t>
              </m:r>
              <m:r>
                <m:rPr>
                  <m:sty m:val="p"/>
                </m:rPr>
                <m:t>×</m:t>
              </m:r>
              <m:r>
                <m:rPr>
                  <m:nor/>
                </m:rPr>
                <m:t>USD </m:t>
              </m:r>
              <m:r>
                <m:t>500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150,000.00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3. Capacity proxy</w:t>
            </w:r>
          </w:p>
        </w:tc>
        <w:tc>
          <w:tcPr>
            <w:tcW w:type="dxa" w:w="4393"/>
            <w:vAlign w:val="center"/>
            <w:tcMar>
              <w:top w:w="60" w:type="dxa"/>
              <w:start w:w="70" w:type="dxa"/>
              <w:bottom w:w="60" w:type="dxa"/>
              <w:end w:w="70" w:type="dxa"/>
            </w:tcMar>
          </w:tcPr>
          <w:p>
            <w:pPr>
              <w:pStyle w:val="TableParagraph"/>
              <w:spacing w:line="240" w:lineRule="auto" w:before="0" w:after="0"/>
              <w:jc w:val="left"/>
            </w:pPr>
            <m:oMath>
              <m:r>
                <m:rPr>
                  <m:sty m:val="p"/>
                </m:rPr>
                <m:t>min</m:t>
              </m:r>
              <m:r>
                <m:rPr>
                  <m:sty m:val="p"/>
                </m:rPr>
                <m:t>(</m:t>
              </m:r>
              <m:r>
                <m:t>400</m:t>
              </m:r>
              <m:r>
                <m:rPr>
                  <m:sty m:val="p"/>
                </m:rPr>
                <m:t>,</m:t>
              </m:r>
              <m:r>
                <m:t>000</m:t>
              </m:r>
              <m:r>
                <m:rPr>
                  <m:sty m:val="p"/>
                </m:rPr>
                <m:t>,</m:t>
              </m:r>
              <m:r>
                <m:t>150</m:t>
              </m:r>
              <m:r>
                <m:rPr>
                  <m:sty m:val="p"/>
                </m:rPr>
                <m:t>,</m:t>
              </m:r>
              <m:r>
                <m:t>000</m:t>
              </m:r>
              <m:r>
                <m:rPr>
                  <m:sty m:val="p"/>
                </m:rPr>
                <m:t>)</m:t>
              </m:r>
              <m:r>
                <m:rPr>
                  <m:sty m:val="p"/>
                </m:rPr>
                <m:t>−</m:t>
              </m:r>
              <m:r>
                <m:t>50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100,000.00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4. Risk multiplier</w:t>
            </w:r>
          </w:p>
        </w:tc>
        <w:tc>
          <w:tcPr>
            <w:tcW w:type="dxa" w:w="4393"/>
            <w:vAlign w:val="center"/>
            <w:tcMar>
              <w:top w:w="60" w:type="dxa"/>
              <w:start w:w="70" w:type="dxa"/>
              <w:bottom w:w="60" w:type="dxa"/>
              <w:end w:w="70" w:type="dxa"/>
            </w:tcMar>
          </w:tcPr>
          <w:p>
            <w:pPr>
              <w:pStyle w:val="TableParagraph"/>
              <w:spacing w:line="240" w:lineRule="auto" w:before="0" w:after="0"/>
              <w:jc w:val="left"/>
            </w:pPr>
            <m:oMath>
              <m:sSup>
                <m:e>
                  <m:r>
                    <m:t>e</m:t>
                  </m:r>
                </m:e>
                <m:sup>
                  <m:r>
                    <m:rPr>
                      <m:sty m:val="p"/>
                    </m:rPr>
                    <m:t>−</m:t>
                  </m:r>
                  <m:r>
                    <m:t>10</m:t>
                  </m:r>
                  <m:r>
                    <m:rPr>
                      <m:sty m:val="p"/>
                    </m:rPr>
                    <m:t>×</m:t>
                  </m:r>
                  <m:r>
                    <m:t>0.02</m:t>
                  </m:r>
                </m:sup>
              </m:sSup>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0.8187</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5. Risk-adjusted amount</w:t>
            </w:r>
          </w:p>
        </w:tc>
        <w:tc>
          <w:tcPr>
            <w:tcW w:type="dxa" w:w="4393"/>
            <w:vAlign w:val="center"/>
            <w:tcMar>
              <w:top w:w="60" w:type="dxa"/>
              <w:start w:w="70" w:type="dxa"/>
              <w:bottom w:w="60" w:type="dxa"/>
              <w:end w:w="70" w:type="dxa"/>
            </w:tcMar>
          </w:tcPr>
          <w:p>
            <w:pPr>
              <w:pStyle w:val="TableParagraph"/>
              <w:spacing w:line="240" w:lineRule="auto" w:before="0" w:after="0"/>
              <w:jc w:val="left"/>
            </w:pPr>
            <m:oMath>
              <m:r>
                <m:t>100</m:t>
              </m:r>
              <m:r>
                <m:rPr>
                  <m:sty m:val="p"/>
                </m:rPr>
                <m:t>,</m:t>
              </m:r>
              <m:r>
                <m:t>000</m:t>
              </m:r>
              <m:r>
                <m:rPr>
                  <m:sty m:val="p"/>
                </m:rPr>
                <m:t>×</m:t>
              </m:r>
              <m:r>
                <m:t>0.8187</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81,873.08</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6. Preliminary limit</w:t>
            </w:r>
          </w:p>
        </w:tc>
        <w:tc>
          <w:tcPr>
            <w:tcW w:type="dxa" w:w="4393"/>
            <w:vAlign w:val="center"/>
            <w:tcMar>
              <w:top w:w="60" w:type="dxa"/>
              <w:start w:w="70" w:type="dxa"/>
              <w:bottom w:w="60" w:type="dxa"/>
              <w:end w:w="70" w:type="dxa"/>
            </w:tcMar>
          </w:tcPr>
          <w:p>
            <w:pPr>
              <w:pStyle w:val="TableParagraph"/>
              <w:spacing w:line="240" w:lineRule="auto" w:before="0" w:after="0"/>
              <w:jc w:val="left"/>
            </w:pPr>
            <m:oMath>
              <m:r>
                <m:rPr>
                  <m:sty m:val="p"/>
                </m:rPr>
                <m:t>min</m:t>
              </m:r>
              <m:r>
                <m:rPr>
                  <m:sty m:val="p"/>
                </m:rPr>
                <m:t>(</m:t>
              </m:r>
              <m:r>
                <m:t>150</m:t>
              </m:r>
              <m:r>
                <m:rPr>
                  <m:sty m:val="p"/>
                </m:rPr>
                <m:t>,</m:t>
              </m:r>
              <m:r>
                <m:t>000</m:t>
              </m:r>
              <m:r>
                <m:rPr>
                  <m:sty m:val="p"/>
                </m:rPr>
                <m:t>,</m:t>
              </m:r>
              <m:r>
                <m:t>81</m:t>
              </m:r>
              <m:r>
                <m:rPr>
                  <m:sty m:val="p"/>
                </m:rPr>
                <m:t>,</m:t>
              </m:r>
              <m:r>
                <m:t>873.08</m:t>
              </m:r>
              <m:r>
                <m:rPr>
                  <m:sty m:val="p"/>
                </m:rPr>
                <m:t>)</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81,873.08</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7. Smoothed increase</w:t>
            </w:r>
          </w:p>
        </w:tc>
        <w:tc>
          <w:tcPr>
            <w:tcW w:type="dxa" w:w="4393"/>
            <w:vAlign w:val="center"/>
            <w:tcMar>
              <w:top w:w="60" w:type="dxa"/>
              <w:start w:w="70" w:type="dxa"/>
              <w:bottom w:w="60" w:type="dxa"/>
              <w:end w:w="70" w:type="dxa"/>
            </w:tcMar>
          </w:tcPr>
          <w:p>
            <w:pPr>
              <w:pStyle w:val="TableParagraph"/>
              <w:spacing w:line="240" w:lineRule="auto" w:before="0" w:after="0"/>
              <w:jc w:val="left"/>
            </w:pPr>
            <m:oMath>
              <m:r>
                <m:t>70</m:t>
              </m:r>
              <m:r>
                <m:rPr>
                  <m:sty m:val="p"/>
                </m:rPr>
                <m:t>,</m:t>
              </m:r>
              <m:r>
                <m:t>000</m:t>
              </m:r>
              <m:r>
                <m:rPr>
                  <m:sty m:val="p"/>
                </m:rPr>
                <m:t>+</m:t>
              </m:r>
              <m:r>
                <m:t>0.50</m:t>
              </m:r>
              <m:r>
                <m:rPr>
                  <m:sty m:val="p"/>
                </m:rPr>
                <m:t>×</m:t>
              </m:r>
              <m:r>
                <m:rPr>
                  <m:sty m:val="p"/>
                </m:rPr>
                <m:t>(</m:t>
              </m:r>
              <m:r>
                <m:t>81</m:t>
              </m:r>
              <m:r>
                <m:rPr>
                  <m:sty m:val="p"/>
                </m:rPr>
                <m:t>,</m:t>
              </m:r>
              <m:r>
                <m:t>873.08</m:t>
              </m:r>
              <m:r>
                <m:rPr>
                  <m:sty m:val="p"/>
                </m:rPr>
                <m:t>−</m:t>
              </m:r>
              <m:r>
                <m:t>70</m:t>
              </m:r>
              <m:r>
                <m:rPr>
                  <m:sty m:val="p"/>
                </m:rPr>
                <m:t>,</m:t>
              </m:r>
              <m:r>
                <m:t>000</m:t>
              </m:r>
              <m:r>
                <m:rPr>
                  <m:sty m:val="p"/>
                </m:rPr>
                <m:t>)</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75,936.54</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8. Monthly increase ceiling</w:t>
            </w:r>
          </w:p>
        </w:tc>
        <w:tc>
          <w:tcPr>
            <w:tcW w:type="dxa" w:w="4393"/>
            <w:vAlign w:val="center"/>
            <w:tcMar>
              <w:top w:w="60" w:type="dxa"/>
              <w:start w:w="70" w:type="dxa"/>
              <w:bottom w:w="60" w:type="dxa"/>
              <w:end w:w="70" w:type="dxa"/>
            </w:tcMar>
          </w:tcPr>
          <w:p>
            <w:pPr>
              <w:pStyle w:val="TableParagraph"/>
              <w:spacing w:line="240" w:lineRule="auto" w:before="0" w:after="0"/>
              <w:jc w:val="left"/>
            </w:pPr>
            <m:oMath>
              <m:r>
                <m:t>1.10</m:t>
              </m:r>
              <m:r>
                <m:rPr>
                  <m:sty m:val="p"/>
                </m:rPr>
                <m:t>×</m:t>
              </m:r>
              <m:r>
                <m:t>70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77,000.00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9. Assigned limit</w:t>
            </w:r>
          </w:p>
        </w:tc>
        <w:tc>
          <w:tcPr>
            <w:tcW w:type="dxa" w:w="439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Smallest of steps 6–8</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75,936.54</w:t>
            </w:r>
          </w:p>
        </w:tc>
      </w:tr>
      <w:tr>
        <w:trPr>
          <w:cantSplit/>
        </w:trPr>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10. New available credit</w:t>
            </w:r>
          </w:p>
        </w:tc>
        <w:tc>
          <w:tcPr>
            <w:tcW w:type="dxa" w:w="4393"/>
            <w:vAlign w:val="center"/>
            <w:tcMar>
              <w:top w:w="60" w:type="dxa"/>
              <w:start w:w="70" w:type="dxa"/>
              <w:bottom w:w="60" w:type="dxa"/>
              <w:end w:w="70" w:type="dxa"/>
            </w:tcMar>
          </w:tcPr>
          <w:p>
            <w:pPr>
              <w:pStyle w:val="TableParagraph"/>
              <w:keepNext/>
              <w:spacing w:line="240" w:lineRule="auto" w:before="0" w:after="0"/>
              <w:jc w:val="left"/>
            </w:pPr>
            <m:oMath>
              <m:r>
                <m:t>75</m:t>
              </m:r>
              <m:r>
                <m:rPr>
                  <m:sty m:val="p"/>
                </m:rPr>
                <m:t>,</m:t>
              </m:r>
              <m:r>
                <m:t>936.54</m:t>
              </m:r>
              <m:r>
                <m:rPr>
                  <m:sty m:val="p"/>
                </m:rPr>
                <m:t>−</m:t>
              </m:r>
              <m:r>
                <m:t>60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USD 15,936.54</w:t>
            </w:r>
          </w:p>
        </w:tc>
      </w:tr>
    </w:tbl>
    <w:p>
      <w:pPr>
        <w:pStyle w:val="Caption"/>
        <w:spacing w:line="240" w:lineRule="auto"/>
        <w:jc w:val="center"/>
      </w:pPr>
      <w:r>
        <w:rPr>
          <w:rFonts w:ascii="Times New Roman" w:hAnsi="Times New Roman" w:eastAsia="Times New Roman"/>
          <w:i/>
          <w:iCs/>
          <w:sz w:val="24"/>
        </w:rPr>
        <w:t xml:space="preserve">Table 11. Worked credit-limit calculation.</w:t>
      </w:r>
    </w:p>
    <w:p>
      <w:pPr>
        <w:pStyle w:val="BodyText"/>
        <w:spacing w:before="0" w:after="200" w:line="276" w:lineRule="auto"/>
        <w:jc w:val="both"/>
      </w:pPr>
      <w:r>
        <w:rPr>
          <w:rFonts w:ascii="Times New Roman" w:hAnsi="Times New Roman" w:eastAsia="Times New Roman"/>
          <w:b w:val="0"/>
          <w:sz w:val="24"/>
        </w:rPr>
        <w:t xml:space="preserve">Here the cap does not bind and smoothing determines the assigned limit. Implementation uses full precision, while displayed amounts are rounded. The borrower is hypothetical.</w:t>
      </w:r>
    </w:p>
    <w:p>
      <w:pPr>
        <w:pStyle w:val="Heading2"/>
      </w:pPr>
      <w:bookmarkStart w:id="141" w:name="_de5acfe4e03f562a402e8aec34967ff041cb23b"/>
      <w:r>
        <w:rPr>
          <w:rFonts w:ascii="Times New Roman" w:hAnsi="Times New Roman" w:eastAsia="Times New Roman"/>
          <w:b/>
          <w:sz w:val="26"/>
        </w:rPr>
        <w:t xml:space="preserve">5.7 Scenario Assumptions and Limitations</w:t>
      </w:r>
      <w:bookmarkEnd w:id="141"/>
    </w:p>
    <w:p>
      <w:pPr>
        <w:pStyle w:val="BodyText"/>
        <w:spacing w:before="0" w:after="200" w:line="276" w:lineRule="auto"/>
        <w:jc w:val="both"/>
      </w:pPr>
      <w:r>
        <w:rPr>
          <w:rFonts w:ascii="Times New Roman" w:hAnsi="Times New Roman" w:eastAsia="Times New Roman"/>
          <w:b w:val="0"/>
          <w:sz w:val="24"/>
        </w:rPr>
        <w:t xml:space="preserve">Each record preserves input dates, currency, event and model versions, settings, intermediate amounts, constraints and change reasons. The base case assumes full cash eligibility, no additional 60-day debt payment, zero facility exposure and a 1%-of-assets cap. Missing required inputs are excluded. With no actual limits, drawings, repayments, losses, prices or profits, sensitivity tests behavior rather than optimality, safety or lender benefit.</w:t>
      </w:r>
    </w:p>
    <w:p>
      <w:pPr>
        <w:pStyle w:val="Heading1"/>
        <w:pageBreakBefore/>
      </w:pPr>
      <w:bookmarkStart w:id="142" w:name="_1a2151b2740a381a2f50970420ce11fd2959230"/>
      <w:r>
        <w:rPr>
          <w:rFonts w:ascii="Times New Roman" w:hAnsi="Times New Roman" w:eastAsia="Times New Roman"/>
          <w:b/>
          <w:sz w:val="32"/>
        </w:rPr>
        <w:t xml:space="preserve">6 Empirical Results</w:t>
      </w:r>
      <w:bookmarkEnd w:id="142"/>
    </w:p>
    <w:p>
      <w:pPr>
        <w:pStyle w:val="BodyText"/>
        <w:spacing w:before="0" w:after="200" w:line="276" w:lineRule="auto"/>
        <w:jc w:val="both"/>
      </w:pPr>
      <w:r>
        <w:rPr>
          <w:rFonts w:ascii="Times New Roman" w:hAnsi="Times New Roman" w:eastAsia="Times New Roman"/>
          <w:b w:val="0"/>
          <w:sz w:val="24"/>
        </w:rPr>
        <w:t xml:space="preserve">The primary experiment selects raw random-forest probabilities for their lowest 2020–2022 probability error among qualifying models. Later ranking remains useful, but probability improvement and fixed-threshold detection are limited.</w:t>
      </w:r>
    </w:p>
    <w:p>
      <w:pPr>
        <w:pStyle w:val="Heading2"/>
      </w:pPr>
      <w:bookmarkStart w:id="143" w:name="_ddd602ab46eb169874dac09626cea5a17ca534a"/>
      <w:r>
        <w:rPr>
          <w:rFonts w:ascii="Times New Roman" w:hAnsi="Times New Roman" w:eastAsia="Times New Roman"/>
          <w:b/>
          <w:sz w:val="26"/>
        </w:rPr>
        <w:t xml:space="preserve">6.1 Sample and Chronological Design</w:t>
      </w:r>
      <w:bookmarkEnd w:id="143"/>
    </w:p>
    <w:p>
      <w:pPr>
        <w:pStyle w:val="BodyText"/>
        <w:spacing w:before="0" w:after="200" w:line="276" w:lineRule="auto"/>
        <w:jc w:val="both"/>
      </w:pPr>
      <w:r>
        <w:rPr>
          <w:rFonts w:ascii="Times New Roman" w:hAnsi="Times New Roman" w:eastAsia="Times New Roman"/>
          <w:b w:val="0"/>
          <w:sz w:val="24"/>
        </w:rPr>
        <w:t xml:space="preserve">The labeled panel contains 565,222 company-months from 8,780 companies, with 1,052 positive rows representing 573 episodes in 487 companies. After purging, 531,344 observations enter five stages:</w:t>
      </w:r>
    </w:p>
    <w:tbl>
      <w:tblPr>
        <w:tblStyle w:val="TableGrid0"/>
        <w:tblW w:type="pct" w:w="5000"/>
        <w:jc w:val="center"/>
        <w:tblLayout w:type="fixed"/>
        <w:tblLook w:firstRow="1" w:lastRow="0" w:firstColumn="0" w:lastColumn="0" w:noHBand="0" w:noVBand="0" w:val="0020"/>
      </w:tblPr>
      <w:tblGrid>
        <w:gridCol w:w="2196"/>
        <w:gridCol w:w="1098"/>
        <w:gridCol w:w="1318"/>
        <w:gridCol w:w="878"/>
        <w:gridCol w:w="1318"/>
        <w:gridCol w:w="1098"/>
        <w:gridCol w:w="878"/>
      </w:tblGrid>
      <w:tr>
        <w:trPr>
          <w:tblHeader w:val="on"/>
          <w:tblHeader w:val="true"/>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Stage</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Calendar period</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Observations</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Positive rows</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Episodes</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Companies</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Event companies</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Training</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2011–2016</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196,174</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294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160</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5,783</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133</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Tuning</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2017–2018</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51,021</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58</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3,591</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56</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Calibration</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2019</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31,165</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74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45</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3,814</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43</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Selection</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2020–2022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121,142</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204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116</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4,883</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100</w:t>
            </w:r>
          </w:p>
        </w:tc>
      </w:tr>
      <w:tr>
        <w:trPr>
          <w:cantSplit/>
        </w:trPr>
        <w:tc>
          <w:tcPr>
            <w:tcW w:type="dxa" w:w="219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Later evaluation</w:t>
            </w:r>
          </w:p>
        </w:tc>
        <w:tc>
          <w:tcPr>
            <w:tcW w:type="dxa" w:w="1098"/>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2023–2025</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131,842</w:t>
            </w:r>
          </w:p>
        </w:tc>
        <w:tc>
          <w:tcPr>
            <w:tcW w:type="dxa" w:w="87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318</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176</w:t>
            </w:r>
          </w:p>
        </w:tc>
        <w:tc>
          <w:tcPr>
            <w:tcW w:type="dxa" w:w="109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4,633</w:t>
            </w:r>
          </w:p>
        </w:tc>
        <w:tc>
          <w:tcPr>
            <w:tcW w:type="dxa" w:w="87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165</w:t>
            </w:r>
          </w:p>
        </w:tc>
      </w:tr>
    </w:tbl>
    <w:p>
      <w:pPr>
        <w:pStyle w:val="Caption"/>
        <w:spacing w:line="240" w:lineRule="auto"/>
        <w:jc w:val="center"/>
      </w:pPr>
      <w:r>
        <w:rPr>
          <w:rFonts w:ascii="Times New Roman" w:hAnsi="Times New Roman" w:eastAsia="Times New Roman"/>
          <w:i/>
          <w:iCs/>
          <w:sz w:val="24"/>
        </w:rPr>
        <w:t xml:space="preserve">Table 12. Composition of the chronological modeling stages.</w:t>
      </w:r>
    </w:p>
    <w:p>
      <w:pPr>
        <w:pStyle w:val="BodyText"/>
        <w:spacing w:before="0" w:after="200" w:line="276" w:lineRule="auto"/>
        <w:jc w:val="both"/>
      </w:pPr>
      <w:r>
        <w:rPr>
          <w:rFonts w:ascii="Times New Roman" w:hAnsi="Times New Roman" w:eastAsia="Times New Roman"/>
          <w:b w:val="0"/>
          <w:i/>
          <w:iCs/>
          <w:sz w:val="24"/>
        </w:rPr>
        <w:t xml:space="preserve">Source: primary model experiment stage audit. Counts refer to observations retained after chronological purging.</w:t>
      </w:r>
    </w:p>
    <w:p>
      <w:pPr>
        <w:pStyle w:val="BodyText"/>
        <w:spacing w:before="0" w:after="200" w:line="276" w:lineRule="auto"/>
        <w:jc w:val="both"/>
      </w:pPr>
      <w:r>
        <w:rPr>
          <w:rFonts w:ascii="Times New Roman" w:hAnsi="Times New Roman" w:eastAsia="Times New Roman"/>
          <w:b w:val="0"/>
          <w:sz w:val="24"/>
        </w:rPr>
        <w:t xml:space="preserve">The purge removes 33,878 boundary rows whose labels were not yet available. One episode can create several positive months. The later period’s 318 positive rows represent 176 episodes in 165 companies. Although its outcomes do not enter final model development, that period was examined earlier, before the broader outcome definition, so evaluation is retrospective.</w:t>
      </w:r>
    </w:p>
    <w:p>
      <w:pPr>
        <w:pStyle w:val="BodyText"/>
        <w:spacing w:before="0" w:after="200" w:line="276" w:lineRule="auto"/>
        <w:jc w:val="both"/>
      </w:pPr>
      <w:r>
        <w:rPr>
          <w:rFonts w:ascii="Times New Roman" w:hAnsi="Times New Roman" w:eastAsia="Times New Roman"/>
          <w:b w:val="0"/>
          <w:sz w:val="24"/>
        </w:rPr>
        <w:t xml:space="preserve">Figure 1 shows that both coverage and event prevalence vary through time. These changes reinforce the use of annual forward folds and period-specific baselines rather than a random split that assumes exchangeable observations.</w:t>
      </w:r>
    </w:p>
    <w:p>
      <w:pPr>
        <w:pStyle w:val="BodyText"/>
        <w:spacing w:before="0" w:after="200" w:line="276" w:lineRule="auto"/>
        <w:jc w:val="both"/>
      </w:pPr>
      <w:r>
        <w:rPr>
          <w:rFonts w:ascii="Times New Roman" w:hAnsi="Times New Roman" w:eastAsia="Times New Roman"/>
          <w:b w:val="0"/>
          <w:sz w:val="24"/>
        </w:rPr>
        <w:t xml:space="preserve">Figure 1 summarizes annual sample coverage and the share of positive labels before chronological purging.</w:t>
      </w:r>
    </w:p>
    <w:p>
      <w:pPr>
        <w:pStyle w:val="BodyText"/>
        <w:keepNext/>
        <w:spacing w:line="240" w:lineRule="auto" w:before="0" w:after="0"/>
        <w:jc w:val="center"/>
      </w:pPr>
      <w:r>
        <w:drawing>
          <wp:inline>
            <wp:extent cx="5580000" cy="3742682"/>
            <wp:effectExtent b="0" l="0" r="0" t="0"/>
            <wp:docPr descr="" title="" id="145" name="Picture"/>
            <a:graphic>
              <a:graphicData uri="http://schemas.openxmlformats.org/drawingml/2006/picture">
                <pic:pic>
                  <pic:nvPicPr>
                    <pic:cNvPr descr="figures/sample_over_time.png" id="146" name="Picture"/>
                    <pic:cNvPicPr>
                      <a:picLocks noChangeArrowheads="1" noChangeAspect="1"/>
                    </pic:cNvPicPr>
                  </pic:nvPicPr>
                  <pic:blipFill>
                    <a:blip r:embed="rId144"/>
                    <a:stretch>
                      <a:fillRect/>
                    </a:stretch>
                  </pic:blipFill>
                  <pic:spPr bwMode="auto">
                    <a:xfrm>
                      <a:off x="0" y="0"/>
                      <a:ext cx="5580000" cy="3742682"/>
                    </a:xfrm>
                    <a:prstGeom prst="rect">
                      <a:avLst/>
                    </a:prstGeom>
                    <a:noFill/>
                    <a:ln w="9525">
                      <a:noFill/>
                      <a:headEnd/>
                      <a:tailEnd/>
                    </a:ln>
                  </pic:spPr>
                </pic:pic>
              </a:graphicData>
            </a:graphic>
          </wp:inline>
        </w:drawing>
      </w:r>
    </w:p>
    <w:p>
      <w:pPr>
        <w:pStyle w:val="Caption"/>
        <w:spacing w:line="240" w:lineRule="auto"/>
        <w:jc w:val="center"/>
      </w:pPr>
      <w:r>
        <w:rPr>
          <w:rFonts w:ascii="Times New Roman" w:hAnsi="Times New Roman" w:eastAsia="Times New Roman"/>
          <w:i/>
          <w:iCs/>
          <w:sz w:val="24"/>
        </w:rPr>
        <w:t xml:space="preserve">Figure 1. Sample coverage and positive-label share.</w:t>
      </w:r>
    </w:p>
    <w:p>
      <w:pPr>
        <w:pStyle w:val="Heading2"/>
      </w:pPr>
      <w:bookmarkStart w:id="147" w:name="_e172b5a2c5d655249c3c847be4faad5a038a35f"/>
      <w:r>
        <w:rPr>
          <w:rFonts w:ascii="Times New Roman" w:hAnsi="Times New Roman" w:eastAsia="Times New Roman"/>
          <w:b/>
          <w:sz w:val="26"/>
        </w:rPr>
        <w:t xml:space="preserve">6.2 Predictors and Tuning</w:t>
      </w:r>
      <w:bookmarkEnd w:id="147"/>
    </w:p>
    <w:p>
      <w:pPr>
        <w:pStyle w:val="BodyText"/>
        <w:spacing w:before="0" w:after="200" w:line="276" w:lineRule="auto"/>
        <w:jc w:val="both"/>
      </w:pPr>
      <w:r>
        <w:rPr>
          <w:rFonts w:ascii="Times New Roman" w:hAnsi="Times New Roman" w:eastAsia="Times New Roman"/>
          <w:b w:val="0"/>
          <w:sz w:val="24"/>
        </w:rPr>
        <w:t xml:space="preserve">Chronological tuning selects one setting per family:</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 family</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Selected setting</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Balanced class weights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Balanced class weights and</w:t>
            </w:r>
            <w:r>
              <w:rPr>
                <w:rFonts w:ascii="Times New Roman" w:hAnsi="Times New Roman" w:eastAsia="Times New Roman"/>
                <w:b w:val="0"/>
                <w:sz w:val="24"/>
              </w:rPr>
              <w:t xml:space="preserve"> </w:t>
            </w:r>
            <m:oMath>
              <m:r>
                <m:t>C</m:t>
              </m:r>
              <m:r>
                <m:rPr>
                  <m:sty m:val="p"/>
                </m:rPr>
                <m:t>=</m:t>
              </m:r>
              <m:r>
                <m:t>10</m:t>
              </m:r>
            </m:oMath>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Unweighted, 300 trees, unrestricted depth and minimum leaf size 20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Unweighted, 200 trees, depth 4 and learning rate 0.05</w:t>
            </w:r>
          </w:p>
        </w:tc>
      </w:tr>
    </w:tbl>
    <w:p>
      <w:pPr>
        <w:pStyle w:val="Caption"/>
        <w:spacing w:line="240" w:lineRule="auto"/>
        <w:jc w:val="center"/>
      </w:pPr>
      <w:r>
        <w:rPr>
          <w:rFonts w:ascii="Times New Roman" w:hAnsi="Times New Roman" w:eastAsia="Times New Roman"/>
          <w:i/>
          <w:iCs/>
          <w:sz w:val="24"/>
        </w:rPr>
        <w:t xml:space="preserve">Table 13. Selected settings by model family.</w:t>
      </w:r>
    </w:p>
    <w:p>
      <w:pPr>
        <w:pStyle w:val="BodyText"/>
        <w:spacing w:before="0" w:after="200" w:line="276" w:lineRule="auto"/>
        <w:jc w:val="both"/>
      </w:pPr>
      <w:r>
        <w:rPr>
          <w:rFonts w:ascii="Times New Roman" w:hAnsi="Times New Roman" w:eastAsia="Times New Roman"/>
          <w:b w:val="0"/>
          <w:sz w:val="24"/>
        </w:rPr>
        <w:t xml:space="preserve">Balanced weights are selected for logistic but not tree models. Appendix A gives the full grid.</w:t>
      </w:r>
    </w:p>
    <w:p>
      <w:pPr>
        <w:pStyle w:val="BodyText"/>
        <w:spacing w:before="0" w:after="200" w:line="276" w:lineRule="auto"/>
        <w:jc w:val="both"/>
      </w:pPr>
      <w:r>
        <w:rPr>
          <w:rFonts w:ascii="Times New Roman" w:hAnsi="Times New Roman" w:eastAsia="Times New Roman"/>
          <w:b w:val="0"/>
          <w:sz w:val="24"/>
        </w:rPr>
        <w:t xml:space="preserve">This pattern does not mean weighting is generally unsuitable for trees. It means that, under the predefined temporal tuning criterion and candidate grid, the unweighted tree settings transferred better across the two tuning years.</w:t>
      </w:r>
    </w:p>
    <w:p>
      <w:pPr>
        <w:pStyle w:val="Heading2"/>
      </w:pPr>
      <w:bookmarkStart w:id="148" w:name="_a546961918222bf09dcd12e2ca539f0992b26a1"/>
      <w:r>
        <w:rPr>
          <w:rFonts w:ascii="Times New Roman" w:hAnsi="Times New Roman" w:eastAsia="Times New Roman"/>
          <w:b/>
          <w:sz w:val="26"/>
        </w:rPr>
        <w:t xml:space="preserve">6.3 Probability Mapping and Model Selection</w:t>
      </w:r>
      <w:bookmarkEnd w:id="148"/>
    </w:p>
    <w:p>
      <w:pPr>
        <w:pStyle w:val="BodyText"/>
        <w:spacing w:before="0" w:after="200" w:line="276" w:lineRule="auto"/>
        <w:jc w:val="both"/>
      </w:pPr>
      <w:r>
        <w:rPr>
          <w:rFonts w:ascii="Times New Roman" w:hAnsi="Times New Roman" w:eastAsia="Times New Roman"/>
          <w:b w:val="0"/>
          <w:sz w:val="24"/>
        </w:rPr>
        <w:t xml:space="preserve">Sigmoid correction improves logistic Brier errors and is retained there. Raw outputs are retained for both trees. For the forest, correction worsens Brier score from 0.0016463 to 0.0017675.</w:t>
      </w:r>
    </w:p>
    <w:p>
      <w:pPr>
        <w:pStyle w:val="BodyText"/>
        <w:spacing w:before="0" w:after="200" w:line="276" w:lineRule="auto"/>
        <w:jc w:val="both"/>
      </w:pPr>
      <w:r>
        <w:rPr>
          <w:rFonts w:ascii="Times New Roman" w:hAnsi="Times New Roman" w:eastAsia="Times New Roman"/>
          <w:b w:val="0"/>
          <w:sz w:val="24"/>
        </w:rPr>
        <w:t xml:space="preserve">The selection-period event share is 0.1684% and constant Brier score 0.0016812. AP lift uses that event share. Negative Brier skill means worse probability error than the constant.</w:t>
      </w:r>
    </w:p>
    <w:tbl>
      <w:tblPr>
        <w:tblStyle w:val="TableGrid0"/>
        <w:tblW w:type="pct" w:w="5000"/>
        <w:jc w:val="center"/>
        <w:tblLayout w:type="fixed"/>
        <w:tblLook w:firstRow="1" w:lastRow="0" w:firstColumn="0" w:lastColumn="0" w:noHBand="0" w:noVBand="0" w:val="0020"/>
      </w:tblPr>
      <w:tblGrid>
        <w:gridCol w:w="2196"/>
        <w:gridCol w:w="1098"/>
        <w:gridCol w:w="1318"/>
        <w:gridCol w:w="878"/>
        <w:gridCol w:w="1318"/>
        <w:gridCol w:w="1098"/>
        <w:gridCol w:w="878"/>
      </w:tblGrid>
      <w:tr>
        <w:trPr>
          <w:tblHeader w:val="on"/>
          <w:tblHeader w:val="true"/>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 and probability mapping</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ROC-AUC</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Average precision</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AP lift</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score</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skill</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Accepted</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sigmoid</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0.8193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0.6182%</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3.67</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0.0017116</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−1.81%</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sigmoid</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0.8190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0.6168%</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3.66</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0.0017116</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−1.81%</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 raw</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0.8601</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4.3005%</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25.54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0.0016463</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2.08%</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Yes</w:t>
            </w:r>
          </w:p>
        </w:tc>
      </w:tr>
      <w:tr>
        <w:trPr>
          <w:cantSplit/>
        </w:trPr>
        <w:tc>
          <w:tcPr>
            <w:tcW w:type="dxa" w:w="219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 raw</w:t>
            </w:r>
          </w:p>
        </w:tc>
        <w:tc>
          <w:tcPr>
            <w:tcW w:type="dxa" w:w="109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0.8755</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3.9759%</w:t>
            </w:r>
          </w:p>
        </w:tc>
        <w:tc>
          <w:tcPr>
            <w:tcW w:type="dxa" w:w="87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23.61</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0.0016778</w:t>
            </w:r>
          </w:p>
        </w:tc>
        <w:tc>
          <w:tcPr>
            <w:tcW w:type="dxa" w:w="109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0.20%</w:t>
            </w:r>
          </w:p>
        </w:tc>
        <w:tc>
          <w:tcPr>
            <w:tcW w:type="dxa" w:w="878"/>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Yes</w:t>
            </w:r>
          </w:p>
        </w:tc>
      </w:tr>
    </w:tbl>
    <w:p>
      <w:pPr>
        <w:pStyle w:val="Caption"/>
        <w:spacing w:line="240" w:lineRule="auto"/>
        <w:jc w:val="center"/>
      </w:pPr>
      <w:r>
        <w:rPr>
          <w:rFonts w:ascii="Times New Roman" w:hAnsi="Times New Roman" w:eastAsia="Times New Roman"/>
          <w:i/>
          <w:iCs/>
          <w:sz w:val="24"/>
        </w:rPr>
        <w:t xml:space="preserve">Table 14. Model selection results for 2020–2022.</w:t>
      </w:r>
    </w:p>
    <w:p>
      <w:pPr>
        <w:pStyle w:val="BodyText"/>
        <w:spacing w:before="0" w:after="200" w:line="276" w:lineRule="auto"/>
        <w:jc w:val="both"/>
      </w:pPr>
      <w:r>
        <w:rPr>
          <w:rFonts w:ascii="Times New Roman" w:hAnsi="Times New Roman" w:eastAsia="Times New Roman"/>
          <w:b w:val="0"/>
          <w:sz w:val="24"/>
        </w:rPr>
        <w:t xml:space="preserve">Logistic models improve ranking but fail the Brier requirement. Both trees pass. The forest wins on Brier despite XGBoost’s higher ROC-AUC. Its F1-maximizing threshold is 0.057971 and is frozen for later alert evaluation. Policy uses continuous probability.</w:t>
      </w:r>
    </w:p>
    <w:p>
      <w:pPr>
        <w:pStyle w:val="BodyText"/>
        <w:spacing w:before="0" w:after="200" w:line="276" w:lineRule="auto"/>
        <w:jc w:val="both"/>
      </w:pPr>
      <w:r>
        <w:rPr>
          <w:rFonts w:ascii="Times New Roman" w:hAnsi="Times New Roman" w:eastAsia="Times New Roman"/>
          <w:b w:val="0"/>
          <w:sz w:val="24"/>
        </w:rPr>
        <w:t xml:space="preserve">The selection rule therefore favors usable probability scale over the strongest ranking alone. The small difference in tree-model Brier scores should not be read as proof of general forest superiority, especially given the alternative-period result below.</w:t>
      </w:r>
    </w:p>
    <w:p>
      <w:pPr>
        <w:pStyle w:val="Heading2"/>
      </w:pPr>
      <w:bookmarkStart w:id="149" w:name="_9ae97c0b4dc5d189b74dc50cdbdd97db6dce890"/>
      <w:r>
        <w:rPr>
          <w:rFonts w:ascii="Times New Roman" w:hAnsi="Times New Roman" w:eastAsia="Times New Roman"/>
          <w:b/>
          <w:sz w:val="26"/>
        </w:rPr>
        <w:t xml:space="preserve">6.4 Later Evaluation</w:t>
      </w:r>
      <w:bookmarkEnd w:id="149"/>
    </w:p>
    <w:p>
      <w:pPr>
        <w:pStyle w:val="BodyText"/>
        <w:spacing w:before="0" w:after="200" w:line="276" w:lineRule="auto"/>
        <w:jc w:val="both"/>
      </w:pPr>
      <w:r>
        <w:rPr>
          <w:rFonts w:ascii="Times New Roman" w:hAnsi="Times New Roman" w:eastAsia="Times New Roman"/>
          <w:b w:val="0"/>
          <w:sz w:val="24"/>
        </w:rPr>
        <w:t xml:space="preserve">For 2023–2025, AP lift uses the 0.2412% event share and Brier skill the constant score of 0.0024070.</w:t>
      </w:r>
    </w:p>
    <w:tbl>
      <w:tblPr>
        <w:tblStyle w:val="TableGrid0"/>
        <w:tblW w:type="pct" w:w="5000"/>
        <w:jc w:val="center"/>
        <w:tblLayout w:type="fixed"/>
        <w:tblLook w:firstRow="1" w:lastRow="0" w:firstColumn="0" w:lastColumn="0" w:noHBand="0" w:noVBand="0" w:val="0020"/>
      </w:tblPr>
      <w:tblGrid>
        <w:gridCol w:w="2196"/>
        <w:gridCol w:w="1318"/>
        <w:gridCol w:w="1318"/>
        <w:gridCol w:w="1318"/>
        <w:gridCol w:w="1318"/>
        <w:gridCol w:w="1318"/>
      </w:tblGrid>
      <w:tr>
        <w:trPr>
          <w:tblHeader w:val="on"/>
          <w:tblHeader w:val="true"/>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ROC-AUC</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Average precision</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AP lift</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score</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skill</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Constant</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0.5000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0.2412%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0.0024070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sigmoid</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0.8274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1.0678%</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4.43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0.0023953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0.49%</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sigmoid</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0.8272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1.0671%</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4.42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0.0023953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0.49%</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bCs/>
                <w:sz w:val="24"/>
              </w:rPr>
              <w:t xml:space="preserve">Random forest, raw</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0.8866</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2.5989%</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10.77</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0.0023840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0.95%</w:t>
            </w:r>
          </w:p>
        </w:tc>
      </w:tr>
      <w:tr>
        <w:trPr>
          <w:cantSplit/>
        </w:trPr>
        <w:tc>
          <w:tcPr>
            <w:tcW w:type="dxa" w:w="219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 raw</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0.8946</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2.8057%</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11.63</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0.0025355</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−5.34%</w:t>
            </w:r>
          </w:p>
        </w:tc>
      </w:tr>
    </w:tbl>
    <w:p>
      <w:pPr>
        <w:pStyle w:val="Caption"/>
        <w:spacing w:line="240" w:lineRule="auto"/>
        <w:jc w:val="center"/>
      </w:pPr>
      <w:r>
        <w:rPr>
          <w:rFonts w:ascii="Times New Roman" w:hAnsi="Times New Roman" w:eastAsia="Times New Roman"/>
          <w:i/>
          <w:iCs/>
          <w:sz w:val="24"/>
        </w:rPr>
        <w:t xml:space="preserve">Table 15. Later-period ranking and probability performance.</w:t>
      </w:r>
    </w:p>
    <w:p>
      <w:pPr>
        <w:pStyle w:val="BodyText"/>
        <w:spacing w:before="0" w:after="200" w:line="276" w:lineRule="auto"/>
        <w:jc w:val="both"/>
      </w:pPr>
      <w:r>
        <w:rPr>
          <w:rFonts w:ascii="Times New Roman" w:hAnsi="Times New Roman" w:eastAsia="Times New Roman"/>
          <w:b w:val="0"/>
          <w:sz w:val="24"/>
        </w:rPr>
        <w:t xml:space="preserve">Frozen-threshold performance is:</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Precision</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Recall</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Constant</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sigmoid</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1.49%</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23.27%</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sigmoid</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1.48%</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23.27%</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bCs/>
                <w:sz w:val="24"/>
              </w:rPr>
              <w:t xml:space="preserve">Random forest, raw</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5.63%</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9.12%</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 raw</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6.21%</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6.92%</w:t>
            </w:r>
          </w:p>
        </w:tc>
      </w:tr>
    </w:tbl>
    <w:p>
      <w:pPr>
        <w:pStyle w:val="Caption"/>
        <w:spacing w:line="240" w:lineRule="auto"/>
        <w:jc w:val="center"/>
      </w:pPr>
      <w:r>
        <w:rPr>
          <w:rFonts w:ascii="Times New Roman" w:hAnsi="Times New Roman" w:eastAsia="Times New Roman"/>
          <w:i/>
          <w:iCs/>
          <w:sz w:val="24"/>
        </w:rPr>
        <w:t xml:space="preserve">Table 16. Later-period performance at the frozen alert thresholds.</w:t>
      </w:r>
    </w:p>
    <w:p>
      <w:pPr>
        <w:pStyle w:val="BodyText"/>
        <w:spacing w:before="0" w:after="200" w:line="276" w:lineRule="auto"/>
        <w:jc w:val="both"/>
      </w:pPr>
      <w:r>
        <w:rPr>
          <w:rFonts w:ascii="Times New Roman" w:hAnsi="Times New Roman" w:eastAsia="Times New Roman"/>
          <w:b w:val="0"/>
          <w:sz w:val="24"/>
        </w:rPr>
        <w:t xml:space="preserve">The forest’s AP is 10.77 times the event share, but Brier error improves only 0.95%. Its mean probability is 0.284% against a 0.241% observed share. Of 515 alerts, 29 precede a positive row. The model misses 289 of 318 positive rows. At least one alert precedes 18 of 176 episodes (10.23%).</w:t>
      </w:r>
    </w:p>
    <w:p>
      <w:pPr>
        <w:pStyle w:val="BodyText"/>
        <w:spacing w:before="0" w:after="200" w:line="276" w:lineRule="auto"/>
        <w:jc w:val="both"/>
      </w:pPr>
      <w:r>
        <w:rPr>
          <w:rFonts w:ascii="Times New Roman" w:hAnsi="Times New Roman" w:eastAsia="Times New Roman"/>
          <w:b w:val="0"/>
          <w:sz w:val="24"/>
        </w:rPr>
        <w:t xml:space="preserve">Precision of 5.63% is much higher than prevalence but still means most alerts are false positives under the disclosure definition. Recall of 9.12% means most positive rows remain below the selection-period threshold. These metrics describe an alerting use case and do not determine the continuous policy adjustment.</w:t>
      </w:r>
    </w:p>
    <w:p>
      <w:pPr>
        <w:pStyle w:val="BodyText"/>
        <w:spacing w:before="0" w:after="200" w:line="276" w:lineRule="auto"/>
        <w:jc w:val="both"/>
      </w:pPr>
      <w:r>
        <w:rPr>
          <w:rFonts w:ascii="Times New Roman" w:hAnsi="Times New Roman" w:eastAsia="Times New Roman"/>
          <w:b w:val="0"/>
          <w:sz w:val="24"/>
        </w:rPr>
        <w:t xml:space="preserve">Annual ROC-AUC is 0.8715, 0.8777 and 0.9329 in 2023–2025. AP is 2.793%, 2.927% and 2.904%. Company-cluster 95% intervals are 0.8668–0.9061 for ROC-AUC, 1.817%–4.378% for AP and 0.002040–0.002799 for Brier score, excluding model-selection uncertainty, shared shocks and label error.</w:t>
      </w:r>
    </w:p>
    <w:p>
      <w:pPr>
        <w:pStyle w:val="BodyText"/>
        <w:spacing w:before="0" w:after="200" w:line="276" w:lineRule="auto"/>
        <w:jc w:val="both"/>
      </w:pPr>
      <w:r>
        <w:rPr>
          <w:rFonts w:ascii="Times New Roman" w:hAnsi="Times New Roman" w:eastAsia="Times New Roman"/>
          <w:b w:val="0"/>
          <w:sz w:val="24"/>
        </w:rPr>
        <w:t xml:space="preserve">The annual results show that the aggregate ranking is not produced by a single weak or strong year. Nevertheless, only three later years are available, and their confidence intervals do not represent a new economic regime.</w:t>
      </w:r>
    </w:p>
    <w:p>
      <w:pPr>
        <w:pStyle w:val="BodyText"/>
        <w:spacing w:before="0" w:after="200" w:line="276" w:lineRule="auto"/>
        <w:jc w:val="both"/>
      </w:pPr>
      <w:r>
        <w:rPr>
          <w:rFonts w:ascii="Times New Roman" w:hAnsi="Times New Roman" w:eastAsia="Times New Roman"/>
          <w:b w:val="0"/>
          <w:sz w:val="24"/>
        </w:rPr>
        <w:t xml:space="preserve">Figure 2 summarizes the ranking and probability diagnostics for the 2023–2025 evaluation period.</w:t>
      </w:r>
    </w:p>
    <w:p>
      <w:pPr>
        <w:pStyle w:val="BodyText"/>
        <w:keepNext/>
        <w:spacing w:line="240" w:lineRule="auto" w:before="0" w:after="0"/>
        <w:jc w:val="center"/>
      </w:pPr>
      <w:r>
        <w:drawing>
          <wp:inline>
            <wp:extent cx="5580000" cy="2434351"/>
            <wp:effectExtent b="0" l="0" r="0" t="0"/>
            <wp:docPr descr="" title="" id="151" name="Picture"/>
            <a:graphic>
              <a:graphicData uri="http://schemas.openxmlformats.org/drawingml/2006/picture">
                <pic:pic>
                  <pic:nvPicPr>
                    <pic:cNvPr descr="figures/model_diagnostics.png" id="152" name="Picture"/>
                    <pic:cNvPicPr>
                      <a:picLocks noChangeArrowheads="1" noChangeAspect="1"/>
                    </pic:cNvPicPr>
                  </pic:nvPicPr>
                  <pic:blipFill>
                    <a:blip r:embed="rId150"/>
                    <a:stretch>
                      <a:fillRect/>
                    </a:stretch>
                  </pic:blipFill>
                  <pic:spPr bwMode="auto">
                    <a:xfrm>
                      <a:off x="0" y="0"/>
                      <a:ext cx="5580000" cy="2434351"/>
                    </a:xfrm>
                    <a:prstGeom prst="rect">
                      <a:avLst/>
                    </a:prstGeom>
                    <a:noFill/>
                    <a:ln w="9525">
                      <a:noFill/>
                      <a:headEnd/>
                      <a:tailEnd/>
                    </a:ln>
                  </pic:spPr>
                </pic:pic>
              </a:graphicData>
            </a:graphic>
          </wp:inline>
        </w:drawing>
      </w:r>
    </w:p>
    <w:p>
      <w:pPr>
        <w:pStyle w:val="Caption"/>
        <w:spacing w:line="240" w:lineRule="auto"/>
        <w:jc w:val="center"/>
      </w:pPr>
      <w:r>
        <w:rPr>
          <w:rFonts w:ascii="Times New Roman" w:hAnsi="Times New Roman" w:eastAsia="Times New Roman"/>
          <w:i/>
          <w:iCs/>
          <w:sz w:val="24"/>
        </w:rPr>
        <w:t xml:space="preserve">Figure 2. Model diagnostics, 2023–2025.</w:t>
      </w:r>
    </w:p>
    <w:p>
      <w:pPr>
        <w:pStyle w:val="Heading2"/>
      </w:pPr>
      <w:bookmarkStart w:id="153" w:name="_91feb5ee9817eab7ba00ad7506512a5fb244537"/>
      <w:r>
        <w:rPr>
          <w:rFonts w:ascii="Times New Roman" w:hAnsi="Times New Roman" w:eastAsia="Times New Roman"/>
          <w:b/>
          <w:sz w:val="26"/>
        </w:rPr>
        <w:t xml:space="preserve">6.5 Alternative-Period Sensitivity</w:t>
      </w:r>
      <w:bookmarkEnd w:id="153"/>
    </w:p>
    <w:p>
      <w:pPr>
        <w:pStyle w:val="BodyText"/>
        <w:spacing w:before="0" w:after="200" w:line="276" w:lineRule="auto"/>
        <w:jc w:val="both"/>
      </w:pPr>
      <w:r>
        <w:rPr>
          <w:rFonts w:ascii="Times New Roman" w:hAnsi="Times New Roman" w:eastAsia="Times New Roman"/>
          <w:b w:val="0"/>
          <w:sz w:val="24"/>
        </w:rPr>
        <w:t xml:space="preserve">Changing chronological periods changes the selected model:</w:t>
      </w:r>
    </w:p>
    <w:tbl>
      <w:tblPr>
        <w:tblStyle w:val="TableGrid0"/>
        <w:tblW w:type="pct" w:w="5000"/>
        <w:jc w:val="center"/>
        <w:tblLayout w:type="fixed"/>
        <w:tblLook w:firstRow="1" w:lastRow="0" w:firstColumn="0" w:lastColumn="0" w:noHBand="0" w:noVBand="0" w:val="0020"/>
      </w:tblPr>
      <w:tblGrid>
        <w:gridCol w:w="2723"/>
        <w:gridCol w:w="2723"/>
        <w:gridCol w:w="1669"/>
        <w:gridCol w:w="1669"/>
      </w:tblGrid>
      <w:tr>
        <w:trPr>
          <w:tblHeader w:val="on"/>
          <w:tblHeader w:val="true"/>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Experiment</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Tuning period</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Selection period</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Selected model</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Primary model experiment</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2017–2018</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2020–2022</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w:t>
            </w:r>
          </w:p>
        </w:tc>
      </w:tr>
      <w:tr>
        <w:trPr>
          <w:cantSplit/>
        </w:trPr>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Alternative-period sensitivity experiment</w:t>
            </w:r>
          </w:p>
        </w:tc>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2018</w:t>
            </w:r>
          </w:p>
        </w:tc>
        <w:tc>
          <w:tcPr>
            <w:tcW w:type="dxa" w:w="1669"/>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2023–2024</w:t>
            </w:r>
          </w:p>
        </w:tc>
        <w:tc>
          <w:tcPr>
            <w:tcW w:type="dxa" w:w="1669"/>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w:t>
            </w:r>
          </w:p>
        </w:tc>
      </w:tr>
    </w:tbl>
    <w:p>
      <w:pPr>
        <w:pStyle w:val="Caption"/>
        <w:spacing w:line="240" w:lineRule="auto"/>
        <w:jc w:val="center"/>
      </w:pPr>
      <w:r>
        <w:rPr>
          <w:rFonts w:ascii="Times New Roman" w:hAnsi="Times New Roman" w:eastAsia="Times New Roman"/>
          <w:i/>
          <w:iCs/>
          <w:sz w:val="24"/>
        </w:rPr>
        <w:t xml:space="preserve">Table 17. Alternative-period model-selection sensitivity.</w:t>
      </w:r>
    </w:p>
    <w:p>
      <w:pPr>
        <w:pStyle w:val="BodyText"/>
        <w:spacing w:before="0" w:after="200" w:line="276" w:lineRule="auto"/>
        <w:jc w:val="both"/>
      </w:pPr>
      <w:r>
        <w:rPr>
          <w:rFonts w:ascii="Times New Roman" w:hAnsi="Times New Roman" w:eastAsia="Times New Roman"/>
          <w:b w:val="0"/>
          <w:sz w:val="24"/>
        </w:rPr>
        <w:t xml:space="preserve">The alternative also changes training dates and excludes 2020–2022, so it establishes period sensitivity rather than a single cause or pandemic effect. Conducted after primary results were examined, it is not independent validation.</w:t>
      </w:r>
    </w:p>
    <w:p>
      <w:pPr>
        <w:pStyle w:val="Heading2"/>
      </w:pPr>
      <w:bookmarkStart w:id="154" w:name="_interpretation"/>
      <w:r>
        <w:rPr>
          <w:rFonts w:ascii="Times New Roman" w:hAnsi="Times New Roman" w:eastAsia="Times New Roman"/>
          <w:b/>
          <w:sz w:val="26"/>
        </w:rPr>
        <w:t xml:space="preserve">6.6 Interpretation</w:t>
      </w:r>
      <w:bookmarkEnd w:id="154"/>
    </w:p>
    <w:p>
      <w:pPr>
        <w:pStyle w:val="BodyText"/>
        <w:spacing w:before="0" w:after="200" w:line="276" w:lineRule="auto"/>
        <w:jc w:val="both"/>
      </w:pPr>
      <w:r>
        <w:rPr>
          <w:rFonts w:ascii="Times New Roman" w:hAnsi="Times New Roman" w:eastAsia="Times New Roman"/>
          <w:b w:val="0"/>
          <w:sz w:val="24"/>
        </w:rPr>
        <w:t xml:space="preserve">Permutation importance is highest for log assets, followed by working capital to assets, asset growth and liabilities to assets. This measures predictive reliance, not causation. Correlated features can share importance. Useful ranking does not make the threshold a stand-alone rule, since most events are missed and most alerts are false. The disclosure proxy also does not establish distress onset or facility default. Results support a reproducible signal and illustrative policy, not measured lending performance.</w:t>
      </w:r>
    </w:p>
    <w:p>
      <w:pPr>
        <w:pStyle w:val="BodyText"/>
        <w:spacing w:before="0" w:after="200" w:line="276" w:lineRule="auto"/>
        <w:jc w:val="both"/>
      </w:pPr>
      <w:r>
        <w:rPr>
          <w:rFonts w:ascii="Times New Roman" w:hAnsi="Times New Roman" w:eastAsia="Times New Roman"/>
          <w:b w:val="0"/>
          <w:sz w:val="24"/>
        </w:rPr>
        <w:t xml:space="preserve">Company size may proxy for reporting quality, financing access or other omitted differences, so its importance requires caution. Borrower-level deployment would need reason codes and stability checks beyond this global ranking of features.</w:t>
      </w:r>
    </w:p>
    <w:p>
      <w:pPr>
        <w:pStyle w:val="Heading1"/>
        <w:pageBreakBefore/>
      </w:pPr>
      <w:bookmarkStart w:id="155" w:name="_c763255d5a54f4d77e205045c4e2586e0b0538d"/>
      <w:r>
        <w:rPr>
          <w:rFonts w:ascii="Times New Roman" w:hAnsi="Times New Roman" w:eastAsia="Times New Roman"/>
          <w:b/>
          <w:sz w:val="32"/>
        </w:rPr>
        <w:t xml:space="preserve">7 Credit-Limit Policy Results</w:t>
      </w:r>
      <w:bookmarkEnd w:id="155"/>
    </w:p>
    <w:p>
      <w:pPr>
        <w:pStyle w:val="BodyText"/>
        <w:spacing w:before="0" w:after="200" w:line="276" w:lineRule="auto"/>
        <w:jc w:val="both"/>
      </w:pPr>
      <w:r>
        <w:rPr>
          <w:rFonts w:ascii="Times New Roman" w:hAnsi="Times New Roman" w:eastAsia="Times New Roman"/>
          <w:b w:val="0"/>
          <w:sz w:val="24"/>
        </w:rPr>
        <w:t xml:space="preserve">The 2023–2025 replay combines SEC accounts, random-forest probabilities and hypothetical facility assumptions. It tests rule behavior, not observed lending decisions.</w:t>
      </w:r>
    </w:p>
    <w:p>
      <w:pPr>
        <w:pStyle w:val="Heading2"/>
      </w:pPr>
      <w:bookmarkStart w:id="156" w:name="_6389566ce1a64398a72c30fab45cb375e39f60a"/>
      <w:r>
        <w:rPr>
          <w:rFonts w:ascii="Times New Roman" w:hAnsi="Times New Roman" w:eastAsia="Times New Roman"/>
          <w:b/>
          <w:sz w:val="26"/>
        </w:rPr>
        <w:t xml:space="preserve">7.1 Replay Sample and Reference Assumptions</w:t>
      </w:r>
      <w:bookmarkEnd w:id="156"/>
    </w:p>
    <w:p>
      <w:pPr>
        <w:pStyle w:val="BodyText"/>
        <w:spacing w:before="0" w:after="200" w:line="276" w:lineRule="auto"/>
        <w:jc w:val="both"/>
      </w:pPr>
      <w:r>
        <w:rPr>
          <w:rFonts w:ascii="Times New Roman" w:hAnsi="Times New Roman" w:eastAsia="Times New Roman"/>
          <w:b w:val="0"/>
          <w:sz w:val="24"/>
        </w:rPr>
        <w:t xml:space="preserve">The replay requires valid point-in-time financial inputs and probability, but no future label:</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Policy-sample step</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Company-months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Candidate financial observations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141,460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Missing required revenue, operating cash flow, cash or assets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−41,799</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Invalid required financial values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−42</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Included in the policy replay</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99,619</w:t>
            </w:r>
          </w:p>
        </w:tc>
      </w:tr>
    </w:tbl>
    <w:p>
      <w:pPr>
        <w:pStyle w:val="Caption"/>
        <w:spacing w:line="240" w:lineRule="auto"/>
        <w:jc w:val="center"/>
      </w:pPr>
      <w:r>
        <w:rPr>
          <w:rFonts w:ascii="Times New Roman" w:hAnsi="Times New Roman" w:eastAsia="Times New Roman"/>
          <w:i/>
          <w:iCs/>
          <w:sz w:val="24"/>
        </w:rPr>
        <w:t xml:space="preserve">Table 18. Construction of the policy-replay sample.</w:t>
      </w:r>
    </w:p>
    <w:p>
      <w:pPr>
        <w:pStyle w:val="BodyText"/>
        <w:spacing w:before="0" w:after="200" w:line="276" w:lineRule="auto"/>
        <w:jc w:val="both"/>
      </w:pPr>
      <w:r>
        <w:rPr>
          <w:rFonts w:ascii="Times New Roman" w:hAnsi="Times New Roman" w:eastAsia="Times New Roman"/>
          <w:b w:val="0"/>
          <w:sz w:val="24"/>
        </w:rPr>
        <w:t xml:space="preserve">The 99,619 included rows cover 3,869 companies. Among candidates, 29.6% lack required, non-imputed values. The included rows form 5,176 consecutive-month segments. After a gap, a new segment begins as a hypothetical initial assessment, only as a replay convention.</w:t>
      </w:r>
    </w:p>
    <w:p>
      <w:pPr>
        <w:pStyle w:val="BodyText"/>
        <w:spacing w:before="0" w:after="200" w:line="276" w:lineRule="auto"/>
        <w:jc w:val="both"/>
      </w:pPr>
      <w:r>
        <w:rPr>
          <w:rFonts w:ascii="Times New Roman" w:hAnsi="Times New Roman" w:eastAsia="Times New Roman"/>
          <w:b w:val="0"/>
          <w:sz w:val="24"/>
        </w:rPr>
        <w:t xml:space="preserve">This sample differs from later model evaluation because policy calculation does not require an outcome observable 60 days afterward. It instead requires the financial amounts needed to assign money, which explains why its inclusion rules and row count are reported separately.</w:t>
      </w:r>
    </w:p>
    <w:p>
      <w:pPr>
        <w:pStyle w:val="BodyText"/>
        <w:spacing w:before="0" w:after="200" w:line="276" w:lineRule="auto"/>
        <w:jc w:val="both"/>
      </w:pPr>
      <w:r>
        <w:rPr>
          <w:rFonts w:ascii="Times New Roman" w:hAnsi="Times New Roman" w:eastAsia="Times New Roman"/>
          <w:b w:val="0"/>
          <w:sz w:val="24"/>
        </w:rPr>
        <w:t xml:space="preserve">The reference, or base, scenario uses the following assumptions: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Input or policy rule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Reference assumption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Probability model</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Selected random forest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Reported cash treated as eligible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Additional external debt payment due within 60 days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Zero</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Maximum exposure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 of reported assets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Outstanding facility exposure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Zero</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Risk sensitivity</w:t>
            </w:r>
          </w:p>
        </w:tc>
        <w:tc>
          <w:tcPr>
            <w:tcW w:type="dxa" w:w="2284"/>
            <w:vAlign w:val="center"/>
            <w:tcMar>
              <w:top w:w="60" w:type="dxa"/>
              <w:start w:w="70" w:type="dxa"/>
              <w:bottom w:w="60" w:type="dxa"/>
              <w:end w:w="70" w:type="dxa"/>
            </w:tcMar>
          </w:tcPr>
          <w:p>
            <w:pPr>
              <w:pStyle w:val="TableParagraph"/>
              <w:spacing w:line="240" w:lineRule="auto" w:before="0" w:after="0"/>
              <w:jc w:val="right"/>
            </w:pPr>
            <m:oMath>
              <m:r>
                <m:t>k</m:t>
              </m:r>
              <m:r>
                <m:rPr>
                  <m:sty m:val="p"/>
                </m:rPr>
                <m:t>=</m:t>
              </m:r>
              <m:r>
                <m:t>10</m:t>
              </m:r>
            </m:oMath>
            <w:r>
              <w:rPr>
                <w:rFonts w:ascii="Times New Roman" w:hAnsi="Times New Roman" w:eastAsia="Times New Roman"/>
                <w:b w:val="0"/>
                <w:sz w:val="24"/>
              </w:rPr>
              <w:t xml:space="preserve">​</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Increase smoothing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Maximum monthly increase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Increase deadband</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2%</w:t>
            </w:r>
          </w:p>
        </w:tc>
      </w:tr>
    </w:tbl>
    <w:p>
      <w:pPr>
        <w:pStyle w:val="Caption"/>
        <w:spacing w:line="240" w:lineRule="auto"/>
        <w:jc w:val="center"/>
      </w:pPr>
      <w:r>
        <w:rPr>
          <w:rFonts w:ascii="Times New Roman" w:hAnsi="Times New Roman" w:eastAsia="Times New Roman"/>
          <w:i/>
          <w:iCs/>
          <w:sz w:val="24"/>
        </w:rPr>
        <w:t xml:space="preserve">Table 19. Reference policy assumptions.</w:t>
      </w:r>
    </w:p>
    <w:p>
      <w:pPr>
        <w:pStyle w:val="BodyText"/>
        <w:spacing w:before="0" w:after="200" w:line="276" w:lineRule="auto"/>
        <w:jc w:val="both"/>
      </w:pPr>
      <w:r>
        <w:rPr>
          <w:rFonts w:ascii="Times New Roman" w:hAnsi="Times New Roman" w:eastAsia="Times New Roman"/>
          <w:b w:val="0"/>
          <w:sz w:val="24"/>
        </w:rPr>
        <w:t xml:space="preserve">Revenue, cash flow, cash and assets are observed. Cash eligibility, debt payments, cap and facility exposure are assumptions. The reference is not an optimal standard.</w:t>
      </w:r>
    </w:p>
    <w:p>
      <w:pPr>
        <w:pStyle w:val="Heading2"/>
      </w:pPr>
      <w:bookmarkStart w:id="157" w:name="_7b128c6cc36661f6cfffaa505f5e25832623914"/>
      <w:r>
        <w:rPr>
          <w:rFonts w:ascii="Times New Roman" w:hAnsi="Times New Roman" w:eastAsia="Times New Roman"/>
          <w:b/>
          <w:sz w:val="26"/>
        </w:rPr>
        <w:t xml:space="preserve">7.2 Reference-Scenario Results</w:t>
      </w:r>
      <w:bookmarkEnd w:id="157"/>
    </w:p>
    <w:p>
      <w:pPr>
        <w:pStyle w:val="BodyText"/>
        <w:spacing w:before="0" w:after="200" w:line="276" w:lineRule="auto"/>
        <w:jc w:val="both"/>
      </w:pPr>
      <w:r>
        <w:rPr>
          <w:rFonts w:ascii="Times New Roman" w:hAnsi="Times New Roman" w:eastAsia="Times New Roman"/>
          <w:b w:val="0"/>
          <w:sz w:val="24"/>
        </w:rPr>
        <w:t xml:space="preserve">The reference policy produces the following results: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Outcome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Reference result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Mean assigned limit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55.09 million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Median assigned limit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4.23 million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Mean assigned limit / assets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0.668%</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Zero-limit share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Known-disclosure hard-stop rows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262</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Preliminary limit determined by the exposure cap</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53.42%</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Mean absolute monthly change / assets</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0.0290%</w:t>
            </w:r>
          </w:p>
        </w:tc>
      </w:tr>
    </w:tbl>
    <w:p>
      <w:pPr>
        <w:pStyle w:val="Caption"/>
        <w:spacing w:line="240" w:lineRule="auto"/>
        <w:jc w:val="center"/>
      </w:pPr>
      <w:r>
        <w:rPr>
          <w:rFonts w:ascii="Times New Roman" w:hAnsi="Times New Roman" w:eastAsia="Times New Roman"/>
          <w:i/>
          <w:iCs/>
          <w:sz w:val="24"/>
        </w:rPr>
        <w:t xml:space="preserve">Table 20. Reference-scenario credit-limit results.</w:t>
      </w:r>
    </w:p>
    <w:p>
      <w:pPr>
        <w:pStyle w:val="BodyText"/>
        <w:spacing w:before="0" w:after="200" w:line="276" w:lineRule="auto"/>
        <w:jc w:val="both"/>
      </w:pPr>
      <w:r>
        <w:rPr>
          <w:rFonts w:ascii="Times New Roman" w:hAnsi="Times New Roman" w:eastAsia="Times New Roman"/>
          <w:b w:val="0"/>
          <w:sz w:val="24"/>
        </w:rPr>
        <w:t xml:space="preserve">Large public companies raise the mean above the median, so neither represents a typical small private borrower. The 0.668% figure averages row-level limit/assets ratios. Zeros arise from capacity, hard stops or non-reopening. The 262 hard-stop rows are not distinct companies or episodes. The 1%-of-assets cap binds in 53.42% of rows.</w:t>
      </w:r>
    </w:p>
    <w:p>
      <w:pPr>
        <w:pStyle w:val="BodyText"/>
        <w:spacing w:before="0" w:after="200" w:line="276" w:lineRule="auto"/>
        <w:jc w:val="both"/>
      </w:pPr>
      <w:r>
        <w:rPr>
          <w:rFonts w:ascii="Times New Roman" w:hAnsi="Times New Roman" w:eastAsia="Times New Roman"/>
          <w:b w:val="0"/>
          <w:sz w:val="24"/>
        </w:rPr>
        <w:t xml:space="preserve">Frequent cap binding also explains why probability changes have a modest aggregate effect: when the cap is already below risk-adjusted capacity, a small movement in probability leaves the preliminary limit unchanged. Probability matters more where capacity rather than the cap binds.</w:t>
      </w:r>
    </w:p>
    <w:p>
      <w:pPr>
        <w:pStyle w:val="BodyText"/>
        <w:spacing w:before="0" w:after="200" w:line="276" w:lineRule="auto"/>
        <w:jc w:val="both"/>
      </w:pPr>
      <w:r>
        <w:rPr>
          <w:rFonts w:ascii="Times New Roman" w:hAnsi="Times New Roman" w:eastAsia="Times New Roman"/>
          <w:b w:val="0"/>
          <w:sz w:val="24"/>
        </w:rPr>
        <w:t xml:space="preserve">The replay contains 94,443 transitions between consecutive months within the same company segment:</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Monthly result</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Transitions</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Share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Increase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17,088</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18.09%</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Decrease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9,309</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9.86%</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No change</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68,046</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72.05%</w:t>
            </w:r>
          </w:p>
        </w:tc>
      </w:tr>
    </w:tbl>
    <w:p>
      <w:pPr>
        <w:pStyle w:val="Caption"/>
        <w:spacing w:line="240" w:lineRule="auto"/>
        <w:jc w:val="center"/>
      </w:pPr>
      <w:r>
        <w:rPr>
          <w:rFonts w:ascii="Times New Roman" w:hAnsi="Times New Roman" w:eastAsia="Times New Roman"/>
          <w:i/>
          <w:iCs/>
          <w:sz w:val="24"/>
        </w:rPr>
        <w:t xml:space="preserve">Table 21. Monthly transitions under the reference policy.</w:t>
      </w:r>
    </w:p>
    <w:p>
      <w:pPr>
        <w:pStyle w:val="BodyText"/>
        <w:spacing w:before="0" w:after="200" w:line="276" w:lineRule="auto"/>
        <w:jc w:val="both"/>
      </w:pPr>
      <w:r>
        <w:rPr>
          <w:rFonts w:ascii="Times New Roman" w:hAnsi="Times New Roman" w:eastAsia="Times New Roman"/>
          <w:b w:val="0"/>
          <w:sz w:val="24"/>
        </w:rPr>
        <w:t xml:space="preserve">Most limits are unchanged because statements are carried forward. Gaps are not transitions.</w:t>
      </w:r>
    </w:p>
    <w:p>
      <w:pPr>
        <w:pStyle w:val="BodyText"/>
        <w:spacing w:before="0" w:after="200" w:line="276" w:lineRule="auto"/>
        <w:jc w:val="both"/>
      </w:pPr>
      <w:r>
        <w:rPr>
          <w:rFonts w:ascii="Times New Roman" w:hAnsi="Times New Roman" w:eastAsia="Times New Roman"/>
          <w:b w:val="0"/>
          <w:sz w:val="24"/>
        </w:rPr>
        <w:t xml:space="preserve">The remaining changes can reflect a new financial filing, a probability update, a change in the asset cap or state carried by the monthly rules. Counting only consecutive observations avoids treating a post-gap initial assessment as an ordinary monthly movement.</w:t>
      </w:r>
    </w:p>
    <w:p>
      <w:pPr>
        <w:pStyle w:val="Heading2"/>
      </w:pPr>
      <w:bookmarkStart w:id="158" w:name="_d181af670d228b474a22455dafbb4afd0147862"/>
      <w:r>
        <w:rPr>
          <w:rFonts w:ascii="Times New Roman" w:hAnsi="Times New Roman" w:eastAsia="Times New Roman"/>
          <w:b/>
          <w:sz w:val="26"/>
        </w:rPr>
        <w:t xml:space="preserve">7.3 Sensitivity to Policy Assumptions</w:t>
      </w:r>
      <w:bookmarkEnd w:id="158"/>
    </w:p>
    <w:p>
      <w:pPr>
        <w:pStyle w:val="BodyText"/>
        <w:spacing w:before="0" w:after="200" w:line="276" w:lineRule="auto"/>
        <w:jc w:val="both"/>
      </w:pPr>
      <w:r>
        <w:rPr>
          <w:rFonts w:ascii="Times New Roman" w:hAnsi="Times New Roman" w:eastAsia="Times New Roman"/>
          <w:b w:val="0"/>
          <w:sz w:val="24"/>
        </w:rPr>
        <w:t xml:space="preserve">Each sensitivity changes one assumption on the same observations.</w:t>
      </w:r>
    </w:p>
    <w:tbl>
      <w:tblPr>
        <w:tblStyle w:val="TableGrid0"/>
        <w:tblW w:type="pct" w:w="5000"/>
        <w:jc w:val="center"/>
        <w:tblLayout w:type="fixed"/>
        <w:tblLook w:firstRow="1" w:lastRow="0" w:firstColumn="0" w:lastColumn="0" w:noHBand="0" w:noVBand="0" w:val="0020"/>
      </w:tblPr>
      <w:tblGrid>
        <w:gridCol w:w="2723"/>
        <w:gridCol w:w="2723"/>
        <w:gridCol w:w="1669"/>
        <w:gridCol w:w="1669"/>
      </w:tblGrid>
      <w:tr>
        <w:trPr>
          <w:tblHeader w:val="on"/>
          <w:tblHeader w:val="true"/>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Scenario</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Meaning</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Mean limit /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Zero-limit share</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Reference policy</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Assumptions listed in Section 7.1</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0.668%</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probability-based risk adjustment</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Removes the exponential reduction but retains the cap, monthly rules and hard stops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0.675%</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50% of reported cash eligible</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Treats half of reported cash as available</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0.593%</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reported cash eligible</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Excludes reported cash from the capacity proxy</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0.312%</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48.30%</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Exposure cap: 0.5% of assets</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Reduces the maximum exposure from 1% to 0.5% of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0.388%</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Exposure cap: 2% of assets</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Raises the maximum exposure from 1% to 2% of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0.954%</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60-day debt payment: 0.5% of assets</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Deducts an assumed near-term payment equal to 0.5% of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0.429%</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36.48%</w:t>
            </w:r>
          </w:p>
        </w:tc>
      </w:tr>
      <w:tr>
        <w:trPr>
          <w:cantSplit/>
        </w:trPr>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Stronger risk reduction,</w:t>
            </w:r>
            <w:r>
              <w:rPr>
                <w:rFonts w:ascii="Times New Roman" w:hAnsi="Times New Roman" w:eastAsia="Times New Roman"/>
                <w:b w:val="0"/>
                <w:sz w:val="24"/>
              </w:rPr>
              <w:t xml:space="preserve"> </w:t>
            </w:r>
            <m:oMath>
              <m:r>
                <m:t>k</m:t>
              </m:r>
              <m:r>
                <m:rPr>
                  <m:sty m:val="p"/>
                </m:rPr>
                <m:t>=</m:t>
              </m:r>
              <m:r>
                <m:t>20</m:t>
              </m:r>
            </m:oMath>
          </w:p>
        </w:tc>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Doubles the sensitivity of the limit to the estimated probability</w:t>
            </w:r>
          </w:p>
        </w:tc>
        <w:tc>
          <w:tcPr>
            <w:tcW w:type="dxa" w:w="1669"/>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0.659%</w:t>
            </w:r>
          </w:p>
        </w:tc>
        <w:tc>
          <w:tcPr>
            <w:tcW w:type="dxa" w:w="1669"/>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3.55%</w:t>
            </w:r>
          </w:p>
        </w:tc>
      </w:tr>
    </w:tbl>
    <w:p>
      <w:pPr>
        <w:pStyle w:val="Caption"/>
        <w:spacing w:line="240" w:lineRule="auto"/>
        <w:jc w:val="center"/>
      </w:pPr>
      <w:r>
        <w:rPr>
          <w:rFonts w:ascii="Times New Roman" w:hAnsi="Times New Roman" w:eastAsia="Times New Roman"/>
          <w:i/>
          <w:iCs/>
          <w:sz w:val="24"/>
        </w:rPr>
        <w:t xml:space="preserve">Table 22. Sensitivity of policy results to alternative assumptions.</w:t>
      </w:r>
    </w:p>
    <w:p>
      <w:pPr>
        <w:pStyle w:val="BodyText"/>
        <w:spacing w:before="0" w:after="200" w:line="276" w:lineRule="auto"/>
        <w:jc w:val="both"/>
      </w:pPr>
      <w:r>
        <w:rPr>
          <w:rFonts w:ascii="Times New Roman" w:hAnsi="Times New Roman" w:eastAsia="Times New Roman"/>
          <w:b w:val="0"/>
          <w:sz w:val="24"/>
        </w:rPr>
        <w:t xml:space="preserve">Removing probability reduction raises mean limit/assets only from 0.6678% to 0.6751%, as probabilities are low and the cap often binds. By contrast, no eligible cash raises zero limits to 48.30%, and a debt deduction of 0.5% of assets raises them to 36.48%. Cap changes also have large effects. These are sensitivities to unobserved assumptions, not borrower facts. Alternative model probabilities barely change the mean. The values are 0.6678% for random forest, 0.6658% for XGBoost and 0.6669% for logistic, although individual limits may differ.</w:t>
      </w:r>
    </w:p>
    <w:p>
      <w:pPr>
        <w:pStyle w:val="BodyText"/>
        <w:spacing w:before="0" w:after="200" w:line="276" w:lineRule="auto"/>
        <w:jc w:val="both"/>
      </w:pPr>
      <w:r>
        <w:rPr>
          <w:rFonts w:ascii="Times New Roman" w:hAnsi="Times New Roman" w:eastAsia="Times New Roman"/>
          <w:b w:val="0"/>
          <w:sz w:val="24"/>
        </w:rPr>
        <w:t xml:space="preserve">The comparison identifies which inputs would merit the strongest evidence in a real application. Cash eligibility and contractual payment schedules must be measured borrower by borrower. An aggregate similarity across probability models cannot compensate for uncertainty in those capacity inputs.</w:t>
      </w:r>
    </w:p>
    <w:p>
      <w:pPr>
        <w:pStyle w:val="BodyText"/>
        <w:spacing w:before="0" w:after="200" w:line="276" w:lineRule="auto"/>
        <w:jc w:val="both"/>
      </w:pPr>
      <w:r>
        <w:rPr>
          <w:rFonts w:ascii="Times New Roman" w:hAnsi="Times New Roman" w:eastAsia="Times New Roman"/>
          <w:b w:val="0"/>
          <w:sz w:val="24"/>
        </w:rPr>
        <w:t xml:space="preserve">Figure 3 compares scenarios on identical historical observations.</w:t>
      </w:r>
    </w:p>
    <w:p>
      <w:pPr>
        <w:pStyle w:val="BodyText"/>
        <w:keepNext/>
        <w:spacing w:line="240" w:lineRule="auto" w:before="0" w:after="0"/>
        <w:jc w:val="center"/>
      </w:pPr>
      <w:r>
        <w:drawing>
          <wp:inline>
            <wp:extent cx="5580000" cy="3096592"/>
            <wp:effectExtent b="0" l="0" r="0" t="0"/>
            <wp:docPr descr="" title="" id="160" name="Picture"/>
            <a:graphic>
              <a:graphicData uri="http://schemas.openxmlformats.org/drawingml/2006/picture">
                <pic:pic>
                  <pic:nvPicPr>
                    <pic:cNvPr descr="figures/policy_sensitivity.png" id="161" name="Picture"/>
                    <pic:cNvPicPr>
                      <a:picLocks noChangeArrowheads="1" noChangeAspect="1"/>
                    </pic:cNvPicPr>
                  </pic:nvPicPr>
                  <pic:blipFill>
                    <a:blip r:embed="rId159"/>
                    <a:stretch>
                      <a:fillRect/>
                    </a:stretch>
                  </pic:blipFill>
                  <pic:spPr bwMode="auto">
                    <a:xfrm>
                      <a:off x="0" y="0"/>
                      <a:ext cx="5580000" cy="3096592"/>
                    </a:xfrm>
                    <a:prstGeom prst="rect">
                      <a:avLst/>
                    </a:prstGeom>
                    <a:noFill/>
                    <a:ln w="9525">
                      <a:noFill/>
                      <a:headEnd/>
                      <a:tailEnd/>
                    </a:ln>
                  </pic:spPr>
                </pic:pic>
              </a:graphicData>
            </a:graphic>
          </wp:inline>
        </w:drawing>
      </w:r>
    </w:p>
    <w:p>
      <w:pPr>
        <w:pStyle w:val="Caption"/>
        <w:spacing w:line="240" w:lineRule="auto"/>
        <w:jc w:val="center"/>
      </w:pPr>
      <w:r>
        <w:rPr>
          <w:rFonts w:ascii="Times New Roman" w:hAnsi="Times New Roman" w:eastAsia="Times New Roman"/>
          <w:i/>
          <w:iCs/>
          <w:sz w:val="24"/>
        </w:rPr>
        <w:t xml:space="preserve">Figure 3. Policy sensitivity.</w:t>
      </w:r>
    </w:p>
    <w:p>
      <w:pPr>
        <w:pStyle w:val="Heading2"/>
      </w:pPr>
      <w:bookmarkStart w:id="162" w:name="_e111c01a18cd7c08b1c7ec7456ce3969a895898"/>
      <w:r>
        <w:rPr>
          <w:rFonts w:ascii="Times New Roman" w:hAnsi="Times New Roman" w:eastAsia="Times New Roman"/>
          <w:b/>
          <w:sz w:val="26"/>
        </w:rPr>
        <w:t xml:space="preserve">7.4 Effect of the Monthly Update Rules</w:t>
      </w:r>
      <w:bookmarkEnd w:id="162"/>
    </w:p>
    <w:p>
      <w:pPr>
        <w:pStyle w:val="BodyText"/>
        <w:spacing w:before="0" w:after="200" w:line="276" w:lineRule="auto"/>
        <w:jc w:val="both"/>
      </w:pPr>
      <w:r>
        <w:rPr>
          <w:rFonts w:ascii="Times New Roman" w:hAnsi="Times New Roman" w:eastAsia="Times New Roman"/>
          <w:b w:val="0"/>
          <w:sz w:val="24"/>
        </w:rPr>
        <w:t xml:space="preserve">Two benchmarks isolate monthly safeguards:</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Monthly-rule version</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Mean limit / assets</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Mean absolute monthly change / assets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Reference policy</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0.6678%</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0.02904%</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each segment’s initial limit</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0.6786%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0.02107%</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Apply each month’s preliminary limit without smoothing</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0.7399%</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0.04227%</w:t>
            </w:r>
          </w:p>
        </w:tc>
      </w:tr>
    </w:tbl>
    <w:p>
      <w:pPr>
        <w:pStyle w:val="Caption"/>
        <w:spacing w:line="240" w:lineRule="auto"/>
        <w:jc w:val="center"/>
      </w:pPr>
      <w:r>
        <w:rPr>
          <w:rFonts w:ascii="Times New Roman" w:hAnsi="Times New Roman" w:eastAsia="Times New Roman"/>
          <w:i/>
          <w:iCs/>
          <w:sz w:val="24"/>
        </w:rPr>
        <w:t xml:space="preserve">Table 23. Effect of alternative monthly update rules.</w:t>
      </w:r>
    </w:p>
    <w:p>
      <w:pPr>
        <w:pStyle w:val="BodyText"/>
        <w:spacing w:before="0" w:after="200" w:line="276" w:lineRule="auto"/>
        <w:jc w:val="both"/>
      </w:pPr>
      <w:r>
        <w:rPr>
          <w:rFonts w:ascii="Times New Roman" w:hAnsi="Times New Roman" w:eastAsia="Times New Roman"/>
          <w:b w:val="0"/>
          <w:sz w:val="24"/>
        </w:rPr>
        <w:t xml:space="preserve">Keeping each segment’s initial limit reduces movement but exceeds the current preliminary limit in 19.80% of rows. Applying each preliminary limit directly increases movement and can reopen after zero. The reference instead phases in increases, applies reductions immediately and bars automatic reopening.</w:t>
      </w:r>
    </w:p>
    <w:p>
      <w:pPr>
        <w:pStyle w:val="BodyText"/>
        <w:spacing w:before="0" w:after="200" w:line="276" w:lineRule="auto"/>
        <w:jc w:val="both"/>
      </w:pPr>
      <w:r>
        <w:rPr>
          <w:rFonts w:ascii="Times New Roman" w:hAnsi="Times New Roman" w:eastAsia="Times New Roman"/>
          <w:b w:val="0"/>
          <w:sz w:val="24"/>
        </w:rPr>
        <w:t xml:space="preserve">These benchmarks show the trade-off between stability and responsiveness. Fewer changes are not inherently safer if the retained limit exceeds current support, while immediate application can create operationally costly increases and decreases.</w:t>
      </w:r>
    </w:p>
    <w:p>
      <w:pPr>
        <w:pStyle w:val="Heading2"/>
      </w:pPr>
      <w:bookmarkStart w:id="163" w:name="_d1fc51b46f3a44580dace152fdda38887e22723"/>
      <w:r>
        <w:rPr>
          <w:rFonts w:ascii="Times New Roman" w:hAnsi="Times New Roman" w:eastAsia="Times New Roman"/>
          <w:b/>
          <w:sz w:val="26"/>
        </w:rPr>
        <w:t xml:space="preserve">7.5 Scope of the Evidence</w:t>
      </w:r>
      <w:bookmarkEnd w:id="163"/>
    </w:p>
    <w:p>
      <w:pPr>
        <w:pStyle w:val="BodyText"/>
        <w:spacing w:before="0" w:after="200" w:line="276" w:lineRule="auto"/>
        <w:jc w:val="both"/>
      </w:pPr>
      <w:r>
        <w:rPr>
          <w:rFonts w:ascii="Times New Roman" w:hAnsi="Times New Roman" w:eastAsia="Times New Roman"/>
          <w:b w:val="0"/>
          <w:sz w:val="24"/>
        </w:rPr>
        <w:t xml:space="preserve">Results are conditional on full cash eligibility, no additional 60-day debt payment, a 1%-of-assets cap and zero facility exposure. Thus, assigned limit equals available credit only in this replay. A zero blocks new credit but does not repay existing exposure. The replay has no actual commitments, utilization, repayments, losses, pricing, decisions or customer effects. It also uses a disclosure rather than facility-default target. It therefore cannot establish suitability, loss reduction or profit.</w:t>
      </w:r>
    </w:p>
    <w:p>
      <w:pPr>
        <w:pStyle w:val="Heading1"/>
        <w:pageBreakBefore/>
      </w:pPr>
      <w:bookmarkStart w:id="164" w:name="_c7daefc8022e204a8d26397da6357efddd44400"/>
      <w:r>
        <w:rPr>
          <w:rFonts w:ascii="Times New Roman" w:hAnsi="Times New Roman" w:eastAsia="Times New Roman"/>
          <w:b/>
          <w:sz w:val="32"/>
        </w:rPr>
        <w:t xml:space="preserve">8 Discussion, Limitations and Conclusion</w:t>
      </w:r>
      <w:bookmarkEnd w:id="164"/>
    </w:p>
    <w:p>
      <w:pPr>
        <w:pStyle w:val="Heading2"/>
      </w:pPr>
      <w:bookmarkStart w:id="165" w:name="_bb02a63370b06644b9812cba1937ab1558802c3"/>
      <w:r>
        <w:rPr>
          <w:rFonts w:ascii="Times New Roman" w:hAnsi="Times New Roman" w:eastAsia="Times New Roman"/>
          <w:b/>
          <w:sz w:val="26"/>
        </w:rPr>
        <w:t xml:space="preserve">8.1 Answers to the Research Questions</w:t>
      </w:r>
      <w:bookmarkEnd w:id="165"/>
    </w:p>
    <w:p>
      <w:pPr>
        <w:pStyle w:val="Heading3"/>
      </w:pPr>
      <w:bookmarkStart w:id="166" w:name="_0f554f5dfaefbecee87d58fba485caaf1645a02"/>
      <w:r>
        <w:rPr>
          <w:rFonts w:ascii="Times New Roman" w:hAnsi="Times New Roman" w:eastAsia="Times New Roman"/>
          <w:b/>
          <w:sz w:val="24"/>
        </w:rPr>
        <w:t xml:space="preserve">8.1.1 Prediction Compared with a Constant Benchmark</w:t>
      </w:r>
      <w:bookmarkEnd w:id="166"/>
    </w:p>
    <w:p>
      <w:pPr>
        <w:pStyle w:val="BodyText"/>
        <w:spacing w:before="0" w:after="200" w:line="276" w:lineRule="auto"/>
        <w:jc w:val="both"/>
      </w:pPr>
      <w:r>
        <w:rPr>
          <w:rFonts w:ascii="Times New Roman" w:hAnsi="Times New Roman" w:eastAsia="Times New Roman"/>
          <w:b w:val="0"/>
          <w:sz w:val="24"/>
        </w:rPr>
        <w:t xml:space="preserve">In retrospective 2023–2025 evaluation, the forest achieves ROC-AUC 0.8866, average precision 2.60% versus a 0.241% event share (10.77 lift), and 0.95% less Brier error than the constant. Ranking improves substantially but probability error only slightly. Its 515 fixed-threshold alerts include 29 positives, while 289 of 318 positive rows and 158 of 176 episodes receive no prior alert. The threshold is not a stand-alone rule.</w:t>
      </w:r>
    </w:p>
    <w:p>
      <w:pPr>
        <w:pStyle w:val="BodyText"/>
        <w:spacing w:before="0" w:after="200" w:line="276" w:lineRule="auto"/>
        <w:jc w:val="both"/>
      </w:pPr>
      <w:r>
        <w:rPr>
          <w:rFonts w:ascii="Times New Roman" w:hAnsi="Times New Roman" w:eastAsia="Times New Roman"/>
          <w:b w:val="0"/>
          <w:sz w:val="24"/>
        </w:rPr>
        <w:t xml:space="preserve">The evidence therefore answers the first question differently depending on the intended use. It supports prioritizing observations for review, but gives only weak evidence that the numerical probability is more accurate than a constant rare-event rate.</w:t>
      </w:r>
    </w:p>
    <w:p>
      <w:pPr>
        <w:pStyle w:val="Heading3"/>
      </w:pPr>
      <w:bookmarkStart w:id="167" w:name="_0ed4c6ade760182aaa6edc76d1259b7b1619f0e"/>
      <w:r>
        <w:rPr>
          <w:rFonts w:ascii="Times New Roman" w:hAnsi="Times New Roman" w:eastAsia="Times New Roman"/>
          <w:b/>
          <w:sz w:val="24"/>
        </w:rPr>
        <w:t xml:space="preserve">8.1.2 Tree Models Compared with Logistic Regression</w:t>
      </w:r>
      <w:bookmarkEnd w:id="167"/>
    </w:p>
    <w:p>
      <w:pPr>
        <w:pStyle w:val="BodyText"/>
        <w:spacing w:before="0" w:after="200" w:line="276" w:lineRule="auto"/>
        <w:jc w:val="both"/>
      </w:pPr>
      <w:r>
        <w:rPr>
          <w:rFonts w:ascii="Times New Roman" w:hAnsi="Times New Roman" w:eastAsia="Times New Roman"/>
          <w:b w:val="0"/>
          <w:sz w:val="24"/>
        </w:rPr>
        <w:t xml:space="preserve">Both trees rank better than logistic regression, but probability quality differs: random forest has 0.95% Brier skill while XGBoost has −5.34% despite slightly better ranking. The rule selects the forest on 2020–2022 Brier error, whereas the alternative period selects XGBoost. Trees aid ranking, but neither is consistently superior.</w:t>
      </w:r>
    </w:p>
    <w:p>
      <w:pPr>
        <w:pStyle w:val="BodyText"/>
        <w:spacing w:before="0" w:after="200" w:line="276" w:lineRule="auto"/>
        <w:jc w:val="both"/>
      </w:pPr>
      <w:r>
        <w:rPr>
          <w:rFonts w:ascii="Times New Roman" w:hAnsi="Times New Roman" w:eastAsia="Times New Roman"/>
          <w:b w:val="0"/>
          <w:sz w:val="24"/>
        </w:rPr>
        <w:t xml:space="preserve">This result also illustrates why model family should not be chosen from ROC-AUC alone. A flexible model can order cases effectively while producing a probability scale unsuitable for direct monetary use.</w:t>
      </w:r>
    </w:p>
    <w:p>
      <w:pPr>
        <w:pStyle w:val="Heading3"/>
      </w:pPr>
      <w:bookmarkStart w:id="168" w:name="_65a829123bf0e14deeeacd2e13528ab2b53cb6c"/>
      <w:r>
        <w:rPr>
          <w:rFonts w:ascii="Times New Roman" w:hAnsi="Times New Roman" w:eastAsia="Times New Roman"/>
          <w:b/>
          <w:sz w:val="24"/>
        </w:rPr>
        <w:t xml:space="preserve">8.1.3 Converting Risk and Financial Capacity into a Limit</w:t>
      </w:r>
      <w:bookmarkEnd w:id="168"/>
    </w:p>
    <w:p>
      <w:pPr>
        <w:pStyle w:val="BodyText"/>
        <w:spacing w:before="0" w:after="200" w:line="276" w:lineRule="auto"/>
        <w:jc w:val="both"/>
      </w:pPr>
      <w:r>
        <w:rPr>
          <w:rFonts w:ascii="Times New Roman" w:hAnsi="Times New Roman" w:eastAsia="Times New Roman"/>
          <w:b w:val="0"/>
          <w:sz w:val="24"/>
        </w:rPr>
        <w:t xml:space="preserve">The policy derives capacity from revenue, positive operating cash flow, eligible cash and near-term debt payments, then applies probability reduction, an asset cap and asymmetric monthly rules. The result is transparent and reproducible, not proven optimal or safe because facility inputs are assumed.</w:t>
      </w:r>
    </w:p>
    <w:p>
      <w:pPr>
        <w:pStyle w:val="BodyText"/>
        <w:spacing w:before="0" w:after="200" w:line="276" w:lineRule="auto"/>
        <w:jc w:val="both"/>
      </w:pPr>
      <w:r>
        <w:rPr>
          <w:rFonts w:ascii="Times New Roman" w:hAnsi="Times New Roman" w:eastAsia="Times New Roman"/>
          <w:b w:val="0"/>
          <w:sz w:val="24"/>
        </w:rPr>
        <w:t xml:space="preserve">Its value is therefore procedural: it makes each assumption visible, preserves intermediate amounts and supplies a reason for every change. Such transparency allows lender-specific inputs and tolerances to replace research assumptions later.</w:t>
      </w:r>
    </w:p>
    <w:p>
      <w:pPr>
        <w:pStyle w:val="Heading3"/>
      </w:pPr>
      <w:bookmarkStart w:id="169" w:name="_1a1be55b91e7fa5368d210132e895f10cf9b6f8"/>
      <w:r>
        <w:rPr>
          <w:rFonts w:ascii="Times New Roman" w:hAnsi="Times New Roman" w:eastAsia="Times New Roman"/>
          <w:b/>
          <w:sz w:val="24"/>
        </w:rPr>
        <w:t xml:space="preserve">8.1.4 Monthly Behavior and Alternative Policy Assumptions</w:t>
      </w:r>
      <w:bookmarkEnd w:id="169"/>
    </w:p>
    <w:p>
      <w:pPr>
        <w:pStyle w:val="BodyText"/>
        <w:spacing w:before="0" w:after="200" w:line="276" w:lineRule="auto"/>
        <w:jc w:val="both"/>
      </w:pPr>
      <w:r>
        <w:rPr>
          <w:rFonts w:ascii="Times New Roman" w:hAnsi="Times New Roman" w:eastAsia="Times New Roman"/>
          <w:b w:val="0"/>
          <w:sz w:val="24"/>
        </w:rPr>
        <w:t xml:space="preserve">Among transitions, 72.05% are unchanged, 18.09% increase and 9.86% decrease. The cap binds in 53.42% of rows. Removing risk adjustment raises mean limit/assets only from 0.6678% to 0.6751%, while cash eligibility, debt payments and the cap matter much more. Aggregate limits are thus driven primarily by capacity and exposure assumptions, although probability can matter for individual high-risk firms.</w:t>
      </w:r>
    </w:p>
    <w:p>
      <w:pPr>
        <w:pStyle w:val="BodyText"/>
        <w:spacing w:before="0" w:after="200" w:line="276" w:lineRule="auto"/>
        <w:jc w:val="both"/>
      </w:pPr>
      <w:r>
        <w:rPr>
          <w:rFonts w:ascii="Times New Roman" w:hAnsi="Times New Roman" w:eastAsia="Times New Roman"/>
          <w:b w:val="0"/>
          <w:sz w:val="24"/>
        </w:rPr>
        <w:t xml:space="preserve">The dominance of capacity assumptions is economically plausible because the model predicts a very rare event and more than half of preliminary limits are capped. It also warns against investing in marginal model improvements while leaving repayment-capacity inputs unmeasured.</w:t>
      </w:r>
    </w:p>
    <w:p>
      <w:pPr>
        <w:pStyle w:val="Heading2"/>
      </w:pPr>
      <w:bookmarkStart w:id="170" w:name="_contribution"/>
      <w:r>
        <w:rPr>
          <w:rFonts w:ascii="Times New Roman" w:hAnsi="Times New Roman" w:eastAsia="Times New Roman"/>
          <w:b/>
          <w:sz w:val="26"/>
        </w:rPr>
        <w:t xml:space="preserve">8.2 Contribution</w:t>
      </w:r>
      <w:bookmarkEnd w:id="170"/>
    </w:p>
    <w:p>
      <w:pPr>
        <w:pStyle w:val="BodyText"/>
        <w:spacing w:before="0" w:after="200" w:line="276" w:lineRule="auto"/>
        <w:jc w:val="both"/>
      </w:pPr>
      <w:r>
        <w:rPr>
          <w:rFonts w:ascii="Times New Roman" w:hAnsi="Times New Roman" w:eastAsia="Times New Roman"/>
          <w:b w:val="0"/>
          <w:sz w:val="24"/>
        </w:rPr>
        <w:t xml:space="preserve">The contribution is a reproducible point-in-time SEC panel and a separate policy layer that distinguishes observed data, model estimates and facility assumptions. Ranking, probability error and alerts are evaluated separately because ranking alone does not validate probabilities for a monetary formula.</w:t>
      </w:r>
    </w:p>
    <w:p>
      <w:pPr>
        <w:pStyle w:val="BodyText"/>
        <w:spacing w:before="0" w:after="200" w:line="276" w:lineRule="auto"/>
        <w:jc w:val="both"/>
      </w:pPr>
      <w:r>
        <w:rPr>
          <w:rFonts w:ascii="Times New Roman" w:hAnsi="Times New Roman" w:eastAsia="Times New Roman"/>
          <w:b w:val="0"/>
          <w:sz w:val="24"/>
        </w:rPr>
        <w:t xml:space="preserve">Together, these elements form an end-to-end research design rather than only a prediction exercise. The same audit trail can support later replacement of disclosure labels and scenario inputs with lender outcomes without changing the conceptual separation between estimation and policy.</w:t>
      </w:r>
    </w:p>
    <w:p>
      <w:pPr>
        <w:pStyle w:val="Heading2"/>
      </w:pPr>
      <w:bookmarkStart w:id="171" w:name="_limitations"/>
      <w:r>
        <w:rPr>
          <w:rFonts w:ascii="Times New Roman" w:hAnsi="Times New Roman" w:eastAsia="Times New Roman"/>
          <w:b/>
          <w:sz w:val="26"/>
        </w:rPr>
        <w:t xml:space="preserve">8.3 Limitations</w:t>
      </w:r>
      <w:bookmarkEnd w:id="171"/>
    </w:p>
    <w:p>
      <w:pPr>
        <w:pStyle w:val="BodyText"/>
        <w:spacing w:before="0" w:after="200" w:line="276" w:lineRule="auto"/>
        <w:jc w:val="both"/>
      </w:pPr>
      <w:r>
        <w:rPr>
          <w:rFonts w:ascii="Times New Roman" w:hAnsi="Times New Roman" w:eastAsia="Times New Roman"/>
          <w:b w:val="0"/>
          <w:sz w:val="24"/>
        </w:rPr>
        <w:t xml:space="preserve">The outcome is a disclosure episode, not verified facility default. Filing dates may lag distress, the 90-day grouping gap does not prove recovery, and automated Item 2.04 review lacks independent human validation.</w:t>
      </w:r>
    </w:p>
    <w:p>
      <w:pPr>
        <w:pStyle w:val="BodyText"/>
        <w:spacing w:before="0" w:after="200" w:line="276" w:lineRule="auto"/>
        <w:jc w:val="both"/>
      </w:pPr>
      <w:r>
        <w:rPr>
          <w:rFonts w:ascii="Times New Roman" w:hAnsi="Times New Roman" w:eastAsia="Times New Roman"/>
          <w:b w:val="0"/>
          <w:sz w:val="24"/>
        </w:rPr>
        <w:t xml:space="preserve">The rare outcome and accounting data contain missingness, inconsistency and noise. Quarterly or annual inputs remain unchanged between monthly decisions, and the replay excludes 41,841 of 141,460 candidate rows for invalid or missing inputs.</w:t>
      </w:r>
    </w:p>
    <w:p>
      <w:pPr>
        <w:pStyle w:val="BodyText"/>
        <w:spacing w:before="0" w:after="200" w:line="276" w:lineRule="auto"/>
        <w:jc w:val="both"/>
      </w:pPr>
      <w:r>
        <w:rPr>
          <w:rFonts w:ascii="Times New Roman" w:hAnsi="Times New Roman" w:eastAsia="Times New Roman"/>
          <w:b w:val="0"/>
          <w:sz w:val="24"/>
        </w:rPr>
        <w:t xml:space="preserve">Large SEC issuers may not represent smaller private borrowers. Company overlap across stages also makes this a monitoring evaluation, not a new-borrower sample.</w:t>
      </w:r>
    </w:p>
    <w:p>
      <w:pPr>
        <w:pStyle w:val="BodyText"/>
        <w:spacing w:before="0" w:after="200" w:line="276" w:lineRule="auto"/>
        <w:jc w:val="both"/>
      </w:pPr>
      <w:r>
        <w:rPr>
          <w:rFonts w:ascii="Times New Roman" w:hAnsi="Times New Roman" w:eastAsia="Times New Roman"/>
          <w:b w:val="0"/>
          <w:sz w:val="24"/>
        </w:rPr>
        <w:t xml:space="preserve">Although 2023–2025 outcomes do not enter final development, those years were examined earlier, making evaluation retrospective. Alternative-period selection also shows temporal sensitivity.</w:t>
      </w:r>
    </w:p>
    <w:p>
      <w:pPr>
        <w:pStyle w:val="BodyText"/>
        <w:spacing w:before="0" w:after="200" w:line="276" w:lineRule="auto"/>
        <w:jc w:val="both"/>
      </w:pPr>
      <w:r>
        <w:rPr>
          <w:rFonts w:ascii="Times New Roman" w:hAnsi="Times New Roman" w:eastAsia="Times New Roman"/>
          <w:b w:val="0"/>
          <w:sz w:val="24"/>
        </w:rPr>
        <w:t xml:space="preserve">Bootstrap intervals preserve within-company dependence but omit common shocks, selection and sample-construction uncertainty, and label error. The small Brier gain is not precise probability validation.</w:t>
      </w:r>
    </w:p>
    <w:p>
      <w:pPr>
        <w:pStyle w:val="BodyText"/>
        <w:spacing w:before="0" w:after="200" w:line="276" w:lineRule="auto"/>
        <w:jc w:val="both"/>
      </w:pPr>
      <w:r>
        <w:rPr>
          <w:rFonts w:ascii="Times New Roman" w:hAnsi="Times New Roman" w:eastAsia="Times New Roman"/>
          <w:b w:val="0"/>
          <w:sz w:val="24"/>
        </w:rPr>
        <w:t xml:space="preserve">Policy assumptions include full cash eligibility, no additional 60-day debt payment, zero facility exposure and a 1%-of-assets cap. Without actual commitments, utilization, repayments, defaults, recoveries, losses, pricing, profitability or customer effects, the replay cannot demonstrate lender benefit.</w:t>
      </w:r>
    </w:p>
    <w:p>
      <w:pPr>
        <w:pStyle w:val="BodyText"/>
        <w:spacing w:before="0" w:after="200" w:line="276" w:lineRule="auto"/>
        <w:jc w:val="both"/>
      </w:pPr>
      <w:r>
        <w:rPr>
          <w:rFonts w:ascii="Times New Roman" w:hAnsi="Times New Roman" w:eastAsia="Times New Roman"/>
          <w:b w:val="0"/>
          <w:sz w:val="24"/>
        </w:rPr>
        <w:t xml:space="preserve">These limitations are related rather than independent. Target noise affects probability estimation, probability uncertainty affects the risk multiplier, and missing facility data prevents observing whether the resulting amount would have changed exposure or loss.</w:t>
      </w:r>
    </w:p>
    <w:p>
      <w:pPr>
        <w:pStyle w:val="Heading2"/>
      </w:pPr>
      <w:bookmarkStart w:id="172" w:name="_b8adfd15f3507cbf6a241a75feed075fe6465f2"/>
      <w:r>
        <w:rPr>
          <w:rFonts w:ascii="Times New Roman" w:hAnsi="Times New Roman" w:eastAsia="Times New Roman"/>
          <w:b/>
          <w:sz w:val="26"/>
        </w:rPr>
        <w:t xml:space="preserve">8.4 Further Work</w:t>
      </w:r>
      <w:bookmarkEnd w:id="172"/>
    </w:p>
    <w:p>
      <w:pPr>
        <w:pStyle w:val="BodyText"/>
        <w:spacing w:before="0" w:after="200" w:line="276" w:lineRule="auto"/>
        <w:jc w:val="both"/>
      </w:pPr>
      <w:r>
        <w:rPr>
          <w:rFonts w:ascii="Times New Roman" w:hAnsi="Times New Roman" w:eastAsia="Times New Roman"/>
          <w:b w:val="0"/>
          <w:sz w:val="24"/>
        </w:rPr>
        <w:t xml:space="preserve">Four improvements have priority:</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Validate the disclosure labels.</w:t>
      </w:r>
      <w:r>
        <w:rPr>
          <w:rFonts w:ascii="Times New Roman" w:hAnsi="Times New Roman" w:eastAsia="Times New Roman"/>
          <w:b w:val="0"/>
          <w:sz w:val="24"/>
        </w:rPr>
        <w:t xml:space="preserve"> </w:t>
      </w:r>
      <w:r>
        <w:rPr>
          <w:rFonts w:ascii="Times New Roman" w:hAnsi="Times New Roman" w:eastAsia="Times New Roman"/>
          <w:b w:val="0"/>
          <w:sz w:val="24"/>
        </w:rPr>
        <w:t xml:space="preserve">An independent human-reviewed sample should measure the accuracy of the automated Item 2.04 classifications and resolve ambiguous filings.</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Use prospective or independent evaluation.</w:t>
      </w:r>
      <w:r>
        <w:rPr>
          <w:rFonts w:ascii="Times New Roman" w:hAnsi="Times New Roman" w:eastAsia="Times New Roman"/>
          <w:b w:val="0"/>
          <w:sz w:val="24"/>
        </w:rPr>
        <w:t xml:space="preserve"> </w:t>
      </w:r>
      <w:r>
        <w:rPr>
          <w:rFonts w:ascii="Times New Roman" w:hAnsi="Times New Roman" w:eastAsia="Times New Roman"/>
          <w:b w:val="0"/>
          <w:sz w:val="24"/>
        </w:rPr>
        <w:t xml:space="preserve">The target, predictors, model settings and selection rules should be fixed before evaluation on a future period or an independent lender portfolio.</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Add borrower and facility data.</w:t>
      </w:r>
      <w:r>
        <w:rPr>
          <w:rFonts w:ascii="Times New Roman" w:hAnsi="Times New Roman" w:eastAsia="Times New Roman"/>
          <w:b w:val="0"/>
          <w:sz w:val="24"/>
        </w:rPr>
        <w:t xml:space="preserve"> </w:t>
      </w:r>
      <w:r>
        <w:rPr>
          <w:rFonts w:ascii="Times New Roman" w:hAnsi="Times New Roman" w:eastAsia="Times New Roman"/>
          <w:b w:val="0"/>
          <w:sz w:val="24"/>
        </w:rPr>
        <w:t xml:space="preserve">Unrestricted cash, debt-payment schedules, current utilization, repayments, arrears, contractual defaults, recoveries, losses, pricing and profitability would allow the policy to be tested against actual lending outcomes.</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Include timelier predictors.</w:t>
      </w:r>
      <w:r>
        <w:rPr>
          <w:rFonts w:ascii="Times New Roman" w:hAnsi="Times New Roman" w:eastAsia="Times New Roman"/>
          <w:b w:val="0"/>
          <w:sz w:val="24"/>
        </w:rPr>
        <w:t xml:space="preserve"> </w:t>
      </w:r>
      <w:r>
        <w:rPr>
          <w:rFonts w:ascii="Times New Roman" w:hAnsi="Times New Roman" w:eastAsia="Times New Roman"/>
          <w:b w:val="0"/>
          <w:sz w:val="24"/>
        </w:rPr>
        <w:t xml:space="preserve">Management accounts, bank transactions and point-in-time macroeconomic or market variables could capture recent borrower and systematic conditions. Every input should retain its measurement period, publication date, vintage and availability date.</w:t>
      </w:r>
    </w:p>
    <w:p>
      <w:pPr>
        <w:pStyle w:val="BodyText"/>
        <w:spacing w:before="0" w:after="200" w:line="276" w:lineRule="auto"/>
        <w:jc w:val="both"/>
      </w:pPr>
      <w:r>
        <w:rPr>
          <w:rFonts w:ascii="Times New Roman" w:hAnsi="Times New Roman" w:eastAsia="Times New Roman"/>
          <w:b w:val="0"/>
          <w:sz w:val="24"/>
        </w:rPr>
        <w:t xml:space="preserve">These additions would enable a facility-default target, realistic capacity inputs and direct lending evaluation, with predefined calibration monitoring.</w:t>
      </w:r>
    </w:p>
    <w:p>
      <w:pPr>
        <w:pStyle w:val="Heading2"/>
      </w:pPr>
      <w:bookmarkStart w:id="173" w:name="_conclusion"/>
      <w:r>
        <w:rPr>
          <w:rFonts w:ascii="Times New Roman" w:hAnsi="Times New Roman" w:eastAsia="Times New Roman"/>
          <w:b/>
          <w:sz w:val="26"/>
        </w:rPr>
        <w:t xml:space="preserve">8.5 Conclusion</w:t>
      </w:r>
      <w:bookmarkEnd w:id="173"/>
    </w:p>
    <w:p>
      <w:pPr>
        <w:pStyle w:val="BodyText"/>
        <w:spacing w:before="0" w:after="200" w:line="276" w:lineRule="auto"/>
        <w:jc w:val="both"/>
      </w:pPr>
      <w:r>
        <w:rPr>
          <w:rFonts w:ascii="Times New Roman" w:hAnsi="Times New Roman" w:eastAsia="Times New Roman"/>
          <w:b w:val="0"/>
          <w:sz w:val="24"/>
        </w:rPr>
        <w:t xml:space="preserve">SEC data usefully rank near-term disclosure risk, but probability-error improvement is small and the fixed threshold misses most episodes. The transparent monthly policy depends strongly on unobserved cash, debt-payment and cap assumptions and is not shown optimal, safe or profitable. It is a research framework, not a validated lending system. Practical value requires validated outcomes, facility data and prospective evaluation.</w:t>
      </w:r>
    </w:p>
    <w:p>
      <w:pPr>
        <w:pStyle w:val="Heading1"/>
        <w:pageBreakBefore/>
      </w:pPr>
      <w:bookmarkStart w:id="174" w:name="_references"/>
      <w:r>
        <w:rPr>
          <w:rFonts w:ascii="Times New Roman" w:hAnsi="Times New Roman" w:eastAsia="Times New Roman"/>
          <w:b/>
          <w:sz w:val="32"/>
        </w:rPr>
        <w:t xml:space="preserve">References</w:t>
      </w:r>
      <w:bookmarkEnd w:id="174"/>
    </w:p>
    <w:p>
      <w:pPr>
        <w:pStyle w:val="BodyText"/>
        <w:spacing w:before="0" w:after="200" w:line="276" w:lineRule="auto"/>
        <w:jc w:val="both"/>
      </w:pPr>
      <w:r>
        <w:rPr>
          <w:rFonts w:ascii="Times New Roman" w:hAnsi="Times New Roman" w:eastAsia="Times New Roman"/>
          <w:b w:val="0"/>
          <w:sz w:val="24"/>
        </w:rPr>
        <w:t xml:space="preserve">Altman, E. I. (1968). Financial ratios, discriminant analysis and the prediction of corporate bankruptcy.</w:t>
      </w:r>
      <w:r>
        <w:rPr>
          <w:rFonts w:ascii="Times New Roman" w:hAnsi="Times New Roman" w:eastAsia="Times New Roman"/>
          <w:b w:val="0"/>
          <w:sz w:val="24"/>
        </w:rPr>
        <w:t xml:space="preserve"> </w:t>
      </w:r>
      <w:r>
        <w:rPr>
          <w:rFonts w:ascii="Times New Roman" w:hAnsi="Times New Roman" w:eastAsia="Times New Roman"/>
          <w:b w:val="0"/>
          <w:i/>
          <w:iCs/>
          <w:sz w:val="24"/>
        </w:rPr>
        <w:t xml:space="preserve">The Journal of Finance, 23</w:t>
      </w:r>
      <w:r>
        <w:rPr>
          <w:rFonts w:ascii="Times New Roman" w:hAnsi="Times New Roman" w:eastAsia="Times New Roman"/>
          <w:b w:val="0"/>
          <w:sz w:val="24"/>
        </w:rPr>
        <w:t xml:space="preserve">(4), 589–609.</w:t>
      </w:r>
      <w:r>
        <w:rPr>
          <w:rFonts w:ascii="Times New Roman" w:hAnsi="Times New Roman" w:eastAsia="Times New Roman"/>
          <w:b w:val="0"/>
          <w:sz w:val="24"/>
        </w:rPr>
        <w:t xml:space="preserve"> </w:t>
      </w:r>
      <w:hyperlink r:id="rId77">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Basel Committee on Banking Supervision. (2020).</w:t>
      </w:r>
      <w:r>
        <w:rPr>
          <w:rFonts w:ascii="Times New Roman" w:hAnsi="Times New Roman" w:eastAsia="Times New Roman"/>
          <w:b w:val="0"/>
          <w:sz w:val="24"/>
        </w:rPr>
        <w:t xml:space="preserve"> </w:t>
      </w:r>
      <w:r>
        <w:rPr>
          <w:rFonts w:ascii="Times New Roman" w:hAnsi="Times New Roman" w:eastAsia="Times New Roman"/>
          <w:b w:val="0"/>
          <w:i/>
          <w:iCs/>
          <w:sz w:val="24"/>
        </w:rPr>
        <w:t xml:space="preserve">Basel Framework: IRB approach, risk components and treatment of expected losses and provisions</w:t>
      </w:r>
      <w:r>
        <w:rPr>
          <w:rFonts w:ascii="Times New Roman" w:hAnsi="Times New Roman" w:eastAsia="Times New Roman"/>
          <w:b w:val="0"/>
          <w:sz w:val="24"/>
        </w:rPr>
        <w:t xml:space="preserve"> </w:t>
      </w:r>
      <w:r>
        <w:rPr>
          <w:rFonts w:ascii="Times New Roman" w:hAnsi="Times New Roman" w:eastAsia="Times New Roman"/>
          <w:b w:val="0"/>
          <w:sz w:val="24"/>
        </w:rPr>
        <w:t xml:space="preserve">(CRE32 and CRE35).</w:t>
      </w:r>
      <w:r>
        <w:rPr>
          <w:rFonts w:ascii="Times New Roman" w:hAnsi="Times New Roman" w:eastAsia="Times New Roman"/>
          <w:b w:val="0"/>
          <w:sz w:val="24"/>
        </w:rPr>
        <w:t xml:space="preserve"> </w:t>
      </w:r>
      <w:hyperlink r:id="rId88">
        <w:r>
          <w:rPr>
            <w:rStyle w:val="Hyperlink"/>
          </w:rPr>
          <w:t xml:space="preserve">Risk components</w:t>
        </w:r>
      </w:hyperlink>
      <w:r>
        <w:rPr>
          <w:rFonts w:ascii="Times New Roman" w:hAnsi="Times New Roman" w:eastAsia="Times New Roman"/>
          <w:b w:val="0"/>
          <w:sz w:val="24"/>
        </w:rPr>
        <w:t xml:space="preserve"> </w:t>
      </w:r>
      <w:r>
        <w:rPr>
          <w:rFonts w:ascii="Times New Roman" w:hAnsi="Times New Roman" w:eastAsia="Times New Roman"/>
          <w:b w:val="0"/>
          <w:sz w:val="24"/>
        </w:rPr>
        <w:t xml:space="preserve">and</w:t>
      </w:r>
      <w:r>
        <w:rPr>
          <w:rFonts w:ascii="Times New Roman" w:hAnsi="Times New Roman" w:eastAsia="Times New Roman"/>
          <w:b w:val="0"/>
          <w:sz w:val="24"/>
        </w:rPr>
        <w:t xml:space="preserve"> </w:t>
      </w:r>
      <w:hyperlink r:id="rId89">
        <w:r>
          <w:rPr>
            <w:rStyle w:val="Hyperlink"/>
          </w:rPr>
          <w:t xml:space="preserve">expected losses and provisions</w:t>
        </w:r>
      </w:hyperlink>
      <w:r>
        <w:rPr>
          <w:rFonts w:ascii="Times New Roman" w:hAnsi="Times New Roman" w:eastAsia="Times New Roman"/>
          <w:b w:val="0"/>
          <w:sz w:val="24"/>
        </w:rPr>
        <w:t xml:space="preserve">. Accessed 21 October 2026.</w:t>
      </w:r>
    </w:p>
    <w:p>
      <w:pPr>
        <w:pStyle w:val="BodyText"/>
        <w:spacing w:before="0" w:after="200" w:line="276" w:lineRule="auto"/>
        <w:jc w:val="both"/>
      </w:pPr>
      <w:r>
        <w:rPr>
          <w:rFonts w:ascii="Times New Roman" w:hAnsi="Times New Roman" w:eastAsia="Times New Roman"/>
          <w:b w:val="0"/>
          <w:sz w:val="24"/>
        </w:rPr>
        <w:t xml:space="preserve">Breiman, L. (2001). Random forests.</w:t>
      </w:r>
      <w:r>
        <w:rPr>
          <w:rFonts w:ascii="Times New Roman" w:hAnsi="Times New Roman" w:eastAsia="Times New Roman"/>
          <w:b w:val="0"/>
          <w:sz w:val="24"/>
        </w:rPr>
        <w:t xml:space="preserve"> </w:t>
      </w:r>
      <w:r>
        <w:rPr>
          <w:rFonts w:ascii="Times New Roman" w:hAnsi="Times New Roman" w:eastAsia="Times New Roman"/>
          <w:b w:val="0"/>
          <w:i/>
          <w:iCs/>
          <w:sz w:val="24"/>
        </w:rPr>
        <w:t xml:space="preserve">Machine Learning, 45</w:t>
      </w:r>
      <w:r>
        <w:rPr>
          <w:rFonts w:ascii="Times New Roman" w:hAnsi="Times New Roman" w:eastAsia="Times New Roman"/>
          <w:b w:val="0"/>
          <w:sz w:val="24"/>
        </w:rPr>
        <w:t xml:space="preserve">, 5–32.</w:t>
      </w:r>
      <w:r>
        <w:rPr>
          <w:rFonts w:ascii="Times New Roman" w:hAnsi="Times New Roman" w:eastAsia="Times New Roman"/>
          <w:b w:val="0"/>
          <w:sz w:val="24"/>
        </w:rPr>
        <w:t xml:space="preserve"> </w:t>
      </w:r>
      <w:hyperlink r:id="rId175">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Brier, G. W. (1950). Verification of forecasts expressed in terms of probability.</w:t>
      </w:r>
      <w:r>
        <w:rPr>
          <w:rFonts w:ascii="Times New Roman" w:hAnsi="Times New Roman" w:eastAsia="Times New Roman"/>
          <w:b w:val="0"/>
          <w:sz w:val="24"/>
        </w:rPr>
        <w:t xml:space="preserve"> </w:t>
      </w:r>
      <w:r>
        <w:rPr>
          <w:rFonts w:ascii="Times New Roman" w:hAnsi="Times New Roman" w:eastAsia="Times New Roman"/>
          <w:b w:val="0"/>
          <w:i/>
          <w:iCs/>
          <w:sz w:val="24"/>
        </w:rPr>
        <w:t xml:space="preserve">Monthly Weather Review, 78</w:t>
      </w:r>
      <w:r>
        <w:rPr>
          <w:rFonts w:ascii="Times New Roman" w:hAnsi="Times New Roman" w:eastAsia="Times New Roman"/>
          <w:b w:val="0"/>
          <w:sz w:val="24"/>
        </w:rPr>
        <w:t xml:space="preserve">(1), 1–3.</w:t>
      </w:r>
      <w:r>
        <w:rPr>
          <w:rFonts w:ascii="Times New Roman" w:hAnsi="Times New Roman" w:eastAsia="Times New Roman"/>
          <w:b w:val="0"/>
          <w:sz w:val="24"/>
        </w:rPr>
        <w:t xml:space="preserve"> </w:t>
      </w:r>
      <w:hyperlink r:id="rId104">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Chen, T., &amp; Guestrin, C. (2016). XGBoost: A scalable tree boosting system. In</w:t>
      </w:r>
      <w:r>
        <w:rPr>
          <w:rFonts w:ascii="Times New Roman" w:hAnsi="Times New Roman" w:eastAsia="Times New Roman"/>
          <w:b w:val="0"/>
          <w:sz w:val="24"/>
        </w:rPr>
        <w:t xml:space="preserve"> </w:t>
      </w:r>
      <w:r>
        <w:rPr>
          <w:rFonts w:ascii="Times New Roman" w:hAnsi="Times New Roman" w:eastAsia="Times New Roman"/>
          <w:b w:val="0"/>
          <w:i/>
          <w:iCs/>
          <w:sz w:val="24"/>
        </w:rPr>
        <w:t xml:space="preserve">Proceedings of the 22nd ACM SIGKDD International Conference on Knowledge Discovery and Data Mining</w:t>
      </w:r>
      <w:r>
        <w:rPr>
          <w:rFonts w:ascii="Times New Roman" w:hAnsi="Times New Roman" w:eastAsia="Times New Roman"/>
          <w:b w:val="0"/>
          <w:sz w:val="24"/>
        </w:rPr>
        <w:t xml:space="preserve"> </w:t>
      </w:r>
      <w:r>
        <w:rPr>
          <w:rFonts w:ascii="Times New Roman" w:hAnsi="Times New Roman" w:eastAsia="Times New Roman"/>
          <w:b w:val="0"/>
          <w:sz w:val="24"/>
        </w:rPr>
        <w:t xml:space="preserve">(pp. 785–794).</w:t>
      </w:r>
      <w:r>
        <w:rPr>
          <w:rFonts w:ascii="Times New Roman" w:hAnsi="Times New Roman" w:eastAsia="Times New Roman"/>
          <w:b w:val="0"/>
          <w:sz w:val="24"/>
        </w:rPr>
        <w:t xml:space="preserve"> </w:t>
      </w:r>
      <w:hyperlink r:id="rId176">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Friedman, J. H. (2001). Greedy function approximation: A gradient boosting machine.</w:t>
      </w:r>
      <w:r>
        <w:rPr>
          <w:rFonts w:ascii="Times New Roman" w:hAnsi="Times New Roman" w:eastAsia="Times New Roman"/>
          <w:b w:val="0"/>
          <w:sz w:val="24"/>
        </w:rPr>
        <w:t xml:space="preserve"> </w:t>
      </w:r>
      <w:r>
        <w:rPr>
          <w:rFonts w:ascii="Times New Roman" w:hAnsi="Times New Roman" w:eastAsia="Times New Roman"/>
          <w:b w:val="0"/>
          <w:i/>
          <w:iCs/>
          <w:sz w:val="24"/>
        </w:rPr>
        <w:t xml:space="preserve">The Annals of Statistics, 29</w:t>
      </w:r>
      <w:r>
        <w:rPr>
          <w:rFonts w:ascii="Times New Roman" w:hAnsi="Times New Roman" w:eastAsia="Times New Roman"/>
          <w:b w:val="0"/>
          <w:sz w:val="24"/>
        </w:rPr>
        <w:t xml:space="preserve">(5), 1189–1232.</w:t>
      </w:r>
      <w:r>
        <w:rPr>
          <w:rFonts w:ascii="Times New Roman" w:hAnsi="Times New Roman" w:eastAsia="Times New Roman"/>
          <w:b w:val="0"/>
          <w:sz w:val="24"/>
        </w:rPr>
        <w:t xml:space="preserve"> </w:t>
      </w:r>
      <w:hyperlink r:id="rId100">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Ohlson, J. A. (1980). Financial ratios and the probabilistic prediction of bankruptcy.</w:t>
      </w:r>
      <w:r>
        <w:rPr>
          <w:rFonts w:ascii="Times New Roman" w:hAnsi="Times New Roman" w:eastAsia="Times New Roman"/>
          <w:b w:val="0"/>
          <w:sz w:val="24"/>
        </w:rPr>
        <w:t xml:space="preserve"> </w:t>
      </w:r>
      <w:r>
        <w:rPr>
          <w:rFonts w:ascii="Times New Roman" w:hAnsi="Times New Roman" w:eastAsia="Times New Roman"/>
          <w:b w:val="0"/>
          <w:i/>
          <w:iCs/>
          <w:sz w:val="24"/>
        </w:rPr>
        <w:t xml:space="preserve">Journal of Accounting Research, 18</w:t>
      </w:r>
      <w:r>
        <w:rPr>
          <w:rFonts w:ascii="Times New Roman" w:hAnsi="Times New Roman" w:eastAsia="Times New Roman"/>
          <w:b w:val="0"/>
          <w:sz w:val="24"/>
        </w:rPr>
        <w:t xml:space="preserve">(1), 109–131.</w:t>
      </w:r>
      <w:r>
        <w:rPr>
          <w:rFonts w:ascii="Times New Roman" w:hAnsi="Times New Roman" w:eastAsia="Times New Roman"/>
          <w:b w:val="0"/>
          <w:sz w:val="24"/>
        </w:rPr>
        <w:t xml:space="preserve"> </w:t>
      </w:r>
      <w:hyperlink r:id="rId78">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Saito, T., &amp; Rehmsmeier, M. (2015). The precision-recall plot is more informative than the ROC plot when evaluating binary classifiers on imbalanced datasets.</w:t>
      </w:r>
      <w:r>
        <w:rPr>
          <w:rFonts w:ascii="Times New Roman" w:hAnsi="Times New Roman" w:eastAsia="Times New Roman"/>
          <w:b w:val="0"/>
          <w:sz w:val="24"/>
        </w:rPr>
        <w:t xml:space="preserve"> </w:t>
      </w:r>
      <w:r>
        <w:rPr>
          <w:rFonts w:ascii="Times New Roman" w:hAnsi="Times New Roman" w:eastAsia="Times New Roman"/>
          <w:b w:val="0"/>
          <w:i/>
          <w:iCs/>
          <w:sz w:val="24"/>
        </w:rPr>
        <w:t xml:space="preserve">PLOS ONE, 10</w:t>
      </w:r>
      <w:r>
        <w:rPr>
          <w:rFonts w:ascii="Times New Roman" w:hAnsi="Times New Roman" w:eastAsia="Times New Roman"/>
          <w:b w:val="0"/>
          <w:sz w:val="24"/>
        </w:rPr>
        <w:t xml:space="preserve">(3), e0118432.</w:t>
      </w:r>
      <w:r>
        <w:rPr>
          <w:rFonts w:ascii="Times New Roman" w:hAnsi="Times New Roman" w:eastAsia="Times New Roman"/>
          <w:b w:val="0"/>
          <w:sz w:val="24"/>
        </w:rPr>
        <w:t xml:space="preserve"> </w:t>
      </w:r>
      <w:hyperlink r:id="rId177">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Scikit-learn developers. (2025).</w:t>
      </w:r>
      <w:r>
        <w:rPr>
          <w:rFonts w:ascii="Times New Roman" w:hAnsi="Times New Roman" w:eastAsia="Times New Roman"/>
          <w:b w:val="0"/>
          <w:sz w:val="24"/>
        </w:rPr>
        <w:t xml:space="preserve"> </w:t>
      </w:r>
      <w:r>
        <w:rPr>
          <w:rFonts w:ascii="Times New Roman" w:hAnsi="Times New Roman" w:eastAsia="Times New Roman"/>
          <w:b w:val="0"/>
          <w:i/>
          <w:iCs/>
          <w:sz w:val="24"/>
        </w:rPr>
        <w:t xml:space="preserve">Scikit-learn 1.6.1 documentation: Logistic regression</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96">
        <w:r>
          <w:rPr>
            <w:rStyle w:val="Hyperlink"/>
          </w:rPr>
          <w:t xml:space="preserve">Versioned documentation</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Scikit-learn developers. (2025).</w:t>
      </w:r>
      <w:r>
        <w:rPr>
          <w:rFonts w:ascii="Times New Roman" w:hAnsi="Times New Roman" w:eastAsia="Times New Roman"/>
          <w:b w:val="0"/>
          <w:sz w:val="24"/>
        </w:rPr>
        <w:t xml:space="preserve"> </w:t>
      </w:r>
      <w:r>
        <w:rPr>
          <w:rFonts w:ascii="Times New Roman" w:hAnsi="Times New Roman" w:eastAsia="Times New Roman"/>
          <w:b w:val="0"/>
          <w:i/>
          <w:iCs/>
          <w:sz w:val="24"/>
        </w:rPr>
        <w:t xml:space="preserve">Scikit-learn 1.6.1 documentation: CalibratedClassifierCV</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78">
        <w:r>
          <w:rPr>
            <w:rStyle w:val="Hyperlink"/>
          </w:rPr>
          <w:t xml:space="preserve">Versioned API documentation</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Shumway, T. (2001). Forecasting bankruptcy more accurately: A simple hazard model.</w:t>
      </w:r>
      <w:r>
        <w:rPr>
          <w:rFonts w:ascii="Times New Roman" w:hAnsi="Times New Roman" w:eastAsia="Times New Roman"/>
          <w:b w:val="0"/>
          <w:sz w:val="24"/>
        </w:rPr>
        <w:t xml:space="preserve"> </w:t>
      </w:r>
      <w:r>
        <w:rPr>
          <w:rFonts w:ascii="Times New Roman" w:hAnsi="Times New Roman" w:eastAsia="Times New Roman"/>
          <w:b w:val="0"/>
          <w:i/>
          <w:iCs/>
          <w:sz w:val="24"/>
        </w:rPr>
        <w:t xml:space="preserve">The Journal of Business, 74</w:t>
      </w:r>
      <w:r>
        <w:rPr>
          <w:rFonts w:ascii="Times New Roman" w:hAnsi="Times New Roman" w:eastAsia="Times New Roman"/>
          <w:b w:val="0"/>
          <w:sz w:val="24"/>
        </w:rPr>
        <w:t xml:space="preserve">(1), 101–124.</w:t>
      </w:r>
      <w:r>
        <w:rPr>
          <w:rFonts w:ascii="Times New Roman" w:hAnsi="Times New Roman" w:eastAsia="Times New Roman"/>
          <w:b w:val="0"/>
          <w:sz w:val="24"/>
        </w:rPr>
        <w:t xml:space="preserve"> </w:t>
      </w:r>
      <w:hyperlink r:id="rId79">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EDGAR application programming interfaces</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14">
        <w:r>
          <w:rPr>
            <w:rStyle w:val="Hyperlink"/>
          </w:rPr>
          <w:t xml:space="preserve">Official source documentation</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Financial Statement and Notes Data Sets: Documentation</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15">
        <w:r>
          <w:rPr>
            <w:rStyle w:val="Hyperlink"/>
          </w:rPr>
          <w:t xml:space="preserve">Official dataset documentation</w:t>
        </w:r>
      </w:hyperlink>
      <w:r>
        <w:rPr>
          <w:rFonts w:ascii="Times New Roman" w:hAnsi="Times New Roman" w:eastAsia="Times New Roman"/>
          <w:b w:val="0"/>
          <w:sz w:val="24"/>
        </w:rPr>
        <w:t xml:space="preserve">. Accessed 11 October 2026.</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Form 8-K: Current report</w:t>
      </w:r>
      <w:r>
        <w:rPr>
          <w:rFonts w:ascii="Times New Roman" w:hAnsi="Times New Roman" w:eastAsia="Times New Roman"/>
          <w:b w:val="0"/>
          <w:sz w:val="24"/>
        </w:rPr>
        <w:t xml:space="preserve">, Items 1.03, Bankruptcy or Receivership, and 2.04, Triggering Events That Accelerate or Increase a Direct Financial Obligation.</w:t>
      </w:r>
      <w:r>
        <w:rPr>
          <w:rFonts w:ascii="Times New Roman" w:hAnsi="Times New Roman" w:eastAsia="Times New Roman"/>
          <w:b w:val="0"/>
          <w:sz w:val="24"/>
        </w:rPr>
        <w:t xml:space="preserve"> </w:t>
      </w:r>
      <w:hyperlink r:id="rId81">
        <w:r>
          <w:rPr>
            <w:rStyle w:val="Hyperlink"/>
          </w:rPr>
          <w:t xml:space="preserve">Official form</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Standard Industrial Classification code list</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10">
        <w:r>
          <w:rPr>
            <w:rStyle w:val="Hyperlink"/>
          </w:rPr>
          <w:t xml:space="preserve">Official classification list</w:t>
        </w:r>
      </w:hyperlink>
      <w:r>
        <w:rPr>
          <w:rFonts w:ascii="Times New Roman" w:hAnsi="Times New Roman" w:eastAsia="Times New Roman"/>
          <w:b w:val="0"/>
          <w:sz w:val="24"/>
        </w:rPr>
        <w:t xml:space="preserve">. Accessed 15 October 2026.</w:t>
      </w:r>
    </w:p>
    <w:p>
      <w:pPr>
        <w:pStyle w:val="Heading1"/>
        <w:pageBreakBefore/>
      </w:pPr>
      <w:bookmarkStart w:id="179" w:name="_09258953d3b23a98b84006377a6131e376eb5c0"/>
      <w:r>
        <w:rPr>
          <w:rFonts w:ascii="Times New Roman" w:hAnsi="Times New Roman" w:eastAsia="Times New Roman"/>
          <w:b/>
          <w:sz w:val="32"/>
        </w:rPr>
        <w:t xml:space="preserve">Appendix A: Reproducibility and Code Availability</w:t>
      </w:r>
      <w:bookmarkEnd w:id="179"/>
    </w:p>
    <w:p>
      <w:pPr>
        <w:pStyle w:val="Heading2"/>
      </w:pPr>
      <w:bookmarkStart w:id="180" w:name="_673dfeb9e38c8f43be2a6f01ade496d7b490afd"/>
      <w:r>
        <w:rPr>
          <w:rFonts w:ascii="Times New Roman" w:hAnsi="Times New Roman" w:eastAsia="Times New Roman"/>
          <w:b/>
          <w:sz w:val="26"/>
        </w:rPr>
        <w:t xml:space="preserve">A.1 Primary Experiment and Evidence</w:t>
      </w:r>
      <w:bookmarkEnd w:id="180"/>
    </w:p>
    <w:p>
      <w:pPr>
        <w:pStyle w:val="BodyText"/>
        <w:spacing w:before="0" w:after="200" w:line="276" w:lineRule="auto"/>
        <w:jc w:val="both"/>
      </w:pPr>
      <w:r>
        <w:rPr>
          <w:rFonts w:ascii="Times New Roman" w:hAnsi="Times New Roman" w:eastAsia="Times New Roman"/>
          <w:b w:val="0"/>
          <w:sz w:val="24"/>
        </w:rPr>
        <w:t xml:space="preserve">The accompanying project repository contains the source code, configuration files and saved evidence used in this thesis. The primary model experiment uses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configs/study.bankruptcy_or_payment_failure.json</w:t>
      </w:r>
      <w:r>
        <w:rPr>
          <w:rFonts w:ascii="Times New Roman" w:hAnsi="Times New Roman" w:eastAsia="Times New Roman"/>
          <w:b w:val="0"/>
          <w:sz w:val="24"/>
        </w:rPr>
        <w:t xml:space="preserve">. The policy uses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configs/policy.sec_disclosure.json</w:t>
      </w:r>
      <w:r>
        <w:rPr>
          <w:rFonts w:ascii="Times New Roman" w:hAnsi="Times New Roman" w:eastAsia="Times New Roman"/>
          <w:b w:val="0"/>
          <w:sz w:val="24"/>
        </w:rPr>
        <w:t xml:space="preserve">. The internal artifact directory is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results/run_006_full_statement_enrichment/</w:t>
      </w:r>
      <w:r>
        <w:rPr>
          <w:rFonts w:ascii="Times New Roman" w:hAnsi="Times New Roman" w:eastAsia="Times New Roman"/>
          <w:b w:val="0"/>
          <w:sz w:val="24"/>
        </w:rPr>
        <w:t xml:space="preserve">. The internal name is retained here so the reported results can be traced to the saved files.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Material</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Location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SEC inventory and disclosure events</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results/run_006_full_statement_enrichment/inventory/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Monthly panel and input provenance</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results/run_006_full_statement_enrichment/panel/</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Fitted models, selection and evaluation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results/run_006_full_statement_enrichment/models/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Policy replay and sensitivity results</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results/run_006_full_statement_enrichment/policy/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Thesis evidence copies</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docs/thesis/tables/</w:t>
            </w:r>
            <w:r>
              <w:rPr>
                <w:rFonts w:ascii="Times New Roman" w:hAnsi="Times New Roman" w:eastAsia="Times New Roman"/>
                <w:b w:val="0"/>
                <w:sz w:val="24"/>
              </w:rPr>
              <w:t xml:space="preserve"> </w:t>
            </w:r>
            <w:r>
              <w:rPr>
                <w:rFonts w:ascii="Times New Roman" w:hAnsi="Times New Roman" w:eastAsia="Times New Roman"/>
                <w:b w:val="0"/>
                <w:sz w:val="24"/>
              </w:rPr>
              <w:t xml:space="preserve">and</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docs/thesis/figures/</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Reproduction instructions</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Style w:val="VerbatimChar"/>
                <w:rFonts w:ascii="Times New Roman" w:hAnsi="Times New Roman" w:eastAsia="Times New Roman"/>
                <w:b w:val="0"/>
                <w:sz w:val="24"/>
              </w:rPr>
              <w:t xml:space="preserve">docs/guides/workflow.md</w:t>
            </w:r>
          </w:p>
        </w:tc>
      </w:tr>
    </w:tbl>
    <w:p>
      <w:pPr>
        <w:pStyle w:val="Caption"/>
        <w:spacing w:line="240" w:lineRule="auto"/>
        <w:jc w:val="center"/>
      </w:pPr>
      <w:r>
        <w:rPr>
          <w:rFonts w:ascii="Times New Roman" w:hAnsi="Times New Roman" w:eastAsia="Times New Roman"/>
          <w:i/>
          <w:iCs/>
          <w:sz w:val="24"/>
        </w:rPr>
        <w:t xml:space="preserve">Table 24. Primary experiment evidence and locations.</w:t>
      </w:r>
    </w:p>
    <w:p>
      <w:pPr>
        <w:pStyle w:val="BodyText"/>
        <w:spacing w:before="0" w:after="200" w:line="276" w:lineRule="auto"/>
        <w:jc w:val="both"/>
      </w:pPr>
      <w:r>
        <w:rPr>
          <w:rFonts w:ascii="Times New Roman" w:hAnsi="Times New Roman" w:eastAsia="Times New Roman"/>
          <w:b w:val="0"/>
          <w:sz w:val="24"/>
        </w:rPr>
        <w:t xml:space="preserve">The SEC source snapshot has an observation cutoff of 7 September 2026. Each completed stage records a manifest and hashes of its inputs. Output directories must be empty before a run, preventing an existing result from being overwritten silently.</w:t>
      </w:r>
    </w:p>
    <w:p>
      <w:pPr>
        <w:pStyle w:val="Heading2"/>
      </w:pPr>
      <w:bookmarkStart w:id="181" w:name="_70008db19aed93af4244175b30f649d6ad13f36"/>
      <w:r>
        <w:rPr>
          <w:rFonts w:ascii="Times New Roman" w:hAnsi="Times New Roman" w:eastAsia="Times New Roman"/>
          <w:b/>
          <w:sz w:val="26"/>
        </w:rPr>
        <w:t xml:space="preserve">A.2 Model and Validation Settings</w:t>
      </w:r>
      <w:bookmarkEnd w:id="181"/>
    </w:p>
    <w:p>
      <w:pPr>
        <w:pStyle w:val="BodyText"/>
        <w:spacing w:before="0" w:after="200" w:line="276" w:lineRule="auto"/>
        <w:jc w:val="both"/>
      </w:pPr>
      <w:r>
        <w:rPr>
          <w:rFonts w:ascii="Times New Roman" w:hAnsi="Times New Roman" w:eastAsia="Times New Roman"/>
          <w:b w:val="0"/>
          <w:sz w:val="24"/>
        </w:rPr>
        <w:t xml:space="preserve">All model families use median imputation fitted only on the relevant training data, with separate missing-value indicators. Logistic models also standardize their inputs. The experiment applies no winsorization or synthetic oversampling.</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 family</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Candidate settings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penalty, LBFGS, 5,000 maximum iterations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m:oMath>
              <m:r>
                <m:t>C</m:t>
              </m:r>
              <m:r>
                <m:rPr>
                  <m:sty m:val="p"/>
                </m:rPr>
                <m:t>=</m:t>
              </m:r>
              <m:r>
                <m:t>0.1</m:t>
              </m:r>
            </m:oMath>
            <w:r>
              <w:rPr>
                <w:rFonts w:ascii="Times New Roman" w:hAnsi="Times New Roman" w:eastAsia="Times New Roman"/>
                <w:b w:val="0"/>
                <w:sz w:val="24"/>
              </w:rPr>
              <w:t xml:space="preserve">,</w:t>
            </w:r>
            <w:r>
              <w:rPr>
                <w:rFonts w:ascii="Times New Roman" w:hAnsi="Times New Roman" w:eastAsia="Times New Roman"/>
                <w:b w:val="0"/>
                <w:sz w:val="24"/>
              </w:rPr>
              <w:t xml:space="preserve"> </w:t>
            </w:r>
            <m:oMath>
              <m:r>
                <m:t>1</m:t>
              </m:r>
            </m:oMath>
            <w:r>
              <w:rPr>
                <w:rFonts w:ascii="Times New Roman" w:hAnsi="Times New Roman" w:eastAsia="Times New Roman"/>
                <w:b w:val="0"/>
                <w:sz w:val="24"/>
              </w:rPr>
              <w:t xml:space="preserve"> </w:t>
            </w:r>
            <w:r>
              <w:rPr>
                <w:rFonts w:ascii="Times New Roman" w:hAnsi="Times New Roman" w:eastAsia="Times New Roman"/>
                <w:b w:val="0"/>
                <w:sz w:val="24"/>
              </w:rPr>
              <w:t xml:space="preserve">or</w:t>
            </w:r>
            <w:r>
              <w:rPr>
                <w:rFonts w:ascii="Times New Roman" w:hAnsi="Times New Roman" w:eastAsia="Times New Roman"/>
                <w:b w:val="0"/>
                <w:sz w:val="24"/>
              </w:rPr>
              <w:t xml:space="preserve"> </w:t>
            </w:r>
            <m:oMath>
              <m:r>
                <m:t>10</m:t>
              </m:r>
            </m:oMath>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300 trees, depth 3 or unrestricted, minimum leaf size 5 or 20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200 trees, depth 2 or 4, learning rate 0.05 or 0.1</w:t>
            </w:r>
          </w:p>
        </w:tc>
      </w:tr>
    </w:tbl>
    <w:p>
      <w:pPr>
        <w:pStyle w:val="Caption"/>
        <w:spacing w:line="240" w:lineRule="auto"/>
        <w:jc w:val="center"/>
      </w:pPr>
      <w:r>
        <w:rPr>
          <w:rFonts w:ascii="Times New Roman" w:hAnsi="Times New Roman" w:eastAsia="Times New Roman"/>
          <w:i/>
          <w:iCs/>
          <w:sz w:val="24"/>
        </w:rPr>
        <w:t xml:space="preserve">Table 25. Candidate settings by model family.</w:t>
      </w:r>
    </w:p>
    <w:p>
      <w:pPr>
        <w:pStyle w:val="BodyText"/>
        <w:spacing w:before="0" w:after="200" w:line="276" w:lineRule="auto"/>
        <w:jc w:val="both"/>
      </w:pPr>
      <w:r>
        <w:rPr>
          <w:rFonts w:ascii="Times New Roman" w:hAnsi="Times New Roman" w:eastAsia="Times New Roman"/>
          <w:b w:val="0"/>
          <w:sz w:val="24"/>
        </w:rPr>
        <w:t xml:space="preserve">Each setting is fitted with and without balanced class weights, producing 24 candidates. Tuning uses two expanding temporal folds: fit through 2016 and validate on 2017, then fit through 2017 and validate on 2018. Candidates are ranked within each family by mean annual average-precision lift, followed by mean annual Brier skill and a fixed candidate order.</w:t>
      </w:r>
    </w:p>
    <w:p>
      <w:pPr>
        <w:pStyle w:val="BodyText"/>
        <w:spacing w:before="0" w:after="200" w:line="276" w:lineRule="auto"/>
        <w:jc w:val="both"/>
      </w:pPr>
      <w:r>
        <w:rPr>
          <w:rFonts w:ascii="Times New Roman" w:hAnsi="Times New Roman" w:eastAsia="Times New Roman"/>
          <w:b w:val="0"/>
          <w:sz w:val="24"/>
        </w:rPr>
        <w:t xml:space="preserve">Probability correction is fitted on 2019 observations. Raw and sigmoid-corrected probabilities are compared on 2020–2022 by Brier score. A family is accepted only when its average precision exceeds the selection-period event share and its Brier score is lower than the constant training-rate benchmark. The lowest-Brier accepted family is selected. Alert thresholds maximize selection-period F1 and are then frozen for 2023–2025.</w:t>
      </w:r>
    </w:p>
    <w:p>
      <w:pPr>
        <w:pStyle w:val="BodyText"/>
        <w:spacing w:before="0" w:after="200" w:line="276" w:lineRule="auto"/>
        <w:jc w:val="both"/>
      </w:pPr>
      <w:r>
        <w:rPr>
          <w:rFonts w:ascii="Times New Roman" w:hAnsi="Times New Roman" w:eastAsia="Times New Roman"/>
          <w:b w:val="0"/>
          <w:sz w:val="24"/>
        </w:rPr>
        <w:t xml:space="preserve">The random seed is 42. Tree fitting uses up to four CPU threads, and the company-cluster bootstrap uses 500 repetitions. All monthly observations for a sampled company remain together in each bootstrap repetition.</w:t>
      </w:r>
    </w:p>
    <w:p>
      <w:pPr>
        <w:pStyle w:val="Heading2"/>
      </w:pPr>
      <w:bookmarkStart w:id="182" w:name="_e9700d202f0b9f897a9560842daab1d8f3bf8e0"/>
      <w:r>
        <w:rPr>
          <w:rFonts w:ascii="Times New Roman" w:hAnsi="Times New Roman" w:eastAsia="Times New Roman"/>
          <w:b/>
          <w:sz w:val="26"/>
        </w:rPr>
        <w:t xml:space="preserve">A.3 Implementation Map</w:t>
      </w:r>
      <w:bookmarkEnd w:id="182"/>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Component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Main location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SEC extraction, accounting reconciliation and panel construction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mcf/data/</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Automated Item 2.04 review workflow</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mcf/enrichment/item204/</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Model fitting, calibration and evaluation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mcf/models/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Credit-limit calculation and historical replay</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mcf/policy/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Tables, figures and evidence export</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mcf/reporting/</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Automated tests</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Style w:val="VerbatimChar"/>
                <w:rFonts w:ascii="Times New Roman" w:hAnsi="Times New Roman" w:eastAsia="Times New Roman"/>
                <w:b w:val="0"/>
                <w:sz w:val="24"/>
              </w:rPr>
              <w:t xml:space="preserve">tests/</w:t>
            </w:r>
          </w:p>
        </w:tc>
      </w:tr>
    </w:tbl>
    <w:p>
      <w:pPr>
        <w:pStyle w:val="Caption"/>
        <w:spacing w:line="240" w:lineRule="auto"/>
        <w:jc w:val="center"/>
      </w:pPr>
      <w:r>
        <w:rPr>
          <w:rFonts w:ascii="Times New Roman" w:hAnsi="Times New Roman" w:eastAsia="Times New Roman"/>
          <w:i/>
          <w:iCs/>
          <w:sz w:val="24"/>
        </w:rPr>
        <w:t xml:space="preserve">Table 26. Implementation components and main code locations.</w:t>
      </w:r>
    </w:p>
    <w:p>
      <w:pPr>
        <w:pStyle w:val="Heading2"/>
      </w:pPr>
      <w:bookmarkStart w:id="183" w:name="_8407be9afc3ee234dff35b77439483b96d4cc84"/>
      <w:r>
        <w:rPr>
          <w:rFonts w:ascii="Times New Roman" w:hAnsi="Times New Roman" w:eastAsia="Times New Roman"/>
          <w:b/>
          <w:sz w:val="26"/>
        </w:rPr>
        <w:t xml:space="preserve">A.4 Software Environment</w:t>
      </w:r>
      <w:bookmarkEnd w:id="183"/>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Software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Version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Python</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3.13.15</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NumPy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2.2.6</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SciPy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1.15.3</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scikit-learn</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1.6.1</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XGBoost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3.0.2</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Matplotlib</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3.10.3</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joblib</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1.5.1</w:t>
            </w:r>
          </w:p>
        </w:tc>
      </w:tr>
    </w:tbl>
    <w:p>
      <w:pPr>
        <w:pStyle w:val="Caption"/>
        <w:spacing w:line="240" w:lineRule="auto"/>
        <w:jc w:val="center"/>
      </w:pPr>
      <w:r>
        <w:rPr>
          <w:rFonts w:ascii="Times New Roman" w:hAnsi="Times New Roman" w:eastAsia="Times New Roman"/>
          <w:i/>
          <w:iCs/>
          <w:sz w:val="24"/>
        </w:rPr>
        <w:t xml:space="preserve">Table 27. Software environment used for the primary experiment.</w:t>
      </w:r>
    </w:p>
    <w:p>
      <w:pPr>
        <w:pStyle w:val="BodyText"/>
        <w:spacing w:before="0" w:after="200" w:line="276" w:lineRule="auto"/>
        <w:jc w:val="both"/>
      </w:pPr>
      <w:r>
        <w:rPr>
          <w:rFonts w:ascii="Times New Roman" w:hAnsi="Times New Roman" w:eastAsia="Times New Roman"/>
          <w:b w:val="0"/>
          <w:sz w:val="24"/>
        </w:rPr>
        <w:t xml:space="preserve">The full dependency set is recorded in</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requirements-lock.txt</w:t>
      </w:r>
      <w:r>
        <w:rPr>
          <w:rFonts w:ascii="Times New Roman" w:hAnsi="Times New Roman" w:eastAsia="Times New Roman"/>
          <w:b w:val="0"/>
          <w:sz w:val="24"/>
        </w:rPr>
        <w:t xml:space="preserve">. Sigmoid correction uses scikit-learn’s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CalibratedClassifierCV</w:t>
      </w:r>
      <w:r>
        <w:rPr>
          <w:rFonts w:ascii="Times New Roman" w:hAnsi="Times New Roman" w:eastAsia="Times New Roman"/>
          <w:b w:val="0"/>
          <w:sz w:val="24"/>
        </w:rPr>
        <w:t xml:space="preserve"> </w:t>
      </w:r>
      <w:r>
        <w:rPr>
          <w:rFonts w:ascii="Times New Roman" w:hAnsi="Times New Roman" w:eastAsia="Times New Roman"/>
          <w:b w:val="0"/>
          <w:sz w:val="24"/>
        </w:rPr>
        <w:t xml:space="preserve">with</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FrozenEstimator</w:t>
      </w:r>
      <w:r>
        <w:rPr>
          <w:rFonts w:ascii="Times New Roman" w:hAnsi="Times New Roman" w:eastAsia="Times New Roman"/>
          <w:b w:val="0"/>
          <w:sz w:val="24"/>
        </w:rPr>
        <w:t xml:space="preserve">.</w:t>
      </w:r>
    </w:p>
    <w:p>
      <w:pPr>
        <w:pStyle w:val="Heading2"/>
      </w:pPr>
      <w:bookmarkStart w:id="184" w:name="_2b5f0e1a6be7af92628da521aaebb89bbc253b4"/>
      <w:r>
        <w:rPr>
          <w:rFonts w:ascii="Times New Roman" w:hAnsi="Times New Roman" w:eastAsia="Times New Roman"/>
          <w:b/>
          <w:sz w:val="26"/>
        </w:rPr>
        <w:t xml:space="preserve">A.5 Reproduction and Label-Review Limits</w:t>
      </w:r>
      <w:bookmarkEnd w:id="184"/>
    </w:p>
    <w:p>
      <w:pPr>
        <w:pStyle w:val="BodyText"/>
        <w:spacing w:before="0" w:after="200" w:line="276" w:lineRule="auto"/>
        <w:jc w:val="both"/>
      </w:pPr>
      <w:r>
        <w:rPr>
          <w:rFonts w:ascii="Times New Roman" w:hAnsi="Times New Roman" w:eastAsia="Times New Roman"/>
          <w:b w:val="0"/>
          <w:sz w:val="24"/>
        </w:rPr>
        <w:t xml:space="preserve">The command sequence is documented in</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docs/guides/workflow.md</w:t>
      </w:r>
      <w:r>
        <w:rPr>
          <w:rFonts w:ascii="Times New Roman" w:hAnsi="Times New Roman" w:eastAsia="Times New Roman"/>
          <w:b w:val="0"/>
          <w:sz w:val="24"/>
        </w:rPr>
        <w:t xml:space="preserve">. Tests cover information availability, restatements, period matching, conflicting facts, disclosure windows, chronological purging, preprocessing isolation, temporal folds, model selection and policy invariants. These tests verify implemented behavior. They do not establish that every filing fact is economically correct or that the policy is suitable for lending.</w:t>
      </w:r>
    </w:p>
    <w:p>
      <w:pPr>
        <w:pStyle w:val="BodyText"/>
        <w:spacing w:before="0" w:after="200" w:line="276" w:lineRule="auto"/>
        <w:jc w:val="both"/>
      </w:pPr>
      <w:r>
        <w:rPr>
          <w:rFonts w:ascii="Times New Roman" w:hAnsi="Times New Roman" w:eastAsia="Times New Roman"/>
          <w:b w:val="0"/>
          <w:sz w:val="24"/>
        </w:rPr>
        <w:t xml:space="preserve">Item 2.04-only filings were reviewed through an automated language-model workflow. A filing qualifies only when the saved review has high certainty, includes supporting quotations and explicitly identifies a missed principal or interest payment. Acceleration or enforcement alone does not qualify, and unresolved reviews remain excluded or censor affected outcomes. The saved classifications and hashes support reproduction, but no independent human-validation sample is available. A new automated review could produce different classifications.</w:t>
      </w:r>
    </w:p>
    <w:sectPr w:rsidR="006412AD" w:rsidRPr="005B273D" w:rsidSect="00B51C10">
      <w:headerReference w:type="default" r:id="rId58"/>
      <w:footerReference w:type="default" r:id="rId59"/>
      <w:headerReference w:type="first" r:id="rId1"/>
      <w:footerReference w:type="first" r:id="rId2"/>
      <w:pgSz w:w="11906" w:h="16838"/>
      <w:pgMar w:top="1134" w:right="1134" w:bottom="1134" w:left="1417" w:header="680" w:footer="454" w:gutter="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eastAsia="Times New Roman"/>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96E"/>
    <w:multiLevelType w:val="hybridMultilevel"/>
    <w:tmpl w:val="73561C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9F49E4"/>
    <w:multiLevelType w:val="hybridMultilevel"/>
    <w:tmpl w:val="10806B7E"/>
    <w:lvl w:ilvl="0" w:tplc="BFDA837E">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4A48CC"/>
    <w:multiLevelType w:val="hybridMultilevel"/>
    <w:tmpl w:val="A378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545F17"/>
    <w:multiLevelType w:val="multilevel"/>
    <w:tmpl w:val="72CC8412"/>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AC7B58"/>
    <w:multiLevelType w:val="hybridMultilevel"/>
    <w:tmpl w:val="65E8F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143793"/>
    <w:multiLevelType w:val="multilevel"/>
    <w:tmpl w:val="B4D26F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CDC4BEC"/>
    <w:multiLevelType w:val="hybridMultilevel"/>
    <w:tmpl w:val="C82E17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8F5934"/>
    <w:multiLevelType w:val="multilevel"/>
    <w:tmpl w:val="B4D26F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1B72693"/>
    <w:multiLevelType w:val="multilevel"/>
    <w:tmpl w:val="31B8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872CC"/>
    <w:multiLevelType w:val="hybridMultilevel"/>
    <w:tmpl w:val="F976D70E"/>
    <w:lvl w:ilvl="0" w:tplc="34B0AFBA">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A83B2E"/>
    <w:multiLevelType w:val="multilevel"/>
    <w:tmpl w:val="283E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A22F9"/>
    <w:multiLevelType w:val="multilevel"/>
    <w:tmpl w:val="A156DB0A"/>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3901EC"/>
    <w:multiLevelType w:val="hybridMultilevel"/>
    <w:tmpl w:val="1A6AA7BC"/>
    <w:lvl w:ilvl="0" w:tplc="E11ED984">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942AFA"/>
    <w:multiLevelType w:val="multilevel"/>
    <w:tmpl w:val="E32CCDBE"/>
    <w:lvl w:ilvl="0">
      <w:start w:val="2"/>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BFF02D4"/>
    <w:multiLevelType w:val="hybridMultilevel"/>
    <w:tmpl w:val="37B6A0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284182"/>
    <w:multiLevelType w:val="hybridMultilevel"/>
    <w:tmpl w:val="CF0A45F6"/>
    <w:lvl w:ilvl="0" w:tplc="622A7EEC">
      <w:numFmt w:val="bullet"/>
      <w:lvlText w:val=""/>
      <w:lvlJc w:val="left"/>
      <w:pPr>
        <w:ind w:left="820" w:hanging="351"/>
      </w:pPr>
      <w:rPr>
        <w:rFonts w:ascii="Symbol" w:eastAsia="Symbol" w:hAnsi="Symbol" w:cs="Symbol" w:hint="default"/>
        <w:w w:val="101"/>
        <w:sz w:val="23"/>
        <w:szCs w:val="23"/>
        <w:lang w:val="hr-HR" w:eastAsia="en-US" w:bidi="ar-SA"/>
      </w:rPr>
    </w:lvl>
    <w:lvl w:ilvl="1" w:tplc="8E9EE9F8">
      <w:numFmt w:val="bullet"/>
      <w:lvlText w:val="•"/>
      <w:lvlJc w:val="left"/>
      <w:pPr>
        <w:ind w:left="1704" w:hanging="351"/>
      </w:pPr>
      <w:rPr>
        <w:rFonts w:hint="default"/>
        <w:lang w:val="hr-HR" w:eastAsia="en-US" w:bidi="ar-SA"/>
      </w:rPr>
    </w:lvl>
    <w:lvl w:ilvl="2" w:tplc="78E8021A">
      <w:numFmt w:val="bullet"/>
      <w:lvlText w:val="•"/>
      <w:lvlJc w:val="left"/>
      <w:pPr>
        <w:ind w:left="2588" w:hanging="351"/>
      </w:pPr>
      <w:rPr>
        <w:rFonts w:hint="default"/>
        <w:lang w:val="hr-HR" w:eastAsia="en-US" w:bidi="ar-SA"/>
      </w:rPr>
    </w:lvl>
    <w:lvl w:ilvl="3" w:tplc="F2F2E7D6">
      <w:numFmt w:val="bullet"/>
      <w:lvlText w:val="•"/>
      <w:lvlJc w:val="left"/>
      <w:pPr>
        <w:ind w:left="3472" w:hanging="351"/>
      </w:pPr>
      <w:rPr>
        <w:rFonts w:hint="default"/>
        <w:lang w:val="hr-HR" w:eastAsia="en-US" w:bidi="ar-SA"/>
      </w:rPr>
    </w:lvl>
    <w:lvl w:ilvl="4" w:tplc="C0ECA004">
      <w:numFmt w:val="bullet"/>
      <w:lvlText w:val="•"/>
      <w:lvlJc w:val="left"/>
      <w:pPr>
        <w:ind w:left="4356" w:hanging="351"/>
      </w:pPr>
      <w:rPr>
        <w:rFonts w:hint="default"/>
        <w:lang w:val="hr-HR" w:eastAsia="en-US" w:bidi="ar-SA"/>
      </w:rPr>
    </w:lvl>
    <w:lvl w:ilvl="5" w:tplc="5EAEB6DC">
      <w:numFmt w:val="bullet"/>
      <w:lvlText w:val="•"/>
      <w:lvlJc w:val="left"/>
      <w:pPr>
        <w:ind w:left="5240" w:hanging="351"/>
      </w:pPr>
      <w:rPr>
        <w:rFonts w:hint="default"/>
        <w:lang w:val="hr-HR" w:eastAsia="en-US" w:bidi="ar-SA"/>
      </w:rPr>
    </w:lvl>
    <w:lvl w:ilvl="6" w:tplc="9E2EC1FC">
      <w:numFmt w:val="bullet"/>
      <w:lvlText w:val="•"/>
      <w:lvlJc w:val="left"/>
      <w:pPr>
        <w:ind w:left="6124" w:hanging="351"/>
      </w:pPr>
      <w:rPr>
        <w:rFonts w:hint="default"/>
        <w:lang w:val="hr-HR" w:eastAsia="en-US" w:bidi="ar-SA"/>
      </w:rPr>
    </w:lvl>
    <w:lvl w:ilvl="7" w:tplc="5FE8DA5A">
      <w:numFmt w:val="bullet"/>
      <w:lvlText w:val="•"/>
      <w:lvlJc w:val="left"/>
      <w:pPr>
        <w:ind w:left="7008" w:hanging="351"/>
      </w:pPr>
      <w:rPr>
        <w:rFonts w:hint="default"/>
        <w:lang w:val="hr-HR" w:eastAsia="en-US" w:bidi="ar-SA"/>
      </w:rPr>
    </w:lvl>
    <w:lvl w:ilvl="8" w:tplc="309E91DC">
      <w:numFmt w:val="bullet"/>
      <w:lvlText w:val="•"/>
      <w:lvlJc w:val="left"/>
      <w:pPr>
        <w:ind w:left="7892" w:hanging="351"/>
      </w:pPr>
      <w:rPr>
        <w:rFonts w:hint="default"/>
        <w:lang w:val="hr-HR" w:eastAsia="en-US" w:bidi="ar-SA"/>
      </w:rPr>
    </w:lvl>
  </w:abstractNum>
  <w:abstractNum w:abstractNumId="16" w15:restartNumberingAfterBreak="0">
    <w:nsid w:val="38A30F81"/>
    <w:multiLevelType w:val="multilevel"/>
    <w:tmpl w:val="07A2510C"/>
    <w:lvl w:ilvl="0">
      <w:start w:val="1"/>
      <w:numFmt w:val="decimal"/>
      <w:lvlText w:val="%1."/>
      <w:lvlJc w:val="left"/>
      <w:pPr>
        <w:ind w:left="720" w:hanging="360"/>
      </w:pPr>
      <w:rPr>
        <w:rFonts w:hint="default"/>
      </w:rPr>
    </w:lvl>
    <w:lvl w:ilvl="1">
      <w:start w:val="1"/>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8C22D41"/>
    <w:multiLevelType w:val="hybridMultilevel"/>
    <w:tmpl w:val="B99AD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4B52B1"/>
    <w:multiLevelType w:val="hybridMultilevel"/>
    <w:tmpl w:val="35B8532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E1394A"/>
    <w:multiLevelType w:val="multilevel"/>
    <w:tmpl w:val="3BA6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B42C7"/>
    <w:multiLevelType w:val="hybridMultilevel"/>
    <w:tmpl w:val="54B04E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230213"/>
    <w:multiLevelType w:val="multilevel"/>
    <w:tmpl w:val="94C4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AD3A7A"/>
    <w:multiLevelType w:val="hybridMultilevel"/>
    <w:tmpl w:val="33B04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02343A"/>
    <w:multiLevelType w:val="hybridMultilevel"/>
    <w:tmpl w:val="84F42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F16E26"/>
    <w:multiLevelType w:val="multilevel"/>
    <w:tmpl w:val="B4D26F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6B80AF1"/>
    <w:multiLevelType w:val="multilevel"/>
    <w:tmpl w:val="E686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7C6F07"/>
    <w:multiLevelType w:val="multilevel"/>
    <w:tmpl w:val="C2A25CF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B9064CD"/>
    <w:multiLevelType w:val="multilevel"/>
    <w:tmpl w:val="BE0C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AC1552"/>
    <w:multiLevelType w:val="multilevel"/>
    <w:tmpl w:val="6308C5A4"/>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9" w15:restartNumberingAfterBreak="0">
    <w:nsid w:val="61C7503F"/>
    <w:multiLevelType w:val="multilevel"/>
    <w:tmpl w:val="9F62F1B6"/>
    <w:lvl w:ilvl="0">
      <w:start w:val="4"/>
      <w:numFmt w:val="decimal"/>
      <w:lvlText w:val="%1."/>
      <w:lvlJc w:val="left"/>
      <w:pPr>
        <w:ind w:left="600" w:hanging="600"/>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0" w15:restartNumberingAfterBreak="0">
    <w:nsid w:val="6E297438"/>
    <w:multiLevelType w:val="hybridMultilevel"/>
    <w:tmpl w:val="9154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45367E4"/>
    <w:multiLevelType w:val="hybridMultilevel"/>
    <w:tmpl w:val="FD008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57617F"/>
    <w:multiLevelType w:val="hybridMultilevel"/>
    <w:tmpl w:val="1108B9A2"/>
    <w:lvl w:ilvl="0" w:tplc="364A0D1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EE0E5D"/>
    <w:multiLevelType w:val="hybridMultilevel"/>
    <w:tmpl w:val="7B9A3A6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8DB476C"/>
    <w:multiLevelType w:val="hybridMultilevel"/>
    <w:tmpl w:val="F59C26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95B773E"/>
    <w:multiLevelType w:val="multilevel"/>
    <w:tmpl w:val="929A9E7E"/>
    <w:lvl w:ilvl="0">
      <w:start w:val="1"/>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D811C19"/>
    <w:multiLevelType w:val="hybridMultilevel"/>
    <w:tmpl w:val="63B23434"/>
    <w:lvl w:ilvl="0" w:tplc="267486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13289431">
    <w:abstractNumId w:val="15"/>
  </w:num>
  <w:num w:numId="2" w16cid:durableId="885801368">
    <w:abstractNumId w:val="7"/>
  </w:num>
  <w:num w:numId="3" w16cid:durableId="1027171602">
    <w:abstractNumId w:val="24"/>
  </w:num>
  <w:num w:numId="4" w16cid:durableId="2052923203">
    <w:abstractNumId w:val="5"/>
  </w:num>
  <w:num w:numId="5" w16cid:durableId="132408995">
    <w:abstractNumId w:val="32"/>
  </w:num>
  <w:num w:numId="6" w16cid:durableId="676421612">
    <w:abstractNumId w:val="18"/>
  </w:num>
  <w:num w:numId="7" w16cid:durableId="633414390">
    <w:abstractNumId w:val="35"/>
  </w:num>
  <w:num w:numId="8" w16cid:durableId="1611627714">
    <w:abstractNumId w:val="1"/>
  </w:num>
  <w:num w:numId="9" w16cid:durableId="467745730">
    <w:abstractNumId w:val="28"/>
  </w:num>
  <w:num w:numId="10" w16cid:durableId="611254357">
    <w:abstractNumId w:val="13"/>
  </w:num>
  <w:num w:numId="11" w16cid:durableId="221645373">
    <w:abstractNumId w:val="3"/>
  </w:num>
  <w:num w:numId="12" w16cid:durableId="1753424970">
    <w:abstractNumId w:val="29"/>
  </w:num>
  <w:num w:numId="13" w16cid:durableId="2016684707">
    <w:abstractNumId w:val="11"/>
  </w:num>
  <w:num w:numId="14" w16cid:durableId="1689671253">
    <w:abstractNumId w:val="36"/>
  </w:num>
  <w:num w:numId="15" w16cid:durableId="295526449">
    <w:abstractNumId w:val="17"/>
  </w:num>
  <w:num w:numId="16" w16cid:durableId="1544436880">
    <w:abstractNumId w:val="6"/>
  </w:num>
  <w:num w:numId="17" w16cid:durableId="1597249893">
    <w:abstractNumId w:val="22"/>
  </w:num>
  <w:num w:numId="18" w16cid:durableId="1977946522">
    <w:abstractNumId w:val="25"/>
  </w:num>
  <w:num w:numId="19" w16cid:durableId="1998879908">
    <w:abstractNumId w:val="4"/>
  </w:num>
  <w:num w:numId="20" w16cid:durableId="156195433">
    <w:abstractNumId w:val="21"/>
  </w:num>
  <w:num w:numId="21" w16cid:durableId="1832021992">
    <w:abstractNumId w:val="20"/>
  </w:num>
  <w:num w:numId="22" w16cid:durableId="1101025172">
    <w:abstractNumId w:val="0"/>
  </w:num>
  <w:num w:numId="23" w16cid:durableId="1580554388">
    <w:abstractNumId w:val="26"/>
  </w:num>
  <w:num w:numId="24" w16cid:durableId="1337616336">
    <w:abstractNumId w:val="14"/>
  </w:num>
  <w:num w:numId="25" w16cid:durableId="923488245">
    <w:abstractNumId w:val="30"/>
  </w:num>
  <w:num w:numId="26" w16cid:durableId="1386024633">
    <w:abstractNumId w:val="2"/>
  </w:num>
  <w:num w:numId="27" w16cid:durableId="371419860">
    <w:abstractNumId w:val="34"/>
  </w:num>
  <w:num w:numId="28" w16cid:durableId="614016926">
    <w:abstractNumId w:val="23"/>
  </w:num>
  <w:num w:numId="29" w16cid:durableId="338626551">
    <w:abstractNumId w:val="33"/>
  </w:num>
  <w:num w:numId="30" w16cid:durableId="41683521">
    <w:abstractNumId w:val="12"/>
  </w:num>
  <w:num w:numId="31" w16cid:durableId="1960065009">
    <w:abstractNumId w:val="16"/>
  </w:num>
  <w:num w:numId="32" w16cid:durableId="2048674387">
    <w:abstractNumId w:val="9"/>
  </w:num>
  <w:num w:numId="33" w16cid:durableId="1598127394">
    <w:abstractNumId w:val="19"/>
  </w:num>
  <w:num w:numId="34" w16cid:durableId="818963539">
    <w:abstractNumId w:val="27"/>
  </w:num>
  <w:num w:numId="35" w16cid:durableId="2144351528">
    <w:abstractNumId w:val="8"/>
  </w:num>
  <w:num w:numId="36" w16cid:durableId="1733503182">
    <w:abstractNumId w:val="10"/>
  </w:num>
  <w:num w:numId="37" w16cid:durableId="1344893168">
    <w:abstractNumId w:val="3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990"/>
    <w:rsid w:val="0000100B"/>
    <w:rsid w:val="0000140D"/>
    <w:rsid w:val="00002526"/>
    <w:rsid w:val="00004685"/>
    <w:rsid w:val="0001108D"/>
    <w:rsid w:val="00015989"/>
    <w:rsid w:val="00015DE5"/>
    <w:rsid w:val="00017060"/>
    <w:rsid w:val="00021F6A"/>
    <w:rsid w:val="00026C84"/>
    <w:rsid w:val="00030A58"/>
    <w:rsid w:val="00035F57"/>
    <w:rsid w:val="00037299"/>
    <w:rsid w:val="00037C21"/>
    <w:rsid w:val="00042D63"/>
    <w:rsid w:val="00043881"/>
    <w:rsid w:val="000441E1"/>
    <w:rsid w:val="000442E7"/>
    <w:rsid w:val="00046B06"/>
    <w:rsid w:val="0004768E"/>
    <w:rsid w:val="000509B0"/>
    <w:rsid w:val="00050E4C"/>
    <w:rsid w:val="00050E76"/>
    <w:rsid w:val="00053C84"/>
    <w:rsid w:val="00057131"/>
    <w:rsid w:val="00060371"/>
    <w:rsid w:val="00060A99"/>
    <w:rsid w:val="000628F1"/>
    <w:rsid w:val="00063EBD"/>
    <w:rsid w:val="00064861"/>
    <w:rsid w:val="00066404"/>
    <w:rsid w:val="00067DDE"/>
    <w:rsid w:val="000709FF"/>
    <w:rsid w:val="0007570D"/>
    <w:rsid w:val="0008183C"/>
    <w:rsid w:val="0008292B"/>
    <w:rsid w:val="00083FDD"/>
    <w:rsid w:val="00085A3D"/>
    <w:rsid w:val="0008681D"/>
    <w:rsid w:val="00086A65"/>
    <w:rsid w:val="00087367"/>
    <w:rsid w:val="00090ACD"/>
    <w:rsid w:val="00091B9E"/>
    <w:rsid w:val="00092AD5"/>
    <w:rsid w:val="0009347B"/>
    <w:rsid w:val="000948FA"/>
    <w:rsid w:val="000A1E75"/>
    <w:rsid w:val="000A2E16"/>
    <w:rsid w:val="000A3E34"/>
    <w:rsid w:val="000A5F9E"/>
    <w:rsid w:val="000A6959"/>
    <w:rsid w:val="000B5301"/>
    <w:rsid w:val="000B561B"/>
    <w:rsid w:val="000B6BFF"/>
    <w:rsid w:val="000B75BD"/>
    <w:rsid w:val="000B79ED"/>
    <w:rsid w:val="000C1727"/>
    <w:rsid w:val="000C29E2"/>
    <w:rsid w:val="000C3941"/>
    <w:rsid w:val="000C3E60"/>
    <w:rsid w:val="000C4E08"/>
    <w:rsid w:val="000C5FF5"/>
    <w:rsid w:val="000C6234"/>
    <w:rsid w:val="000C6AAE"/>
    <w:rsid w:val="000C74D8"/>
    <w:rsid w:val="000D08FF"/>
    <w:rsid w:val="000D1751"/>
    <w:rsid w:val="000D1F60"/>
    <w:rsid w:val="000D6E08"/>
    <w:rsid w:val="000D7022"/>
    <w:rsid w:val="000D7FE5"/>
    <w:rsid w:val="000E039D"/>
    <w:rsid w:val="000E4436"/>
    <w:rsid w:val="000F2AAC"/>
    <w:rsid w:val="000F47EC"/>
    <w:rsid w:val="000F61F9"/>
    <w:rsid w:val="000F6288"/>
    <w:rsid w:val="000F74AF"/>
    <w:rsid w:val="000F7BCA"/>
    <w:rsid w:val="0010102B"/>
    <w:rsid w:val="00101D5C"/>
    <w:rsid w:val="0010369D"/>
    <w:rsid w:val="00105F0A"/>
    <w:rsid w:val="00110EB2"/>
    <w:rsid w:val="0011149C"/>
    <w:rsid w:val="00112105"/>
    <w:rsid w:val="00113958"/>
    <w:rsid w:val="001164D7"/>
    <w:rsid w:val="00122333"/>
    <w:rsid w:val="00131510"/>
    <w:rsid w:val="0013252B"/>
    <w:rsid w:val="00132DA7"/>
    <w:rsid w:val="00133CAE"/>
    <w:rsid w:val="00134A5D"/>
    <w:rsid w:val="00135B98"/>
    <w:rsid w:val="00142C2D"/>
    <w:rsid w:val="00143546"/>
    <w:rsid w:val="001449D5"/>
    <w:rsid w:val="001462BD"/>
    <w:rsid w:val="00147A89"/>
    <w:rsid w:val="00150922"/>
    <w:rsid w:val="0015279E"/>
    <w:rsid w:val="00152A13"/>
    <w:rsid w:val="0015532F"/>
    <w:rsid w:val="0015651F"/>
    <w:rsid w:val="00157F70"/>
    <w:rsid w:val="00157F74"/>
    <w:rsid w:val="0016034D"/>
    <w:rsid w:val="00161BC1"/>
    <w:rsid w:val="0016371C"/>
    <w:rsid w:val="00163C7A"/>
    <w:rsid w:val="001647E3"/>
    <w:rsid w:val="00165C74"/>
    <w:rsid w:val="00165F8C"/>
    <w:rsid w:val="00166099"/>
    <w:rsid w:val="0016643A"/>
    <w:rsid w:val="00166BD8"/>
    <w:rsid w:val="00166E63"/>
    <w:rsid w:val="0016768C"/>
    <w:rsid w:val="001679E7"/>
    <w:rsid w:val="001700EA"/>
    <w:rsid w:val="00175742"/>
    <w:rsid w:val="00175F8C"/>
    <w:rsid w:val="001766CB"/>
    <w:rsid w:val="00176EC3"/>
    <w:rsid w:val="00184597"/>
    <w:rsid w:val="0019127E"/>
    <w:rsid w:val="0019312D"/>
    <w:rsid w:val="00193721"/>
    <w:rsid w:val="0019394A"/>
    <w:rsid w:val="00195F57"/>
    <w:rsid w:val="001965C7"/>
    <w:rsid w:val="00196C28"/>
    <w:rsid w:val="001A1B26"/>
    <w:rsid w:val="001A2C35"/>
    <w:rsid w:val="001A48D0"/>
    <w:rsid w:val="001A4B05"/>
    <w:rsid w:val="001A5EC2"/>
    <w:rsid w:val="001B0134"/>
    <w:rsid w:val="001B1323"/>
    <w:rsid w:val="001B1AB5"/>
    <w:rsid w:val="001B562B"/>
    <w:rsid w:val="001C453C"/>
    <w:rsid w:val="001C60D4"/>
    <w:rsid w:val="001D6029"/>
    <w:rsid w:val="001E5D2B"/>
    <w:rsid w:val="001E680C"/>
    <w:rsid w:val="001F06C4"/>
    <w:rsid w:val="001F0DE1"/>
    <w:rsid w:val="001F1469"/>
    <w:rsid w:val="001F1FB5"/>
    <w:rsid w:val="001F2045"/>
    <w:rsid w:val="001F310D"/>
    <w:rsid w:val="001F5851"/>
    <w:rsid w:val="002000DF"/>
    <w:rsid w:val="0020110B"/>
    <w:rsid w:val="00205CE8"/>
    <w:rsid w:val="00207C99"/>
    <w:rsid w:val="00210F68"/>
    <w:rsid w:val="00211669"/>
    <w:rsid w:val="0021177D"/>
    <w:rsid w:val="00211DAD"/>
    <w:rsid w:val="0021234B"/>
    <w:rsid w:val="002125ED"/>
    <w:rsid w:val="00213E0F"/>
    <w:rsid w:val="0022478A"/>
    <w:rsid w:val="00227B69"/>
    <w:rsid w:val="00227F14"/>
    <w:rsid w:val="002318D9"/>
    <w:rsid w:val="0023376E"/>
    <w:rsid w:val="00233BD1"/>
    <w:rsid w:val="00236014"/>
    <w:rsid w:val="00236224"/>
    <w:rsid w:val="00240B10"/>
    <w:rsid w:val="00240E83"/>
    <w:rsid w:val="00242138"/>
    <w:rsid w:val="00244CBE"/>
    <w:rsid w:val="00246670"/>
    <w:rsid w:val="0024674A"/>
    <w:rsid w:val="00250591"/>
    <w:rsid w:val="00251570"/>
    <w:rsid w:val="00252D33"/>
    <w:rsid w:val="0025708F"/>
    <w:rsid w:val="00260B82"/>
    <w:rsid w:val="00260DB5"/>
    <w:rsid w:val="002626D1"/>
    <w:rsid w:val="002636B4"/>
    <w:rsid w:val="00267514"/>
    <w:rsid w:val="00273CA2"/>
    <w:rsid w:val="002750D6"/>
    <w:rsid w:val="0027585B"/>
    <w:rsid w:val="00276615"/>
    <w:rsid w:val="002802AE"/>
    <w:rsid w:val="00284EDB"/>
    <w:rsid w:val="002911BB"/>
    <w:rsid w:val="00293EE1"/>
    <w:rsid w:val="002952E8"/>
    <w:rsid w:val="002954D3"/>
    <w:rsid w:val="002969BF"/>
    <w:rsid w:val="00297817"/>
    <w:rsid w:val="002A0D2C"/>
    <w:rsid w:val="002A3597"/>
    <w:rsid w:val="002A6086"/>
    <w:rsid w:val="002B0ED5"/>
    <w:rsid w:val="002B2DD1"/>
    <w:rsid w:val="002B564F"/>
    <w:rsid w:val="002B58EA"/>
    <w:rsid w:val="002C2039"/>
    <w:rsid w:val="002C4313"/>
    <w:rsid w:val="002D02B0"/>
    <w:rsid w:val="002D36D0"/>
    <w:rsid w:val="002D52A8"/>
    <w:rsid w:val="002D5F18"/>
    <w:rsid w:val="002D7F1B"/>
    <w:rsid w:val="002E163C"/>
    <w:rsid w:val="002E1729"/>
    <w:rsid w:val="002E1CDB"/>
    <w:rsid w:val="002E688D"/>
    <w:rsid w:val="002F1A53"/>
    <w:rsid w:val="002F1F16"/>
    <w:rsid w:val="002F47AC"/>
    <w:rsid w:val="002F4808"/>
    <w:rsid w:val="002F75B7"/>
    <w:rsid w:val="00301C19"/>
    <w:rsid w:val="00303031"/>
    <w:rsid w:val="00303ACB"/>
    <w:rsid w:val="00303C12"/>
    <w:rsid w:val="0030726F"/>
    <w:rsid w:val="00307411"/>
    <w:rsid w:val="00312DE1"/>
    <w:rsid w:val="00320AF7"/>
    <w:rsid w:val="00327A9C"/>
    <w:rsid w:val="003304CB"/>
    <w:rsid w:val="00335BE1"/>
    <w:rsid w:val="00340819"/>
    <w:rsid w:val="0034608D"/>
    <w:rsid w:val="00346F29"/>
    <w:rsid w:val="00347085"/>
    <w:rsid w:val="0035048D"/>
    <w:rsid w:val="0035057E"/>
    <w:rsid w:val="0035096B"/>
    <w:rsid w:val="00353609"/>
    <w:rsid w:val="003558EE"/>
    <w:rsid w:val="00355D4B"/>
    <w:rsid w:val="00356425"/>
    <w:rsid w:val="00362CC1"/>
    <w:rsid w:val="00362CE8"/>
    <w:rsid w:val="00362FC1"/>
    <w:rsid w:val="00364487"/>
    <w:rsid w:val="00366F9E"/>
    <w:rsid w:val="003726D2"/>
    <w:rsid w:val="003737F1"/>
    <w:rsid w:val="0037574A"/>
    <w:rsid w:val="00380BC8"/>
    <w:rsid w:val="00382E55"/>
    <w:rsid w:val="003877D2"/>
    <w:rsid w:val="00387BBD"/>
    <w:rsid w:val="00387E91"/>
    <w:rsid w:val="00390F13"/>
    <w:rsid w:val="0039187F"/>
    <w:rsid w:val="003919A6"/>
    <w:rsid w:val="003A19F4"/>
    <w:rsid w:val="003A3981"/>
    <w:rsid w:val="003A3CE8"/>
    <w:rsid w:val="003A4449"/>
    <w:rsid w:val="003A5EBC"/>
    <w:rsid w:val="003A751E"/>
    <w:rsid w:val="003B33E5"/>
    <w:rsid w:val="003C02F6"/>
    <w:rsid w:val="003C2BB5"/>
    <w:rsid w:val="003C37CD"/>
    <w:rsid w:val="003C51C2"/>
    <w:rsid w:val="003D016F"/>
    <w:rsid w:val="003D1A97"/>
    <w:rsid w:val="003D37CA"/>
    <w:rsid w:val="003D4B44"/>
    <w:rsid w:val="003D52F8"/>
    <w:rsid w:val="003D6810"/>
    <w:rsid w:val="003D6C63"/>
    <w:rsid w:val="003E051C"/>
    <w:rsid w:val="003E0AF2"/>
    <w:rsid w:val="003E103D"/>
    <w:rsid w:val="003E379D"/>
    <w:rsid w:val="003E68E1"/>
    <w:rsid w:val="003F2093"/>
    <w:rsid w:val="003F2C50"/>
    <w:rsid w:val="003F4234"/>
    <w:rsid w:val="003F704C"/>
    <w:rsid w:val="00400A71"/>
    <w:rsid w:val="0040116A"/>
    <w:rsid w:val="00402977"/>
    <w:rsid w:val="00406005"/>
    <w:rsid w:val="00406EF9"/>
    <w:rsid w:val="00407CB0"/>
    <w:rsid w:val="00413500"/>
    <w:rsid w:val="00413917"/>
    <w:rsid w:val="00417641"/>
    <w:rsid w:val="0042422C"/>
    <w:rsid w:val="00424362"/>
    <w:rsid w:val="004247F0"/>
    <w:rsid w:val="00426DFF"/>
    <w:rsid w:val="00427145"/>
    <w:rsid w:val="0043012F"/>
    <w:rsid w:val="004328D4"/>
    <w:rsid w:val="00433823"/>
    <w:rsid w:val="00434C83"/>
    <w:rsid w:val="00436BAD"/>
    <w:rsid w:val="00437A12"/>
    <w:rsid w:val="00440E4A"/>
    <w:rsid w:val="00441CC2"/>
    <w:rsid w:val="004427E6"/>
    <w:rsid w:val="00443206"/>
    <w:rsid w:val="00444D1B"/>
    <w:rsid w:val="0044619E"/>
    <w:rsid w:val="00447C9C"/>
    <w:rsid w:val="00447F65"/>
    <w:rsid w:val="00450C52"/>
    <w:rsid w:val="00452F3A"/>
    <w:rsid w:val="004533B6"/>
    <w:rsid w:val="004549EF"/>
    <w:rsid w:val="00457604"/>
    <w:rsid w:val="004579F7"/>
    <w:rsid w:val="004658B8"/>
    <w:rsid w:val="00466CCF"/>
    <w:rsid w:val="00467464"/>
    <w:rsid w:val="0047146A"/>
    <w:rsid w:val="00472440"/>
    <w:rsid w:val="00472896"/>
    <w:rsid w:val="0047311E"/>
    <w:rsid w:val="0047403F"/>
    <w:rsid w:val="004757F6"/>
    <w:rsid w:val="00477C80"/>
    <w:rsid w:val="00481A12"/>
    <w:rsid w:val="004838C5"/>
    <w:rsid w:val="00485236"/>
    <w:rsid w:val="00485AE8"/>
    <w:rsid w:val="00485D70"/>
    <w:rsid w:val="004865AC"/>
    <w:rsid w:val="004872E9"/>
    <w:rsid w:val="00487601"/>
    <w:rsid w:val="0048775D"/>
    <w:rsid w:val="00490108"/>
    <w:rsid w:val="00492351"/>
    <w:rsid w:val="0049239C"/>
    <w:rsid w:val="00493750"/>
    <w:rsid w:val="004942B4"/>
    <w:rsid w:val="004946F0"/>
    <w:rsid w:val="004949E6"/>
    <w:rsid w:val="00495C29"/>
    <w:rsid w:val="0049665F"/>
    <w:rsid w:val="00497FC5"/>
    <w:rsid w:val="004A1F4B"/>
    <w:rsid w:val="004A2234"/>
    <w:rsid w:val="004A4F97"/>
    <w:rsid w:val="004A687B"/>
    <w:rsid w:val="004A7C87"/>
    <w:rsid w:val="004B1340"/>
    <w:rsid w:val="004B3B4A"/>
    <w:rsid w:val="004B432B"/>
    <w:rsid w:val="004B5EDE"/>
    <w:rsid w:val="004C0C95"/>
    <w:rsid w:val="004C37C2"/>
    <w:rsid w:val="004C3ACB"/>
    <w:rsid w:val="004C61B6"/>
    <w:rsid w:val="004C7A52"/>
    <w:rsid w:val="004D1DB5"/>
    <w:rsid w:val="004D378B"/>
    <w:rsid w:val="004D3D57"/>
    <w:rsid w:val="004D5D23"/>
    <w:rsid w:val="004D5E47"/>
    <w:rsid w:val="004E2D61"/>
    <w:rsid w:val="004E4065"/>
    <w:rsid w:val="004E5702"/>
    <w:rsid w:val="004E5907"/>
    <w:rsid w:val="004E6C13"/>
    <w:rsid w:val="004E7192"/>
    <w:rsid w:val="004F698E"/>
    <w:rsid w:val="00502D75"/>
    <w:rsid w:val="00510528"/>
    <w:rsid w:val="00510613"/>
    <w:rsid w:val="00510EF2"/>
    <w:rsid w:val="00511DAF"/>
    <w:rsid w:val="005134E1"/>
    <w:rsid w:val="0052320E"/>
    <w:rsid w:val="005270D1"/>
    <w:rsid w:val="00527FC3"/>
    <w:rsid w:val="00531D06"/>
    <w:rsid w:val="00533B62"/>
    <w:rsid w:val="00533B68"/>
    <w:rsid w:val="00534329"/>
    <w:rsid w:val="005348C8"/>
    <w:rsid w:val="00534FA3"/>
    <w:rsid w:val="00534FB9"/>
    <w:rsid w:val="0053510A"/>
    <w:rsid w:val="00535B0F"/>
    <w:rsid w:val="00535CA6"/>
    <w:rsid w:val="00536D80"/>
    <w:rsid w:val="00542117"/>
    <w:rsid w:val="00542396"/>
    <w:rsid w:val="00542DBE"/>
    <w:rsid w:val="005464FC"/>
    <w:rsid w:val="00546C29"/>
    <w:rsid w:val="00552DCC"/>
    <w:rsid w:val="00561DA4"/>
    <w:rsid w:val="00565607"/>
    <w:rsid w:val="00565CF7"/>
    <w:rsid w:val="00566DC7"/>
    <w:rsid w:val="005677BB"/>
    <w:rsid w:val="005746D7"/>
    <w:rsid w:val="00575C5B"/>
    <w:rsid w:val="00576230"/>
    <w:rsid w:val="00582505"/>
    <w:rsid w:val="00582768"/>
    <w:rsid w:val="00584361"/>
    <w:rsid w:val="00585990"/>
    <w:rsid w:val="00585AF8"/>
    <w:rsid w:val="005864EC"/>
    <w:rsid w:val="00586693"/>
    <w:rsid w:val="00593FC1"/>
    <w:rsid w:val="005A2759"/>
    <w:rsid w:val="005A2A3A"/>
    <w:rsid w:val="005A3239"/>
    <w:rsid w:val="005A58D6"/>
    <w:rsid w:val="005B19C1"/>
    <w:rsid w:val="005B1D66"/>
    <w:rsid w:val="005B273D"/>
    <w:rsid w:val="005C3951"/>
    <w:rsid w:val="005C470B"/>
    <w:rsid w:val="005C4F1C"/>
    <w:rsid w:val="005C4F20"/>
    <w:rsid w:val="005D0513"/>
    <w:rsid w:val="005D106A"/>
    <w:rsid w:val="005D4616"/>
    <w:rsid w:val="005E1BC9"/>
    <w:rsid w:val="005E2255"/>
    <w:rsid w:val="005E5802"/>
    <w:rsid w:val="005E5CAC"/>
    <w:rsid w:val="005E6145"/>
    <w:rsid w:val="005E6872"/>
    <w:rsid w:val="005E700A"/>
    <w:rsid w:val="005F065B"/>
    <w:rsid w:val="005F3C52"/>
    <w:rsid w:val="005F51FE"/>
    <w:rsid w:val="005F5731"/>
    <w:rsid w:val="005F60CC"/>
    <w:rsid w:val="005F6F3C"/>
    <w:rsid w:val="00600F77"/>
    <w:rsid w:val="00601B51"/>
    <w:rsid w:val="006032BA"/>
    <w:rsid w:val="006058BE"/>
    <w:rsid w:val="00611946"/>
    <w:rsid w:val="006226B8"/>
    <w:rsid w:val="00622F17"/>
    <w:rsid w:val="00625AF2"/>
    <w:rsid w:val="00625EC2"/>
    <w:rsid w:val="0063102B"/>
    <w:rsid w:val="00634D24"/>
    <w:rsid w:val="00635218"/>
    <w:rsid w:val="006412AD"/>
    <w:rsid w:val="0064152B"/>
    <w:rsid w:val="00642A92"/>
    <w:rsid w:val="006435D0"/>
    <w:rsid w:val="006436DA"/>
    <w:rsid w:val="00650985"/>
    <w:rsid w:val="00651496"/>
    <w:rsid w:val="00651626"/>
    <w:rsid w:val="00655950"/>
    <w:rsid w:val="006574AE"/>
    <w:rsid w:val="00660C0F"/>
    <w:rsid w:val="00662891"/>
    <w:rsid w:val="00662DE2"/>
    <w:rsid w:val="00665643"/>
    <w:rsid w:val="00665935"/>
    <w:rsid w:val="00665A15"/>
    <w:rsid w:val="00665F85"/>
    <w:rsid w:val="0067295C"/>
    <w:rsid w:val="00674DEB"/>
    <w:rsid w:val="00674F6E"/>
    <w:rsid w:val="0067759A"/>
    <w:rsid w:val="00682B12"/>
    <w:rsid w:val="00683717"/>
    <w:rsid w:val="00687573"/>
    <w:rsid w:val="0069152D"/>
    <w:rsid w:val="00694EB6"/>
    <w:rsid w:val="00695905"/>
    <w:rsid w:val="006972D7"/>
    <w:rsid w:val="006A060B"/>
    <w:rsid w:val="006A161D"/>
    <w:rsid w:val="006A1711"/>
    <w:rsid w:val="006A249A"/>
    <w:rsid w:val="006A2EDB"/>
    <w:rsid w:val="006A3299"/>
    <w:rsid w:val="006A4AD1"/>
    <w:rsid w:val="006A6124"/>
    <w:rsid w:val="006A7EA7"/>
    <w:rsid w:val="006B1B32"/>
    <w:rsid w:val="006B4429"/>
    <w:rsid w:val="006B589D"/>
    <w:rsid w:val="006B600B"/>
    <w:rsid w:val="006B6447"/>
    <w:rsid w:val="006B79A0"/>
    <w:rsid w:val="006C36C5"/>
    <w:rsid w:val="006C3C32"/>
    <w:rsid w:val="006C5DCF"/>
    <w:rsid w:val="006C6388"/>
    <w:rsid w:val="006C6A2A"/>
    <w:rsid w:val="006C6B50"/>
    <w:rsid w:val="006C7271"/>
    <w:rsid w:val="006C743C"/>
    <w:rsid w:val="006D0E8D"/>
    <w:rsid w:val="006D314D"/>
    <w:rsid w:val="006D331A"/>
    <w:rsid w:val="006D71CA"/>
    <w:rsid w:val="006D7B01"/>
    <w:rsid w:val="006E615A"/>
    <w:rsid w:val="006E65A5"/>
    <w:rsid w:val="006E6EB2"/>
    <w:rsid w:val="006E787D"/>
    <w:rsid w:val="006F2E0D"/>
    <w:rsid w:val="006F35A4"/>
    <w:rsid w:val="00702D13"/>
    <w:rsid w:val="00703498"/>
    <w:rsid w:val="00703A26"/>
    <w:rsid w:val="00704A36"/>
    <w:rsid w:val="00706FE2"/>
    <w:rsid w:val="0071052D"/>
    <w:rsid w:val="00713398"/>
    <w:rsid w:val="00716A52"/>
    <w:rsid w:val="00717D8F"/>
    <w:rsid w:val="00724A8F"/>
    <w:rsid w:val="00730F7F"/>
    <w:rsid w:val="00733CEB"/>
    <w:rsid w:val="00743FF5"/>
    <w:rsid w:val="0074463A"/>
    <w:rsid w:val="007463AC"/>
    <w:rsid w:val="00747697"/>
    <w:rsid w:val="00747D2E"/>
    <w:rsid w:val="00750CCC"/>
    <w:rsid w:val="007521F3"/>
    <w:rsid w:val="0075273B"/>
    <w:rsid w:val="00754563"/>
    <w:rsid w:val="00754596"/>
    <w:rsid w:val="00761F53"/>
    <w:rsid w:val="007707C2"/>
    <w:rsid w:val="00772A63"/>
    <w:rsid w:val="00774167"/>
    <w:rsid w:val="00777EB7"/>
    <w:rsid w:val="007824AD"/>
    <w:rsid w:val="0078250F"/>
    <w:rsid w:val="00786EFE"/>
    <w:rsid w:val="007917DB"/>
    <w:rsid w:val="007920DF"/>
    <w:rsid w:val="0079603C"/>
    <w:rsid w:val="007A1134"/>
    <w:rsid w:val="007A14DF"/>
    <w:rsid w:val="007A1665"/>
    <w:rsid w:val="007A2043"/>
    <w:rsid w:val="007A288E"/>
    <w:rsid w:val="007A76E6"/>
    <w:rsid w:val="007B2D26"/>
    <w:rsid w:val="007B6B08"/>
    <w:rsid w:val="007B775E"/>
    <w:rsid w:val="007C0536"/>
    <w:rsid w:val="007C064D"/>
    <w:rsid w:val="007C06EA"/>
    <w:rsid w:val="007C33F0"/>
    <w:rsid w:val="007C67E5"/>
    <w:rsid w:val="007D0628"/>
    <w:rsid w:val="007D1935"/>
    <w:rsid w:val="007D7471"/>
    <w:rsid w:val="007D799B"/>
    <w:rsid w:val="007E233C"/>
    <w:rsid w:val="007E5A16"/>
    <w:rsid w:val="007F3DE9"/>
    <w:rsid w:val="007F6EC0"/>
    <w:rsid w:val="00800B6C"/>
    <w:rsid w:val="00803179"/>
    <w:rsid w:val="00810239"/>
    <w:rsid w:val="008148C1"/>
    <w:rsid w:val="00816E6B"/>
    <w:rsid w:val="0082079A"/>
    <w:rsid w:val="008207C7"/>
    <w:rsid w:val="008260F7"/>
    <w:rsid w:val="008271A1"/>
    <w:rsid w:val="008317CF"/>
    <w:rsid w:val="00832749"/>
    <w:rsid w:val="008328D3"/>
    <w:rsid w:val="0083573F"/>
    <w:rsid w:val="00835E93"/>
    <w:rsid w:val="008364D7"/>
    <w:rsid w:val="008416E0"/>
    <w:rsid w:val="008438DA"/>
    <w:rsid w:val="00844F69"/>
    <w:rsid w:val="00847CF4"/>
    <w:rsid w:val="008520AA"/>
    <w:rsid w:val="00852FDA"/>
    <w:rsid w:val="00853806"/>
    <w:rsid w:val="008546C9"/>
    <w:rsid w:val="008557B7"/>
    <w:rsid w:val="00860135"/>
    <w:rsid w:val="008604AF"/>
    <w:rsid w:val="00863D76"/>
    <w:rsid w:val="00864543"/>
    <w:rsid w:val="008660B0"/>
    <w:rsid w:val="0086789F"/>
    <w:rsid w:val="00874878"/>
    <w:rsid w:val="00875866"/>
    <w:rsid w:val="0087779C"/>
    <w:rsid w:val="00881BF6"/>
    <w:rsid w:val="00882213"/>
    <w:rsid w:val="00885AB1"/>
    <w:rsid w:val="00887B5D"/>
    <w:rsid w:val="00891A2E"/>
    <w:rsid w:val="0089699F"/>
    <w:rsid w:val="0089787D"/>
    <w:rsid w:val="008A048F"/>
    <w:rsid w:val="008A415F"/>
    <w:rsid w:val="008A46AD"/>
    <w:rsid w:val="008A56A7"/>
    <w:rsid w:val="008A75D4"/>
    <w:rsid w:val="008B0945"/>
    <w:rsid w:val="008B138F"/>
    <w:rsid w:val="008B6677"/>
    <w:rsid w:val="008C01A4"/>
    <w:rsid w:val="008C2D30"/>
    <w:rsid w:val="008C3661"/>
    <w:rsid w:val="008C46DC"/>
    <w:rsid w:val="008C532B"/>
    <w:rsid w:val="008C6B66"/>
    <w:rsid w:val="008C6DA9"/>
    <w:rsid w:val="008D1593"/>
    <w:rsid w:val="008D2020"/>
    <w:rsid w:val="008D40CB"/>
    <w:rsid w:val="008D69E7"/>
    <w:rsid w:val="008E7EFF"/>
    <w:rsid w:val="008F0F2F"/>
    <w:rsid w:val="008F41BA"/>
    <w:rsid w:val="008F41C6"/>
    <w:rsid w:val="008F4511"/>
    <w:rsid w:val="008F4868"/>
    <w:rsid w:val="008F5591"/>
    <w:rsid w:val="00901EA7"/>
    <w:rsid w:val="00902194"/>
    <w:rsid w:val="009021B1"/>
    <w:rsid w:val="009021EF"/>
    <w:rsid w:val="00905AFF"/>
    <w:rsid w:val="00912C3D"/>
    <w:rsid w:val="009134F9"/>
    <w:rsid w:val="00913A46"/>
    <w:rsid w:val="00913B33"/>
    <w:rsid w:val="009142C4"/>
    <w:rsid w:val="00920C47"/>
    <w:rsid w:val="009244D6"/>
    <w:rsid w:val="009245D2"/>
    <w:rsid w:val="0093172D"/>
    <w:rsid w:val="0093224C"/>
    <w:rsid w:val="00933A6A"/>
    <w:rsid w:val="00936242"/>
    <w:rsid w:val="00943EA3"/>
    <w:rsid w:val="00944533"/>
    <w:rsid w:val="00945652"/>
    <w:rsid w:val="009478A9"/>
    <w:rsid w:val="009506B3"/>
    <w:rsid w:val="00950C25"/>
    <w:rsid w:val="00950D8C"/>
    <w:rsid w:val="009531F8"/>
    <w:rsid w:val="00953858"/>
    <w:rsid w:val="00961045"/>
    <w:rsid w:val="00961520"/>
    <w:rsid w:val="0096272E"/>
    <w:rsid w:val="00962960"/>
    <w:rsid w:val="00963E8B"/>
    <w:rsid w:val="00966C05"/>
    <w:rsid w:val="00966EFA"/>
    <w:rsid w:val="00967D29"/>
    <w:rsid w:val="009704C8"/>
    <w:rsid w:val="0097527F"/>
    <w:rsid w:val="009802F9"/>
    <w:rsid w:val="00981A16"/>
    <w:rsid w:val="009820C0"/>
    <w:rsid w:val="009824D1"/>
    <w:rsid w:val="00982D82"/>
    <w:rsid w:val="00983CCE"/>
    <w:rsid w:val="009844BB"/>
    <w:rsid w:val="009849BB"/>
    <w:rsid w:val="009879AA"/>
    <w:rsid w:val="00990FBD"/>
    <w:rsid w:val="00994710"/>
    <w:rsid w:val="00995325"/>
    <w:rsid w:val="00996E8F"/>
    <w:rsid w:val="009977C9"/>
    <w:rsid w:val="00997D37"/>
    <w:rsid w:val="009A445E"/>
    <w:rsid w:val="009B23EC"/>
    <w:rsid w:val="009B38E3"/>
    <w:rsid w:val="009B5F40"/>
    <w:rsid w:val="009B65FA"/>
    <w:rsid w:val="009B7F2C"/>
    <w:rsid w:val="009C0E99"/>
    <w:rsid w:val="009C46DF"/>
    <w:rsid w:val="009C4976"/>
    <w:rsid w:val="009C4EEB"/>
    <w:rsid w:val="009C796C"/>
    <w:rsid w:val="009D0595"/>
    <w:rsid w:val="009D06D0"/>
    <w:rsid w:val="009D1F54"/>
    <w:rsid w:val="009D2095"/>
    <w:rsid w:val="009D2DD5"/>
    <w:rsid w:val="009D5964"/>
    <w:rsid w:val="009D73B1"/>
    <w:rsid w:val="009E0398"/>
    <w:rsid w:val="009E16B2"/>
    <w:rsid w:val="009E3D9B"/>
    <w:rsid w:val="009E4C60"/>
    <w:rsid w:val="009E5B61"/>
    <w:rsid w:val="009E67D7"/>
    <w:rsid w:val="009F0856"/>
    <w:rsid w:val="009F656B"/>
    <w:rsid w:val="00A010D9"/>
    <w:rsid w:val="00A019B4"/>
    <w:rsid w:val="00A021ED"/>
    <w:rsid w:val="00A04277"/>
    <w:rsid w:val="00A04D68"/>
    <w:rsid w:val="00A05491"/>
    <w:rsid w:val="00A068A1"/>
    <w:rsid w:val="00A177A0"/>
    <w:rsid w:val="00A17DCB"/>
    <w:rsid w:val="00A23EC8"/>
    <w:rsid w:val="00A27E60"/>
    <w:rsid w:val="00A339C8"/>
    <w:rsid w:val="00A424A2"/>
    <w:rsid w:val="00A42640"/>
    <w:rsid w:val="00A47143"/>
    <w:rsid w:val="00A51DE1"/>
    <w:rsid w:val="00A6039F"/>
    <w:rsid w:val="00A65B03"/>
    <w:rsid w:val="00A67AA7"/>
    <w:rsid w:val="00A70B4C"/>
    <w:rsid w:val="00A72925"/>
    <w:rsid w:val="00A76F98"/>
    <w:rsid w:val="00A83B72"/>
    <w:rsid w:val="00A906E5"/>
    <w:rsid w:val="00A934FD"/>
    <w:rsid w:val="00A93A5F"/>
    <w:rsid w:val="00A94878"/>
    <w:rsid w:val="00AA143A"/>
    <w:rsid w:val="00AA3CFC"/>
    <w:rsid w:val="00AA7623"/>
    <w:rsid w:val="00AB1FFD"/>
    <w:rsid w:val="00AB208F"/>
    <w:rsid w:val="00AB306C"/>
    <w:rsid w:val="00AB4191"/>
    <w:rsid w:val="00AB46EC"/>
    <w:rsid w:val="00AB626D"/>
    <w:rsid w:val="00AC29D1"/>
    <w:rsid w:val="00AC42E3"/>
    <w:rsid w:val="00AC7329"/>
    <w:rsid w:val="00AC7F9F"/>
    <w:rsid w:val="00AD1AE2"/>
    <w:rsid w:val="00AD2E2D"/>
    <w:rsid w:val="00AD7117"/>
    <w:rsid w:val="00AD75EE"/>
    <w:rsid w:val="00AE1AFB"/>
    <w:rsid w:val="00AE1F78"/>
    <w:rsid w:val="00AE2E14"/>
    <w:rsid w:val="00AE3624"/>
    <w:rsid w:val="00AE4483"/>
    <w:rsid w:val="00AE6820"/>
    <w:rsid w:val="00AE71F3"/>
    <w:rsid w:val="00AF0A95"/>
    <w:rsid w:val="00AF1254"/>
    <w:rsid w:val="00AF545B"/>
    <w:rsid w:val="00AF5518"/>
    <w:rsid w:val="00B0071A"/>
    <w:rsid w:val="00B0270B"/>
    <w:rsid w:val="00B07C6C"/>
    <w:rsid w:val="00B07E1F"/>
    <w:rsid w:val="00B10F86"/>
    <w:rsid w:val="00B11746"/>
    <w:rsid w:val="00B1383D"/>
    <w:rsid w:val="00B15A09"/>
    <w:rsid w:val="00B1754C"/>
    <w:rsid w:val="00B1772D"/>
    <w:rsid w:val="00B20AEC"/>
    <w:rsid w:val="00B20B9D"/>
    <w:rsid w:val="00B2308F"/>
    <w:rsid w:val="00B23827"/>
    <w:rsid w:val="00B24559"/>
    <w:rsid w:val="00B25828"/>
    <w:rsid w:val="00B270AA"/>
    <w:rsid w:val="00B27297"/>
    <w:rsid w:val="00B30DD1"/>
    <w:rsid w:val="00B34344"/>
    <w:rsid w:val="00B36038"/>
    <w:rsid w:val="00B40554"/>
    <w:rsid w:val="00B41681"/>
    <w:rsid w:val="00B41BD6"/>
    <w:rsid w:val="00B438D1"/>
    <w:rsid w:val="00B45B6D"/>
    <w:rsid w:val="00B50345"/>
    <w:rsid w:val="00B50C5A"/>
    <w:rsid w:val="00B51222"/>
    <w:rsid w:val="00B51C10"/>
    <w:rsid w:val="00B5258B"/>
    <w:rsid w:val="00B55470"/>
    <w:rsid w:val="00B61C15"/>
    <w:rsid w:val="00B62C8B"/>
    <w:rsid w:val="00B6332D"/>
    <w:rsid w:val="00B63980"/>
    <w:rsid w:val="00B67AA3"/>
    <w:rsid w:val="00B701BF"/>
    <w:rsid w:val="00B706BA"/>
    <w:rsid w:val="00B70FEB"/>
    <w:rsid w:val="00B71BE7"/>
    <w:rsid w:val="00B71FF8"/>
    <w:rsid w:val="00B7498E"/>
    <w:rsid w:val="00B755E0"/>
    <w:rsid w:val="00B75AE7"/>
    <w:rsid w:val="00B80047"/>
    <w:rsid w:val="00B802F8"/>
    <w:rsid w:val="00B80E4F"/>
    <w:rsid w:val="00B84C06"/>
    <w:rsid w:val="00B8579F"/>
    <w:rsid w:val="00B85DA0"/>
    <w:rsid w:val="00B9049E"/>
    <w:rsid w:val="00B93FA8"/>
    <w:rsid w:val="00B9446C"/>
    <w:rsid w:val="00B967EE"/>
    <w:rsid w:val="00B97B8E"/>
    <w:rsid w:val="00BA13E6"/>
    <w:rsid w:val="00BA22A2"/>
    <w:rsid w:val="00BA3D05"/>
    <w:rsid w:val="00BA4F3D"/>
    <w:rsid w:val="00BA5EEE"/>
    <w:rsid w:val="00BA669D"/>
    <w:rsid w:val="00BA7062"/>
    <w:rsid w:val="00BB13AE"/>
    <w:rsid w:val="00BB22A7"/>
    <w:rsid w:val="00BB68A3"/>
    <w:rsid w:val="00BC12AA"/>
    <w:rsid w:val="00BC1ED5"/>
    <w:rsid w:val="00BC31A0"/>
    <w:rsid w:val="00BC550D"/>
    <w:rsid w:val="00BC6DC1"/>
    <w:rsid w:val="00BC7FB2"/>
    <w:rsid w:val="00BC7FE1"/>
    <w:rsid w:val="00BD37E0"/>
    <w:rsid w:val="00BD78A9"/>
    <w:rsid w:val="00BE0516"/>
    <w:rsid w:val="00BE241B"/>
    <w:rsid w:val="00BE3767"/>
    <w:rsid w:val="00BE54D8"/>
    <w:rsid w:val="00BE6106"/>
    <w:rsid w:val="00BF0E19"/>
    <w:rsid w:val="00BF14F9"/>
    <w:rsid w:val="00BF2244"/>
    <w:rsid w:val="00BF2938"/>
    <w:rsid w:val="00BF440C"/>
    <w:rsid w:val="00BF5E23"/>
    <w:rsid w:val="00BF6383"/>
    <w:rsid w:val="00BF7D01"/>
    <w:rsid w:val="00C014CC"/>
    <w:rsid w:val="00C03281"/>
    <w:rsid w:val="00C03D39"/>
    <w:rsid w:val="00C0454B"/>
    <w:rsid w:val="00C054DF"/>
    <w:rsid w:val="00C07F0F"/>
    <w:rsid w:val="00C12F00"/>
    <w:rsid w:val="00C1557A"/>
    <w:rsid w:val="00C20EFE"/>
    <w:rsid w:val="00C2174D"/>
    <w:rsid w:val="00C225A3"/>
    <w:rsid w:val="00C2501F"/>
    <w:rsid w:val="00C27FF4"/>
    <w:rsid w:val="00C31A6F"/>
    <w:rsid w:val="00C33D16"/>
    <w:rsid w:val="00C35A06"/>
    <w:rsid w:val="00C35CF0"/>
    <w:rsid w:val="00C40AFE"/>
    <w:rsid w:val="00C42338"/>
    <w:rsid w:val="00C42403"/>
    <w:rsid w:val="00C43AD5"/>
    <w:rsid w:val="00C45459"/>
    <w:rsid w:val="00C52A30"/>
    <w:rsid w:val="00C579E2"/>
    <w:rsid w:val="00C60889"/>
    <w:rsid w:val="00C60E36"/>
    <w:rsid w:val="00C6206B"/>
    <w:rsid w:val="00C647E1"/>
    <w:rsid w:val="00C65A7D"/>
    <w:rsid w:val="00C66E5E"/>
    <w:rsid w:val="00C71EBB"/>
    <w:rsid w:val="00C7264D"/>
    <w:rsid w:val="00C72E08"/>
    <w:rsid w:val="00C75C22"/>
    <w:rsid w:val="00C76D3E"/>
    <w:rsid w:val="00C808B1"/>
    <w:rsid w:val="00C81BD6"/>
    <w:rsid w:val="00C835EB"/>
    <w:rsid w:val="00C83B1D"/>
    <w:rsid w:val="00C84206"/>
    <w:rsid w:val="00C85B29"/>
    <w:rsid w:val="00C86462"/>
    <w:rsid w:val="00C918C0"/>
    <w:rsid w:val="00C92263"/>
    <w:rsid w:val="00C929DB"/>
    <w:rsid w:val="00C95728"/>
    <w:rsid w:val="00C95F01"/>
    <w:rsid w:val="00C96E97"/>
    <w:rsid w:val="00CA1E69"/>
    <w:rsid w:val="00CA2734"/>
    <w:rsid w:val="00CA6256"/>
    <w:rsid w:val="00CA71E6"/>
    <w:rsid w:val="00CA782C"/>
    <w:rsid w:val="00CA7B52"/>
    <w:rsid w:val="00CB20D6"/>
    <w:rsid w:val="00CB223B"/>
    <w:rsid w:val="00CB289A"/>
    <w:rsid w:val="00CB4F6E"/>
    <w:rsid w:val="00CC7F8F"/>
    <w:rsid w:val="00CD102A"/>
    <w:rsid w:val="00CD219A"/>
    <w:rsid w:val="00CD30AF"/>
    <w:rsid w:val="00CD521A"/>
    <w:rsid w:val="00CD58DC"/>
    <w:rsid w:val="00CD59AB"/>
    <w:rsid w:val="00CD6102"/>
    <w:rsid w:val="00CD770F"/>
    <w:rsid w:val="00CD776D"/>
    <w:rsid w:val="00CE0218"/>
    <w:rsid w:val="00CE5124"/>
    <w:rsid w:val="00CF24F4"/>
    <w:rsid w:val="00CF3FC4"/>
    <w:rsid w:val="00CF6A31"/>
    <w:rsid w:val="00CF756D"/>
    <w:rsid w:val="00CF7C7E"/>
    <w:rsid w:val="00D00F9C"/>
    <w:rsid w:val="00D01907"/>
    <w:rsid w:val="00D04761"/>
    <w:rsid w:val="00D05832"/>
    <w:rsid w:val="00D066C7"/>
    <w:rsid w:val="00D066D7"/>
    <w:rsid w:val="00D077A0"/>
    <w:rsid w:val="00D127DD"/>
    <w:rsid w:val="00D13291"/>
    <w:rsid w:val="00D13333"/>
    <w:rsid w:val="00D13EDC"/>
    <w:rsid w:val="00D2023B"/>
    <w:rsid w:val="00D2058A"/>
    <w:rsid w:val="00D211E2"/>
    <w:rsid w:val="00D213C7"/>
    <w:rsid w:val="00D21975"/>
    <w:rsid w:val="00D21B7C"/>
    <w:rsid w:val="00D21C54"/>
    <w:rsid w:val="00D271A9"/>
    <w:rsid w:val="00D31BA6"/>
    <w:rsid w:val="00D3593A"/>
    <w:rsid w:val="00D3793A"/>
    <w:rsid w:val="00D40719"/>
    <w:rsid w:val="00D44B2E"/>
    <w:rsid w:val="00D4510D"/>
    <w:rsid w:val="00D5330A"/>
    <w:rsid w:val="00D53BA4"/>
    <w:rsid w:val="00D55D11"/>
    <w:rsid w:val="00D6122E"/>
    <w:rsid w:val="00D712F3"/>
    <w:rsid w:val="00D7261C"/>
    <w:rsid w:val="00D76421"/>
    <w:rsid w:val="00D76E12"/>
    <w:rsid w:val="00D800BA"/>
    <w:rsid w:val="00D81414"/>
    <w:rsid w:val="00D81CC1"/>
    <w:rsid w:val="00D81F23"/>
    <w:rsid w:val="00D8350A"/>
    <w:rsid w:val="00D83FC5"/>
    <w:rsid w:val="00D85FE0"/>
    <w:rsid w:val="00D92C70"/>
    <w:rsid w:val="00D939AD"/>
    <w:rsid w:val="00D94091"/>
    <w:rsid w:val="00D94D0E"/>
    <w:rsid w:val="00DA22A5"/>
    <w:rsid w:val="00DA5ACD"/>
    <w:rsid w:val="00DA6B18"/>
    <w:rsid w:val="00DB40BE"/>
    <w:rsid w:val="00DB5BEA"/>
    <w:rsid w:val="00DB774B"/>
    <w:rsid w:val="00DC04D6"/>
    <w:rsid w:val="00DC0F75"/>
    <w:rsid w:val="00DC11FB"/>
    <w:rsid w:val="00DC3AFD"/>
    <w:rsid w:val="00DC42F2"/>
    <w:rsid w:val="00DC644B"/>
    <w:rsid w:val="00DC6B24"/>
    <w:rsid w:val="00DD2329"/>
    <w:rsid w:val="00DD43F8"/>
    <w:rsid w:val="00DD4C2A"/>
    <w:rsid w:val="00DD51BA"/>
    <w:rsid w:val="00DE0DC5"/>
    <w:rsid w:val="00DE752B"/>
    <w:rsid w:val="00DE7789"/>
    <w:rsid w:val="00DF2210"/>
    <w:rsid w:val="00DF4176"/>
    <w:rsid w:val="00DF565C"/>
    <w:rsid w:val="00DF5DE7"/>
    <w:rsid w:val="00DF67D7"/>
    <w:rsid w:val="00DF6CEB"/>
    <w:rsid w:val="00DF75D3"/>
    <w:rsid w:val="00DF7FA7"/>
    <w:rsid w:val="00E052B9"/>
    <w:rsid w:val="00E250EF"/>
    <w:rsid w:val="00E3031D"/>
    <w:rsid w:val="00E326B9"/>
    <w:rsid w:val="00E33F4B"/>
    <w:rsid w:val="00E3783E"/>
    <w:rsid w:val="00E4056B"/>
    <w:rsid w:val="00E40696"/>
    <w:rsid w:val="00E4094E"/>
    <w:rsid w:val="00E44D84"/>
    <w:rsid w:val="00E4557C"/>
    <w:rsid w:val="00E4578A"/>
    <w:rsid w:val="00E45E12"/>
    <w:rsid w:val="00E46ED0"/>
    <w:rsid w:val="00E53BE1"/>
    <w:rsid w:val="00E541C8"/>
    <w:rsid w:val="00E54DC7"/>
    <w:rsid w:val="00E56074"/>
    <w:rsid w:val="00E57570"/>
    <w:rsid w:val="00E57881"/>
    <w:rsid w:val="00E616E5"/>
    <w:rsid w:val="00E61C74"/>
    <w:rsid w:val="00E63303"/>
    <w:rsid w:val="00E64755"/>
    <w:rsid w:val="00E74785"/>
    <w:rsid w:val="00E7522C"/>
    <w:rsid w:val="00E76458"/>
    <w:rsid w:val="00E76768"/>
    <w:rsid w:val="00E8494B"/>
    <w:rsid w:val="00E85484"/>
    <w:rsid w:val="00E863E7"/>
    <w:rsid w:val="00E91AD9"/>
    <w:rsid w:val="00E94B0D"/>
    <w:rsid w:val="00EA0CE9"/>
    <w:rsid w:val="00EA31A3"/>
    <w:rsid w:val="00EA7850"/>
    <w:rsid w:val="00EB1B57"/>
    <w:rsid w:val="00EB5DE9"/>
    <w:rsid w:val="00EB7905"/>
    <w:rsid w:val="00EC0E71"/>
    <w:rsid w:val="00ED0669"/>
    <w:rsid w:val="00ED0787"/>
    <w:rsid w:val="00ED7AB6"/>
    <w:rsid w:val="00EE25B1"/>
    <w:rsid w:val="00EE3F9B"/>
    <w:rsid w:val="00EE4DA7"/>
    <w:rsid w:val="00EE5CA4"/>
    <w:rsid w:val="00EE6C05"/>
    <w:rsid w:val="00EE7350"/>
    <w:rsid w:val="00EE7D44"/>
    <w:rsid w:val="00EF0251"/>
    <w:rsid w:val="00EF2376"/>
    <w:rsid w:val="00EF3585"/>
    <w:rsid w:val="00EF4AFA"/>
    <w:rsid w:val="00F013FA"/>
    <w:rsid w:val="00F03A8E"/>
    <w:rsid w:val="00F04002"/>
    <w:rsid w:val="00F05D68"/>
    <w:rsid w:val="00F108FD"/>
    <w:rsid w:val="00F11442"/>
    <w:rsid w:val="00F15236"/>
    <w:rsid w:val="00F15393"/>
    <w:rsid w:val="00F15FAD"/>
    <w:rsid w:val="00F20401"/>
    <w:rsid w:val="00F20F75"/>
    <w:rsid w:val="00F22711"/>
    <w:rsid w:val="00F25025"/>
    <w:rsid w:val="00F25115"/>
    <w:rsid w:val="00F26510"/>
    <w:rsid w:val="00F315A7"/>
    <w:rsid w:val="00F31E62"/>
    <w:rsid w:val="00F31FBF"/>
    <w:rsid w:val="00F322C2"/>
    <w:rsid w:val="00F327D2"/>
    <w:rsid w:val="00F32C2E"/>
    <w:rsid w:val="00F333A3"/>
    <w:rsid w:val="00F34D5F"/>
    <w:rsid w:val="00F3734E"/>
    <w:rsid w:val="00F375B3"/>
    <w:rsid w:val="00F37A72"/>
    <w:rsid w:val="00F446F9"/>
    <w:rsid w:val="00F46B72"/>
    <w:rsid w:val="00F56657"/>
    <w:rsid w:val="00F57240"/>
    <w:rsid w:val="00F60468"/>
    <w:rsid w:val="00F63122"/>
    <w:rsid w:val="00F6414A"/>
    <w:rsid w:val="00F66526"/>
    <w:rsid w:val="00F66627"/>
    <w:rsid w:val="00F671EF"/>
    <w:rsid w:val="00F67261"/>
    <w:rsid w:val="00F67896"/>
    <w:rsid w:val="00F72A3C"/>
    <w:rsid w:val="00F72C5E"/>
    <w:rsid w:val="00F73215"/>
    <w:rsid w:val="00F75DDD"/>
    <w:rsid w:val="00F81CCE"/>
    <w:rsid w:val="00F832ED"/>
    <w:rsid w:val="00F86080"/>
    <w:rsid w:val="00F8696B"/>
    <w:rsid w:val="00F87FAB"/>
    <w:rsid w:val="00F96EF8"/>
    <w:rsid w:val="00F970A4"/>
    <w:rsid w:val="00FA46A9"/>
    <w:rsid w:val="00FA59EA"/>
    <w:rsid w:val="00FA7E41"/>
    <w:rsid w:val="00FB02EA"/>
    <w:rsid w:val="00FB08F0"/>
    <w:rsid w:val="00FB124F"/>
    <w:rsid w:val="00FB5AA5"/>
    <w:rsid w:val="00FB64AF"/>
    <w:rsid w:val="00FB6760"/>
    <w:rsid w:val="00FC3FC3"/>
    <w:rsid w:val="00FC5364"/>
    <w:rsid w:val="00FC625F"/>
    <w:rsid w:val="00FC69A2"/>
    <w:rsid w:val="00FD3D4B"/>
    <w:rsid w:val="00FD466B"/>
    <w:rsid w:val="00FD51B6"/>
    <w:rsid w:val="00FD7839"/>
    <w:rsid w:val="00FE16E4"/>
    <w:rsid w:val="00FE17A5"/>
    <w:rsid w:val="00FE1BC7"/>
    <w:rsid w:val="00FE6AAF"/>
    <w:rsid w:val="00FE7767"/>
    <w:rsid w:val="00FF0E5D"/>
    <w:rsid w:val="00FF0F8B"/>
    <w:rsid w:val="00FF21A9"/>
    <w:rsid w:val="00FF69A4"/>
    <w:rsid w:val="00FF7305"/>
  </w:rsid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8D1"/>
    <w:pPr>
      <w:spacing w:line="276" w:lineRule="auto" w:before="0" w:after="200"/>
      <w:jc w:val="both"/>
    </w:pPr>
    <w:rPr>
      <w:rFonts w:ascii="Times New Roman" w:eastAsia="Times New Roman" w:hAnsi="Times New Roman" w:cs="Calibri"/>
      <w:b w:val="0"/>
      <w:i w:val="0"/>
      <w:sz w:val="24"/>
    </w:rPr>
  </w:style>
  <w:style w:type="paragraph" w:styleId="Heading1">
    <w:name w:val="heading 1"/>
    <w:basedOn w:val="Normal"/>
    <w:next w:val="Normal"/>
    <w:link w:val="Heading1Char"/>
    <w:uiPriority w:val="9"/>
    <w:qFormat/>
    <w:rsid w:val="00A42640"/>
    <w:pPr>
      <w:keepNext/>
      <w:keepLines/>
      <w:spacing w:before="240" w:line="240" w:lineRule="auto" w:after="120"/>
      <w:jc w:val="left"/>
      <w:outlineLvl w:val="0"/>
    </w:pPr>
    <w:rPr>
      <w:rFonts w:asciiTheme="majorHAnsi" w:eastAsiaTheme="majorEastAsia" w:hAnsiTheme="majorHAnsi" w:cstheme="majorBidi" w:ascii="Times New Roman" w:hAnsi="Times New Roman" w:eastAsia="Times New Roman"/>
      <w:b/>
      <w:color w:val="000000"/>
      <w:sz w:val="32"/>
      <w:szCs w:val="32"/>
    </w:rPr>
  </w:style>
  <w:style w:type="paragraph" w:styleId="Heading2">
    <w:name w:val="heading 2"/>
    <w:basedOn w:val="Normal"/>
    <w:next w:val="Normal"/>
    <w:link w:val="Heading2Char"/>
    <w:uiPriority w:val="9"/>
    <w:unhideWhenUsed/>
    <w:qFormat/>
    <w:rsid w:val="00D5330A"/>
    <w:pPr>
      <w:keepNext/>
      <w:keepLines/>
      <w:spacing w:before="160" w:line="240" w:lineRule="auto" w:after="120"/>
      <w:jc w:val="left"/>
      <w:outlineLvl w:val="1"/>
    </w:pPr>
    <w:rPr>
      <w:rFonts w:asciiTheme="majorHAnsi" w:eastAsiaTheme="majorEastAsia" w:hAnsiTheme="majorHAnsi" w:cstheme="majorBidi" w:ascii="Times New Roman" w:hAnsi="Times New Roman" w:eastAsia="Times New Roman"/>
      <w:b/>
      <w:color w:val="000000"/>
      <w:sz w:val="26"/>
      <w:szCs w:val="26"/>
    </w:rPr>
  </w:style>
  <w:style w:type="paragraph" w:styleId="Heading3">
    <w:name w:val="heading 3"/>
    <w:basedOn w:val="Normal"/>
    <w:next w:val="Normal"/>
    <w:link w:val="Heading3Char"/>
    <w:uiPriority w:val="9"/>
    <w:unhideWhenUsed/>
    <w:qFormat/>
    <w:rsid w:val="00037299"/>
    <w:pPr>
      <w:keepNext/>
      <w:keepLines/>
      <w:spacing w:before="160" w:after="120" w:line="240" w:lineRule="auto"/>
      <w:jc w:val="left"/>
      <w:outlineLvl w:val="2"/>
    </w:pPr>
    <w:rPr>
      <w:rFonts w:asciiTheme="majorHAnsi" w:eastAsiaTheme="majorEastAsia" w:hAnsiTheme="majorHAnsi" w:cstheme="majorBidi" w:ascii="Times New Roman" w:hAnsi="Times New Roman" w:eastAsia="Times New Roman"/>
      <w:b/>
      <w:color w:val="000000"/>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B438D1"/>
    <w:pPr>
      <w:spacing w:line="276" w:lineRule="auto" w:before="0" w:after="200"/>
      <w:jc w:val="both"/>
    </w:pPr>
    <w:rPr>
      <w:rFonts w:ascii="Times New Roman" w:hAnsi="Times New Roman" w:eastAsia="Times New Roman"/>
      <w:b w:val="0"/>
      <w:bCs/>
      <w:i w:val="0"/>
      <w:sz w:val="24"/>
      <w:szCs w:val="24"/>
    </w:rPr>
  </w:style>
  <w:style w:type="paragraph" w:styleId="ListParagraph">
    <w:name w:val="List Paragraph"/>
    <w:basedOn w:val="Normal"/>
    <w:uiPriority w:val="34"/>
    <w:qFormat/>
    <w:rsid w:val="00B438D1"/>
  </w:style>
  <w:style w:type="paragraph" w:customStyle="1" w:styleId="TableParagraph">
    <w:name w:val="Table Paragraph"/>
    <w:basedOn w:val="Normal"/>
    <w:uiPriority w:val="1"/>
    <w:qFormat/>
    <w:rsid w:val="00B438D1"/>
  </w:style>
  <w:style w:type="paragraph" w:styleId="Header">
    <w:name w:val="header"/>
    <w:basedOn w:val="Normal"/>
    <w:link w:val="HeaderChar"/>
    <w:uiPriority w:val="99"/>
    <w:unhideWhenUsed/>
    <w:rsid w:val="00BC6DC1"/>
    <w:pPr>
      <w:tabs>
        <w:tab w:val="center" w:pos="4680"/>
        <w:tab w:val="right" w:pos="9360"/>
      </w:tabs>
    </w:pPr>
  </w:style>
  <w:style w:type="character" w:customStyle="1" w:styleId="HeaderChar">
    <w:name w:val="Header Char"/>
    <w:basedOn w:val="DefaultParagraphFont"/>
    <w:link w:val="Header"/>
    <w:uiPriority w:val="99"/>
    <w:rsid w:val="00BC6DC1"/>
    <w:rPr>
      <w:rFonts w:ascii="Calibri" w:eastAsia="Calibri" w:hAnsi="Calibri" w:cs="Calibri"/>
    </w:rPr>
  </w:style>
  <w:style w:type="paragraph" w:styleId="Footer">
    <w:name w:val="footer"/>
    <w:basedOn w:val="Normal"/>
    <w:link w:val="FooterChar"/>
    <w:uiPriority w:val="99"/>
    <w:unhideWhenUsed/>
    <w:rsid w:val="00BC6DC1"/>
    <w:pPr>
      <w:tabs>
        <w:tab w:val="center" w:pos="4680"/>
        <w:tab w:val="right" w:pos="9360"/>
      </w:tabs>
    </w:pPr>
  </w:style>
  <w:style w:type="character" w:customStyle="1" w:styleId="FooterChar">
    <w:name w:val="Footer Char"/>
    <w:basedOn w:val="DefaultParagraphFont"/>
    <w:link w:val="Footer"/>
    <w:uiPriority w:val="99"/>
    <w:rsid w:val="00BC6DC1"/>
    <w:rPr>
      <w:rFonts w:ascii="Calibri" w:eastAsia="Calibri" w:hAnsi="Calibri" w:cs="Calibri"/>
    </w:rPr>
  </w:style>
  <w:style w:type="paragraph" w:styleId="Title">
    <w:name w:val="Title"/>
    <w:basedOn w:val="Normal"/>
    <w:link w:val="TitleChar"/>
    <w:uiPriority w:val="10"/>
    <w:qFormat/>
    <w:rsid w:val="004946F0"/>
    <w:pPr>
      <w:spacing w:before="38"/>
      <w:ind w:left="2893" w:right="2889"/>
      <w:jc w:val="center"/>
    </w:pPr>
    <w:rPr>
      <w:b/>
      <w:bCs/>
      <w:sz w:val="31"/>
      <w:szCs w:val="31"/>
      <w:lang w:val="hr-HR"/>
    </w:rPr>
  </w:style>
  <w:style w:type="character" w:customStyle="1" w:styleId="TitleChar">
    <w:name w:val="Title Char"/>
    <w:basedOn w:val="DefaultParagraphFont"/>
    <w:link w:val="Title"/>
    <w:uiPriority w:val="10"/>
    <w:rsid w:val="004946F0"/>
    <w:rPr>
      <w:rFonts w:ascii="Calibri" w:eastAsia="Calibri" w:hAnsi="Calibri" w:cs="Calibri"/>
      <w:b/>
      <w:bCs/>
      <w:sz w:val="31"/>
      <w:szCs w:val="31"/>
      <w:lang w:val="hr-HR"/>
    </w:rPr>
  </w:style>
  <w:style w:type="character" w:customStyle="1" w:styleId="Heading1Char">
    <w:name w:val="Heading 1 Char"/>
    <w:basedOn w:val="DefaultParagraphFont"/>
    <w:link w:val="Heading1"/>
    <w:uiPriority w:val="9"/>
    <w:rsid w:val="00A42640"/>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A42640"/>
    <w:pPr>
      <w:widowControl/>
      <w:autoSpaceDE/>
      <w:autoSpaceDN/>
      <w:spacing w:line="259" w:lineRule="auto"/>
      <w:outlineLvl w:val="9"/>
    </w:pPr>
  </w:style>
  <w:style w:type="paragraph" w:styleId="TOC1">
    <w:name w:val="toc 1"/>
    <w:basedOn w:val="Normal"/>
    <w:next w:val="Normal"/>
    <w:autoRedefine/>
    <w:uiPriority w:val="39"/>
    <w:unhideWhenUsed/>
    <w:rsid w:val="00A42640"/>
    <w:pPr>
      <w:spacing w:after="100"/>
    </w:pPr>
  </w:style>
  <w:style w:type="character" w:styleId="Hyperlink">
    <w:name w:val="Hyperlink"/>
    <w:basedOn w:val="DefaultParagraphFont"/>
    <w:uiPriority w:val="99"/>
    <w:unhideWhenUsed/>
    <w:rsid w:val="00A42640"/>
    <w:rPr>
      <w:color w:val="0000FF" w:themeColor="hyperlink"/>
      <w:u w:val="single"/>
    </w:rPr>
  </w:style>
  <w:style w:type="character" w:customStyle="1" w:styleId="Heading2Char">
    <w:name w:val="Heading 2 Char"/>
    <w:basedOn w:val="DefaultParagraphFont"/>
    <w:link w:val="Heading2"/>
    <w:uiPriority w:val="9"/>
    <w:rsid w:val="00D5330A"/>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246670"/>
    <w:pPr>
      <w:spacing w:after="100"/>
      <w:ind w:left="220"/>
    </w:pPr>
  </w:style>
  <w:style w:type="character" w:customStyle="1" w:styleId="UnresolvedMention1">
    <w:name w:val="Unresolved Mention1"/>
    <w:basedOn w:val="DefaultParagraphFont"/>
    <w:uiPriority w:val="99"/>
    <w:semiHidden/>
    <w:unhideWhenUsed/>
    <w:rsid w:val="00651496"/>
    <w:rPr>
      <w:color w:val="605E5C"/>
      <w:shd w:val="clear" w:color="auto" w:fill="E1DFDD"/>
    </w:rPr>
  </w:style>
  <w:style w:type="character" w:styleId="CommentReference">
    <w:name w:val="annotation reference"/>
    <w:basedOn w:val="DefaultParagraphFont"/>
    <w:uiPriority w:val="99"/>
    <w:semiHidden/>
    <w:unhideWhenUsed/>
    <w:rsid w:val="004E2D61"/>
    <w:rPr>
      <w:sz w:val="16"/>
      <w:szCs w:val="16"/>
    </w:rPr>
  </w:style>
  <w:style w:type="paragraph" w:styleId="CommentText">
    <w:name w:val="annotation text"/>
    <w:basedOn w:val="Normal"/>
    <w:link w:val="CommentTextChar"/>
    <w:uiPriority w:val="99"/>
    <w:semiHidden/>
    <w:unhideWhenUsed/>
    <w:rsid w:val="004E2D61"/>
    <w:pPr>
      <w:spacing w:line="240" w:lineRule="auto"/>
    </w:pPr>
    <w:rPr>
      <w:sz w:val="20"/>
      <w:szCs w:val="20"/>
    </w:rPr>
  </w:style>
  <w:style w:type="character" w:customStyle="1" w:styleId="CommentTextChar">
    <w:name w:val="Comment Text Char"/>
    <w:basedOn w:val="DefaultParagraphFont"/>
    <w:link w:val="CommentText"/>
    <w:uiPriority w:val="99"/>
    <w:semiHidden/>
    <w:rsid w:val="004E2D61"/>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4E2D61"/>
    <w:rPr>
      <w:b/>
      <w:bCs/>
    </w:rPr>
  </w:style>
  <w:style w:type="character" w:customStyle="1" w:styleId="CommentSubjectChar">
    <w:name w:val="Comment Subject Char"/>
    <w:basedOn w:val="CommentTextChar"/>
    <w:link w:val="CommentSubject"/>
    <w:uiPriority w:val="99"/>
    <w:semiHidden/>
    <w:rsid w:val="004E2D61"/>
    <w:rPr>
      <w:rFonts w:ascii="Calibri" w:eastAsia="Calibri" w:hAnsi="Calibri" w:cs="Calibri"/>
      <w:b/>
      <w:bCs/>
      <w:sz w:val="20"/>
      <w:szCs w:val="20"/>
    </w:rPr>
  </w:style>
  <w:style w:type="paragraph" w:styleId="Bibliography">
    <w:name w:val="Bibliography"/>
    <w:basedOn w:val="Normal"/>
    <w:next w:val="Normal"/>
    <w:uiPriority w:val="37"/>
    <w:unhideWhenUsed/>
    <w:rsid w:val="0025708F"/>
    <w:pPr>
      <w:spacing w:after="0" w:line="480" w:lineRule="auto"/>
      <w:ind w:left="720" w:hanging="720"/>
    </w:pPr>
  </w:style>
  <w:style w:type="character" w:styleId="PlaceholderText">
    <w:name w:val="Placeholder Text"/>
    <w:basedOn w:val="DefaultParagraphFont"/>
    <w:uiPriority w:val="99"/>
    <w:semiHidden/>
    <w:rsid w:val="00FA7E41"/>
    <w:rPr>
      <w:color w:val="666666"/>
    </w:rPr>
  </w:style>
  <w:style w:type="character" w:customStyle="1" w:styleId="Heading3Char">
    <w:name w:val="Heading 3 Char"/>
    <w:basedOn w:val="DefaultParagraphFont"/>
    <w:link w:val="Heading3"/>
    <w:uiPriority w:val="9"/>
    <w:rsid w:val="00037299"/>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F25115"/>
    <w:pPr>
      <w:spacing w:after="100"/>
      <w:ind w:left="440"/>
    </w:pPr>
  </w:style>
  <w:style w:type="paragraph" w:styleId="HTMLPreformatted">
    <w:name w:val="HTML Preformatted"/>
    <w:basedOn w:val="Normal"/>
    <w:link w:val="HTMLPreformattedChar"/>
    <w:uiPriority w:val="99"/>
    <w:semiHidden/>
    <w:unhideWhenUsed/>
    <w:rsid w:val="00B62C8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62C8B"/>
    <w:rPr>
      <w:rFonts w:ascii="Courier New" w:eastAsia="Times New Roman" w:hAnsi="Courier New" w:cs="Courier New"/>
      <w:sz w:val="20"/>
      <w:szCs w:val="20"/>
    </w:rPr>
  </w:style>
  <w:style w:type="character" w:customStyle="1" w:styleId="y2iqfc">
    <w:name w:val="y2iqfc"/>
    <w:basedOn w:val="DefaultParagraphFont"/>
    <w:rsid w:val="00B62C8B"/>
  </w:style>
  <w:style w:type="character" w:customStyle="1" w:styleId="pre">
    <w:name w:val="pre"/>
    <w:basedOn w:val="DefaultParagraphFont"/>
    <w:rsid w:val="00810239"/>
  </w:style>
  <w:style w:type="character" w:customStyle="1" w:styleId="katex-mathml">
    <w:name w:val="katex-mathml"/>
    <w:basedOn w:val="DefaultParagraphFont"/>
    <w:rsid w:val="00166BD8"/>
  </w:style>
  <w:style w:type="character" w:customStyle="1" w:styleId="mord">
    <w:name w:val="mord"/>
    <w:basedOn w:val="DefaultParagraphFont"/>
    <w:rsid w:val="00166BD8"/>
  </w:style>
  <w:style w:type="paragraph" w:styleId="Caption">
    <w:name w:val="caption"/>
    <w:basedOn w:val="Normal"/>
    <w:next w:val="Normal"/>
    <w:uiPriority w:val="35"/>
    <w:unhideWhenUsed/>
    <w:qFormat/>
    <w:rsid w:val="004D1DB5"/>
    <w:pPr>
      <w:keepNext w:val="0"/>
      <w:keepLines/>
      <w:spacing w:after="160" w:line="240" w:lineRule="auto" w:before="80"/>
      <w:jc w:val="center"/>
    </w:pPr>
    <w:rPr>
      <w:rFonts w:ascii="Times New Roman" w:hAnsi="Times New Roman" w:eastAsia="Times New Roman"/>
      <w:i/>
      <w:iCs/>
      <w:color w:val="000000"/>
      <w:sz w:val="24"/>
      <w:szCs w:val="18"/>
    </w:rPr>
  </w:style>
  <w:style w:type="paragraph" w:styleId="NormalWeb">
    <w:name w:val="Normal (Web)"/>
    <w:basedOn w:val="Normal"/>
    <w:uiPriority w:val="99"/>
    <w:unhideWhenUsed/>
    <w:rsid w:val="00050E76"/>
    <w:pPr>
      <w:widowControl/>
      <w:autoSpaceDE/>
      <w:autoSpaceDN/>
      <w:spacing w:before="0" w:beforeAutospacing="1" w:after="200" w:afterAutospacing="1" w:line="276" w:lineRule="auto"/>
      <w:jc w:val="both"/>
    </w:pPr>
    <w:rPr>
      <w:rFonts w:ascii="Times New Roman" w:eastAsia="Times New Roman" w:hAnsi="Times New Roman" w:cs="Times New Roman"/>
      <w:b w:val="0"/>
      <w:i w:val="0"/>
      <w:sz w:val="24"/>
      <w:szCs w:val="24"/>
    </w:rPr>
  </w:style>
  <w:style w:type="character" w:styleId="Strong">
    <w:name w:val="Strong"/>
    <w:basedOn w:val="DefaultParagraphFont"/>
    <w:uiPriority w:val="22"/>
    <w:qFormat/>
    <w:rsid w:val="00050E76"/>
    <w:rPr>
      <w:b/>
      <w:bCs/>
    </w:rPr>
  </w:style>
  <w:style w:type="character" w:customStyle="1" w:styleId="mrel">
    <w:name w:val="mrel"/>
    <w:basedOn w:val="DefaultParagraphFont"/>
    <w:rsid w:val="00050E76"/>
  </w:style>
  <w:style w:type="character" w:customStyle="1" w:styleId="mopen">
    <w:name w:val="mopen"/>
    <w:basedOn w:val="DefaultParagraphFont"/>
    <w:rsid w:val="00050E76"/>
  </w:style>
  <w:style w:type="character" w:customStyle="1" w:styleId="mclose">
    <w:name w:val="mclose"/>
    <w:basedOn w:val="DefaultParagraphFont"/>
    <w:rsid w:val="00050E76"/>
  </w:style>
  <w:style w:type="character" w:customStyle="1" w:styleId="mbin">
    <w:name w:val="mbin"/>
    <w:basedOn w:val="DefaultParagraphFont"/>
    <w:rsid w:val="007A1134"/>
  </w:style>
  <w:style w:type="paragraph" w:customStyle="1" w:styleId="PargrafodaLista">
    <w:name w:val="Parágrafo da Lista"/>
    <w:basedOn w:val="Normal"/>
    <w:uiPriority w:val="34"/>
    <w:qFormat/>
    <w:rsid w:val="00534FA3"/>
    <w:pPr>
      <w:widowControl/>
      <w:autoSpaceDE/>
      <w:autoSpaceDN/>
      <w:spacing w:after="200" w:line="276" w:lineRule="auto"/>
      <w:ind w:left="720"/>
      <w:contextualSpacing/>
    </w:pPr>
    <w:rPr>
      <w:rFonts w:eastAsia="Times New Roman" w:cs="Times New Roman"/>
      <w:lang w:val="pt-BR" w:eastAsia="pt-BR"/>
    </w:rPr>
  </w:style>
  <w:style w:type="paragraph" w:styleId="FootnoteText">
    <w:name w:val="footnote text"/>
    <w:basedOn w:val="Normal"/>
    <w:link w:val="FootnoteTextChar1"/>
    <w:uiPriority w:val="99"/>
    <w:semiHidden/>
    <w:unhideWhenUsed/>
    <w:rsid w:val="000D08FF"/>
    <w:pPr>
      <w:widowControl/>
      <w:autoSpaceDE/>
      <w:autoSpaceDN/>
      <w:spacing w:after="0" w:line="240" w:lineRule="auto"/>
    </w:pPr>
    <w:rPr>
      <w:rFonts w:eastAsia="Times New Roman" w:cs="Times New Roman"/>
      <w:sz w:val="20"/>
      <w:szCs w:val="20"/>
      <w:lang w:val="pt-BR" w:eastAsia="pt-BR"/>
    </w:rPr>
  </w:style>
  <w:style w:type="character" w:customStyle="1" w:styleId="FootnoteTextChar">
    <w:name w:val="Footnote Text Char"/>
    <w:basedOn w:val="DefaultParagraphFont"/>
    <w:uiPriority w:val="99"/>
    <w:semiHidden/>
    <w:rsid w:val="000D08FF"/>
    <w:rPr>
      <w:rFonts w:ascii="Calibri" w:eastAsia="Calibri" w:hAnsi="Calibri" w:cs="Calibri"/>
      <w:sz w:val="20"/>
      <w:szCs w:val="20"/>
    </w:rPr>
  </w:style>
  <w:style w:type="character" w:customStyle="1" w:styleId="FootnoteTextChar1">
    <w:name w:val="Footnote Text Char1"/>
    <w:link w:val="FootnoteText"/>
    <w:uiPriority w:val="99"/>
    <w:semiHidden/>
    <w:rsid w:val="000D08FF"/>
    <w:rPr>
      <w:rFonts w:ascii="Calibri" w:eastAsia="Times New Roman" w:hAnsi="Calibri" w:cs="Times New Roman"/>
      <w:sz w:val="20"/>
      <w:szCs w:val="20"/>
      <w:lang w:val="pt-BR" w:eastAsia="pt-BR"/>
    </w:rPr>
  </w:style>
  <w:style w:type="character" w:styleId="FootnoteReference">
    <w:name w:val="footnote reference"/>
    <w:uiPriority w:val="99"/>
    <w:semiHidden/>
    <w:unhideWhenUsed/>
    <w:rsid w:val="000D08FF"/>
    <w:rPr>
      <w:vertAlign w:val="superscript"/>
    </w:rPr>
  </w:style>
  <w:style w:type="character" w:styleId="FollowedHyperlink">
    <w:name w:val="FollowedHyperlink"/>
    <w:basedOn w:val="DefaultParagraphFont"/>
    <w:uiPriority w:val="99"/>
    <w:semiHidden/>
    <w:unhideWhenUsed/>
    <w:rsid w:val="000A5F9E"/>
    <w:rPr>
      <w:color w:val="800080" w:themeColor="followedHyperlink"/>
      <w:u w:val="single"/>
    </w:rPr>
  </w:style>
  <w:style w:type="paragraph" w:styleId="BalloonText">
    <w:name w:val="Balloon Text"/>
    <w:basedOn w:val="Normal"/>
    <w:link w:val="BalloonTextChar"/>
    <w:uiPriority w:val="99"/>
    <w:semiHidden/>
    <w:unhideWhenUsed/>
    <w:rsid w:val="0040600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005"/>
    <w:rPr>
      <w:rFonts w:ascii="Tahoma" w:eastAsia="Calibri" w:hAnsi="Tahoma" w:cs="Tahoma"/>
      <w:sz w:val="16"/>
      <w:szCs w:val="16"/>
    </w:rPr>
  </w:style>
  <w:style w:type="paragraph" w:styleId="Revision">
    <w:name w:val="Revision"/>
    <w:hidden/>
    <w:uiPriority w:val="99"/>
    <w:semiHidden/>
    <w:rsid w:val="001F0DE1"/>
    <w:pPr>
      <w:widowControl/>
      <w:autoSpaceDE/>
      <w:autoSpaceDN/>
      <w:spacing w:after="0" w:line="240" w:lineRule="auto"/>
    </w:pPr>
    <w:rPr>
      <w:rFonts w:ascii="Calibri" w:eastAsia="Calibri" w:hAnsi="Calibri" w:cs="Calibri"/>
    </w:rPr>
  </w:style>
  <w:style w:type="table" w:customStyle="1" w:styleId="TableGrid">
    <w:name w:val="TableGrid"/>
    <w:rsid w:val="00B706BA"/>
    <w:pPr>
      <w:widowControl/>
      <w:autoSpaceDE/>
      <w:autoSpaceDN/>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styleId="NoSpacing">
    <w:name w:val="No Spacing"/>
    <w:uiPriority w:val="1"/>
    <w:qFormat/>
    <w:rsid w:val="00B706BA"/>
    <w:pPr>
      <w:widowControl/>
      <w:autoSpaceDE/>
      <w:autoSpaceDN/>
      <w:spacing w:after="0" w:line="240" w:lineRule="auto"/>
      <w:ind w:left="10" w:right="48" w:hanging="10"/>
    </w:pPr>
    <w:rPr>
      <w:rFonts w:ascii="Times New Roman" w:eastAsia="Times New Roman" w:hAnsi="Times New Roman" w:cs="Times New Roman"/>
      <w:color w:val="000000"/>
      <w:kern w:val="2"/>
      <w:sz w:val="24"/>
      <w14:ligatures w14:val="standardContextual"/>
    </w:rPr>
  </w:style>
  <w:style w:type="character" w:customStyle="1" w:styleId="vlist-s">
    <w:name w:val="vlist-s"/>
    <w:basedOn w:val="DefaultParagraphFont"/>
    <w:rsid w:val="00B7498E"/>
  </w:style>
  <w:style w:type="character" w:customStyle="1" w:styleId="delimsizing">
    <w:name w:val="delimsizing"/>
    <w:basedOn w:val="DefaultParagraphFont"/>
    <w:rsid w:val="00B7498E"/>
  </w:style>
  <w:style w:type="table" w:styleId="TableGrid0">
    <w:name w:val="Table Grid"/>
    <w:basedOn w:val="TableNormal"/>
    <w:uiPriority w:val="39"/>
    <w:rsid w:val="006058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41CC2"/>
    <w:rPr>
      <w:color w:val="605E5C"/>
      <w:shd w:val="clear" w:color="auto" w:fill="E1DFDD"/>
    </w:rPr>
  </w:style>
  <w:style w:type="paragraph" w:styleId="TableofFigures">
    <w:name w:val="table of figures"/>
    <w:basedOn w:val="Normal"/>
    <w:next w:val="Normal"/>
    <w:uiPriority w:val="99"/>
    <w:unhideWhenUsed/>
    <w:rsid w:val="00A05491"/>
    <w:pPr>
      <w:spacing w:after="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757">
      <w:bodyDiv w:val="1"/>
      <w:marLeft w:val="0"/>
      <w:marRight w:val="0"/>
      <w:marTop w:val="0"/>
      <w:marBottom w:val="0"/>
      <w:divBdr>
        <w:top w:val="none" w:sz="0" w:space="0" w:color="auto"/>
        <w:left w:val="none" w:sz="0" w:space="0" w:color="auto"/>
        <w:bottom w:val="none" w:sz="0" w:space="0" w:color="auto"/>
        <w:right w:val="none" w:sz="0" w:space="0" w:color="auto"/>
      </w:divBdr>
    </w:div>
    <w:div w:id="495809507">
      <w:bodyDiv w:val="1"/>
      <w:marLeft w:val="0"/>
      <w:marRight w:val="0"/>
      <w:marTop w:val="0"/>
      <w:marBottom w:val="0"/>
      <w:divBdr>
        <w:top w:val="none" w:sz="0" w:space="0" w:color="auto"/>
        <w:left w:val="none" w:sz="0" w:space="0" w:color="auto"/>
        <w:bottom w:val="none" w:sz="0" w:space="0" w:color="auto"/>
        <w:right w:val="none" w:sz="0" w:space="0" w:color="auto"/>
      </w:divBdr>
    </w:div>
    <w:div w:id="552160766">
      <w:bodyDiv w:val="1"/>
      <w:marLeft w:val="0"/>
      <w:marRight w:val="0"/>
      <w:marTop w:val="0"/>
      <w:marBottom w:val="0"/>
      <w:divBdr>
        <w:top w:val="none" w:sz="0" w:space="0" w:color="auto"/>
        <w:left w:val="none" w:sz="0" w:space="0" w:color="auto"/>
        <w:bottom w:val="none" w:sz="0" w:space="0" w:color="auto"/>
        <w:right w:val="none" w:sz="0" w:space="0" w:color="auto"/>
      </w:divBdr>
    </w:div>
    <w:div w:id="641467063">
      <w:bodyDiv w:val="1"/>
      <w:marLeft w:val="0"/>
      <w:marRight w:val="0"/>
      <w:marTop w:val="0"/>
      <w:marBottom w:val="0"/>
      <w:divBdr>
        <w:top w:val="none" w:sz="0" w:space="0" w:color="auto"/>
        <w:left w:val="none" w:sz="0" w:space="0" w:color="auto"/>
        <w:bottom w:val="none" w:sz="0" w:space="0" w:color="auto"/>
        <w:right w:val="none" w:sz="0" w:space="0" w:color="auto"/>
      </w:divBdr>
    </w:div>
    <w:div w:id="643317880">
      <w:bodyDiv w:val="1"/>
      <w:marLeft w:val="0"/>
      <w:marRight w:val="0"/>
      <w:marTop w:val="0"/>
      <w:marBottom w:val="0"/>
      <w:divBdr>
        <w:top w:val="none" w:sz="0" w:space="0" w:color="auto"/>
        <w:left w:val="none" w:sz="0" w:space="0" w:color="auto"/>
        <w:bottom w:val="none" w:sz="0" w:space="0" w:color="auto"/>
        <w:right w:val="none" w:sz="0" w:space="0" w:color="auto"/>
      </w:divBdr>
    </w:div>
    <w:div w:id="662242559">
      <w:bodyDiv w:val="1"/>
      <w:marLeft w:val="0"/>
      <w:marRight w:val="0"/>
      <w:marTop w:val="0"/>
      <w:marBottom w:val="0"/>
      <w:divBdr>
        <w:top w:val="none" w:sz="0" w:space="0" w:color="auto"/>
        <w:left w:val="none" w:sz="0" w:space="0" w:color="auto"/>
        <w:bottom w:val="none" w:sz="0" w:space="0" w:color="auto"/>
        <w:right w:val="none" w:sz="0" w:space="0" w:color="auto"/>
      </w:divBdr>
    </w:div>
    <w:div w:id="672876079">
      <w:bodyDiv w:val="1"/>
      <w:marLeft w:val="0"/>
      <w:marRight w:val="0"/>
      <w:marTop w:val="0"/>
      <w:marBottom w:val="0"/>
      <w:divBdr>
        <w:top w:val="none" w:sz="0" w:space="0" w:color="auto"/>
        <w:left w:val="none" w:sz="0" w:space="0" w:color="auto"/>
        <w:bottom w:val="none" w:sz="0" w:space="0" w:color="auto"/>
        <w:right w:val="none" w:sz="0" w:space="0" w:color="auto"/>
      </w:divBdr>
    </w:div>
    <w:div w:id="736366683">
      <w:bodyDiv w:val="1"/>
      <w:marLeft w:val="0"/>
      <w:marRight w:val="0"/>
      <w:marTop w:val="0"/>
      <w:marBottom w:val="0"/>
      <w:divBdr>
        <w:top w:val="none" w:sz="0" w:space="0" w:color="auto"/>
        <w:left w:val="none" w:sz="0" w:space="0" w:color="auto"/>
        <w:bottom w:val="none" w:sz="0" w:space="0" w:color="auto"/>
        <w:right w:val="none" w:sz="0" w:space="0" w:color="auto"/>
      </w:divBdr>
    </w:div>
    <w:div w:id="789054505">
      <w:bodyDiv w:val="1"/>
      <w:marLeft w:val="0"/>
      <w:marRight w:val="0"/>
      <w:marTop w:val="0"/>
      <w:marBottom w:val="0"/>
      <w:divBdr>
        <w:top w:val="none" w:sz="0" w:space="0" w:color="auto"/>
        <w:left w:val="none" w:sz="0" w:space="0" w:color="auto"/>
        <w:bottom w:val="none" w:sz="0" w:space="0" w:color="auto"/>
        <w:right w:val="none" w:sz="0" w:space="0" w:color="auto"/>
      </w:divBdr>
    </w:div>
    <w:div w:id="864711924">
      <w:bodyDiv w:val="1"/>
      <w:marLeft w:val="0"/>
      <w:marRight w:val="0"/>
      <w:marTop w:val="0"/>
      <w:marBottom w:val="0"/>
      <w:divBdr>
        <w:top w:val="none" w:sz="0" w:space="0" w:color="auto"/>
        <w:left w:val="none" w:sz="0" w:space="0" w:color="auto"/>
        <w:bottom w:val="none" w:sz="0" w:space="0" w:color="auto"/>
        <w:right w:val="none" w:sz="0" w:space="0" w:color="auto"/>
      </w:divBdr>
    </w:div>
    <w:div w:id="1032615571">
      <w:bodyDiv w:val="1"/>
      <w:marLeft w:val="0"/>
      <w:marRight w:val="0"/>
      <w:marTop w:val="0"/>
      <w:marBottom w:val="0"/>
      <w:divBdr>
        <w:top w:val="none" w:sz="0" w:space="0" w:color="auto"/>
        <w:left w:val="none" w:sz="0" w:space="0" w:color="auto"/>
        <w:bottom w:val="none" w:sz="0" w:space="0" w:color="auto"/>
        <w:right w:val="none" w:sz="0" w:space="0" w:color="auto"/>
      </w:divBdr>
    </w:div>
    <w:div w:id="1042093083">
      <w:bodyDiv w:val="1"/>
      <w:marLeft w:val="0"/>
      <w:marRight w:val="0"/>
      <w:marTop w:val="0"/>
      <w:marBottom w:val="0"/>
      <w:divBdr>
        <w:top w:val="none" w:sz="0" w:space="0" w:color="auto"/>
        <w:left w:val="none" w:sz="0" w:space="0" w:color="auto"/>
        <w:bottom w:val="none" w:sz="0" w:space="0" w:color="auto"/>
        <w:right w:val="none" w:sz="0" w:space="0" w:color="auto"/>
      </w:divBdr>
    </w:div>
    <w:div w:id="1101991902">
      <w:bodyDiv w:val="1"/>
      <w:marLeft w:val="0"/>
      <w:marRight w:val="0"/>
      <w:marTop w:val="0"/>
      <w:marBottom w:val="0"/>
      <w:divBdr>
        <w:top w:val="none" w:sz="0" w:space="0" w:color="auto"/>
        <w:left w:val="none" w:sz="0" w:space="0" w:color="auto"/>
        <w:bottom w:val="none" w:sz="0" w:space="0" w:color="auto"/>
        <w:right w:val="none" w:sz="0" w:space="0" w:color="auto"/>
      </w:divBdr>
    </w:div>
    <w:div w:id="1102652971">
      <w:bodyDiv w:val="1"/>
      <w:marLeft w:val="0"/>
      <w:marRight w:val="0"/>
      <w:marTop w:val="0"/>
      <w:marBottom w:val="0"/>
      <w:divBdr>
        <w:top w:val="none" w:sz="0" w:space="0" w:color="auto"/>
        <w:left w:val="none" w:sz="0" w:space="0" w:color="auto"/>
        <w:bottom w:val="none" w:sz="0" w:space="0" w:color="auto"/>
        <w:right w:val="none" w:sz="0" w:space="0" w:color="auto"/>
      </w:divBdr>
    </w:div>
    <w:div w:id="1129280411">
      <w:bodyDiv w:val="1"/>
      <w:marLeft w:val="0"/>
      <w:marRight w:val="0"/>
      <w:marTop w:val="0"/>
      <w:marBottom w:val="0"/>
      <w:divBdr>
        <w:top w:val="none" w:sz="0" w:space="0" w:color="auto"/>
        <w:left w:val="none" w:sz="0" w:space="0" w:color="auto"/>
        <w:bottom w:val="none" w:sz="0" w:space="0" w:color="auto"/>
        <w:right w:val="none" w:sz="0" w:space="0" w:color="auto"/>
      </w:divBdr>
      <w:divsChild>
        <w:div w:id="1342465453">
          <w:marLeft w:val="0"/>
          <w:marRight w:val="0"/>
          <w:marTop w:val="0"/>
          <w:marBottom w:val="0"/>
          <w:divBdr>
            <w:top w:val="none" w:sz="0" w:space="0" w:color="auto"/>
            <w:left w:val="none" w:sz="0" w:space="0" w:color="auto"/>
            <w:bottom w:val="none" w:sz="0" w:space="0" w:color="auto"/>
            <w:right w:val="none" w:sz="0" w:space="0" w:color="auto"/>
          </w:divBdr>
          <w:divsChild>
            <w:div w:id="194426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30593">
      <w:bodyDiv w:val="1"/>
      <w:marLeft w:val="0"/>
      <w:marRight w:val="0"/>
      <w:marTop w:val="0"/>
      <w:marBottom w:val="0"/>
      <w:divBdr>
        <w:top w:val="none" w:sz="0" w:space="0" w:color="auto"/>
        <w:left w:val="none" w:sz="0" w:space="0" w:color="auto"/>
        <w:bottom w:val="none" w:sz="0" w:space="0" w:color="auto"/>
        <w:right w:val="none" w:sz="0" w:space="0" w:color="auto"/>
      </w:divBdr>
    </w:div>
    <w:div w:id="1247691616">
      <w:bodyDiv w:val="1"/>
      <w:marLeft w:val="0"/>
      <w:marRight w:val="0"/>
      <w:marTop w:val="0"/>
      <w:marBottom w:val="0"/>
      <w:divBdr>
        <w:top w:val="none" w:sz="0" w:space="0" w:color="auto"/>
        <w:left w:val="none" w:sz="0" w:space="0" w:color="auto"/>
        <w:bottom w:val="none" w:sz="0" w:space="0" w:color="auto"/>
        <w:right w:val="none" w:sz="0" w:space="0" w:color="auto"/>
      </w:divBdr>
    </w:div>
    <w:div w:id="1263221234">
      <w:bodyDiv w:val="1"/>
      <w:marLeft w:val="0"/>
      <w:marRight w:val="0"/>
      <w:marTop w:val="0"/>
      <w:marBottom w:val="0"/>
      <w:divBdr>
        <w:top w:val="none" w:sz="0" w:space="0" w:color="auto"/>
        <w:left w:val="none" w:sz="0" w:space="0" w:color="auto"/>
        <w:bottom w:val="none" w:sz="0" w:space="0" w:color="auto"/>
        <w:right w:val="none" w:sz="0" w:space="0" w:color="auto"/>
      </w:divBdr>
    </w:div>
    <w:div w:id="1383558946">
      <w:bodyDiv w:val="1"/>
      <w:marLeft w:val="0"/>
      <w:marRight w:val="0"/>
      <w:marTop w:val="0"/>
      <w:marBottom w:val="0"/>
      <w:divBdr>
        <w:top w:val="none" w:sz="0" w:space="0" w:color="auto"/>
        <w:left w:val="none" w:sz="0" w:space="0" w:color="auto"/>
        <w:bottom w:val="none" w:sz="0" w:space="0" w:color="auto"/>
        <w:right w:val="none" w:sz="0" w:space="0" w:color="auto"/>
      </w:divBdr>
      <w:divsChild>
        <w:div w:id="1882672049">
          <w:marLeft w:val="0"/>
          <w:marRight w:val="0"/>
          <w:marTop w:val="0"/>
          <w:marBottom w:val="0"/>
          <w:divBdr>
            <w:top w:val="none" w:sz="0" w:space="0" w:color="auto"/>
            <w:left w:val="none" w:sz="0" w:space="0" w:color="auto"/>
            <w:bottom w:val="none" w:sz="0" w:space="0" w:color="auto"/>
            <w:right w:val="none" w:sz="0" w:space="0" w:color="auto"/>
          </w:divBdr>
          <w:divsChild>
            <w:div w:id="110102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17555">
      <w:bodyDiv w:val="1"/>
      <w:marLeft w:val="0"/>
      <w:marRight w:val="0"/>
      <w:marTop w:val="0"/>
      <w:marBottom w:val="0"/>
      <w:divBdr>
        <w:top w:val="none" w:sz="0" w:space="0" w:color="auto"/>
        <w:left w:val="none" w:sz="0" w:space="0" w:color="auto"/>
        <w:bottom w:val="none" w:sz="0" w:space="0" w:color="auto"/>
        <w:right w:val="none" w:sz="0" w:space="0" w:color="auto"/>
      </w:divBdr>
    </w:div>
    <w:div w:id="1439521057">
      <w:bodyDiv w:val="1"/>
      <w:marLeft w:val="0"/>
      <w:marRight w:val="0"/>
      <w:marTop w:val="0"/>
      <w:marBottom w:val="0"/>
      <w:divBdr>
        <w:top w:val="none" w:sz="0" w:space="0" w:color="auto"/>
        <w:left w:val="none" w:sz="0" w:space="0" w:color="auto"/>
        <w:bottom w:val="none" w:sz="0" w:space="0" w:color="auto"/>
        <w:right w:val="none" w:sz="0" w:space="0" w:color="auto"/>
      </w:divBdr>
    </w:div>
    <w:div w:id="1445807651">
      <w:bodyDiv w:val="1"/>
      <w:marLeft w:val="0"/>
      <w:marRight w:val="0"/>
      <w:marTop w:val="0"/>
      <w:marBottom w:val="0"/>
      <w:divBdr>
        <w:top w:val="none" w:sz="0" w:space="0" w:color="auto"/>
        <w:left w:val="none" w:sz="0" w:space="0" w:color="auto"/>
        <w:bottom w:val="none" w:sz="0" w:space="0" w:color="auto"/>
        <w:right w:val="none" w:sz="0" w:space="0" w:color="auto"/>
      </w:divBdr>
    </w:div>
    <w:div w:id="1539388192">
      <w:bodyDiv w:val="1"/>
      <w:marLeft w:val="0"/>
      <w:marRight w:val="0"/>
      <w:marTop w:val="0"/>
      <w:marBottom w:val="0"/>
      <w:divBdr>
        <w:top w:val="none" w:sz="0" w:space="0" w:color="auto"/>
        <w:left w:val="none" w:sz="0" w:space="0" w:color="auto"/>
        <w:bottom w:val="none" w:sz="0" w:space="0" w:color="auto"/>
        <w:right w:val="none" w:sz="0" w:space="0" w:color="auto"/>
      </w:divBdr>
    </w:div>
    <w:div w:id="1562129914">
      <w:bodyDiv w:val="1"/>
      <w:marLeft w:val="0"/>
      <w:marRight w:val="0"/>
      <w:marTop w:val="0"/>
      <w:marBottom w:val="0"/>
      <w:divBdr>
        <w:top w:val="none" w:sz="0" w:space="0" w:color="auto"/>
        <w:left w:val="none" w:sz="0" w:space="0" w:color="auto"/>
        <w:bottom w:val="none" w:sz="0" w:space="0" w:color="auto"/>
        <w:right w:val="none" w:sz="0" w:space="0" w:color="auto"/>
      </w:divBdr>
    </w:div>
    <w:div w:id="1600405847">
      <w:bodyDiv w:val="1"/>
      <w:marLeft w:val="0"/>
      <w:marRight w:val="0"/>
      <w:marTop w:val="0"/>
      <w:marBottom w:val="0"/>
      <w:divBdr>
        <w:top w:val="none" w:sz="0" w:space="0" w:color="auto"/>
        <w:left w:val="none" w:sz="0" w:space="0" w:color="auto"/>
        <w:bottom w:val="none" w:sz="0" w:space="0" w:color="auto"/>
        <w:right w:val="none" w:sz="0" w:space="0" w:color="auto"/>
      </w:divBdr>
    </w:div>
    <w:div w:id="1789229727">
      <w:bodyDiv w:val="1"/>
      <w:marLeft w:val="0"/>
      <w:marRight w:val="0"/>
      <w:marTop w:val="0"/>
      <w:marBottom w:val="0"/>
      <w:divBdr>
        <w:top w:val="none" w:sz="0" w:space="0" w:color="auto"/>
        <w:left w:val="none" w:sz="0" w:space="0" w:color="auto"/>
        <w:bottom w:val="none" w:sz="0" w:space="0" w:color="auto"/>
        <w:right w:val="none" w:sz="0" w:space="0" w:color="auto"/>
      </w:divBdr>
    </w:div>
    <w:div w:id="1795514168">
      <w:bodyDiv w:val="1"/>
      <w:marLeft w:val="0"/>
      <w:marRight w:val="0"/>
      <w:marTop w:val="0"/>
      <w:marBottom w:val="0"/>
      <w:divBdr>
        <w:top w:val="none" w:sz="0" w:space="0" w:color="auto"/>
        <w:left w:val="none" w:sz="0" w:space="0" w:color="auto"/>
        <w:bottom w:val="none" w:sz="0" w:space="0" w:color="auto"/>
        <w:right w:val="none" w:sz="0" w:space="0" w:color="auto"/>
      </w:divBdr>
    </w:div>
    <w:div w:id="2102676301">
      <w:bodyDiv w:val="1"/>
      <w:marLeft w:val="0"/>
      <w:marRight w:val="0"/>
      <w:marTop w:val="0"/>
      <w:marBottom w:val="0"/>
      <w:divBdr>
        <w:top w:val="none" w:sz="0" w:space="0" w:color="auto"/>
        <w:left w:val="none" w:sz="0" w:space="0" w:color="auto"/>
        <w:bottom w:val="none" w:sz="0" w:space="0" w:color="auto"/>
        <w:right w:val="none" w:sz="0" w:space="0" w:color="auto"/>
      </w:divBdr>
    </w:div>
    <w:div w:id="2106071707">
      <w:bodyDiv w:val="1"/>
      <w:marLeft w:val="0"/>
      <w:marRight w:val="0"/>
      <w:marTop w:val="0"/>
      <w:marBottom w:val="0"/>
      <w:divBdr>
        <w:top w:val="none" w:sz="0" w:space="0" w:color="auto"/>
        <w:left w:val="none" w:sz="0" w:space="0" w:color="auto"/>
        <w:bottom w:val="none" w:sz="0" w:space="0" w:color="auto"/>
        <w:right w:val="none" w:sz="0" w:space="0" w:color="auto"/>
      </w:divBdr>
    </w:div>
    <w:div w:id="21411429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7" Type="http://schemas.openxmlformats.org/officeDocument/2006/relationships/numbering" Target="numbering.xml"/><Relationship Id="rId66" Type="http://schemas.openxmlformats.org/officeDocument/2006/relationships/styles" Target="styles.xml"/><Relationship Id="rId65" Type="http://schemas.openxmlformats.org/officeDocument/2006/relationships/settings" Target="settings.xml"/><Relationship Id="rId64" Type="http://schemas.openxmlformats.org/officeDocument/2006/relationships/webSettings" Target="webSettings.xml"/><Relationship Id="rId63" Type="http://schemas.openxmlformats.org/officeDocument/2006/relationships/fontTable" Target="fontTable.xml"/><Relationship Id="rId62" Type="http://schemas.openxmlformats.org/officeDocument/2006/relationships/theme" Target="theme/theme1.xml"/><Relationship Id="rId61" Type="http://schemas.openxmlformats.org/officeDocument/2006/relationships/footnotes" Target="footnotes.xml"/><Relationship Id="rId60" Type="http://schemas.openxmlformats.org/officeDocument/2006/relationships/comments" Target="comments.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emf"/><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8" Type="http://schemas.openxmlformats.org/officeDocument/2006/relationships/header" Target="header1.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emf"/><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59" Type="http://schemas.openxmlformats.org/officeDocument/2006/relationships/footer" Target="footer1.xml"/><Relationship Id="rId68" Type="http://schemas.openxmlformats.org/officeDocument/2006/relationships/image" Target="media/rId68.jpg"/><Relationship Id="rId150" Type="http://schemas.openxmlformats.org/officeDocument/2006/relationships/image" Target="media/rId150.png"/><Relationship Id="rId159" Type="http://schemas.openxmlformats.org/officeDocument/2006/relationships/image" Target="media/rId159.png"/><Relationship Id="rId144" Type="http://schemas.openxmlformats.org/officeDocument/2006/relationships/image" Target="media/rId144.png"/><Relationship Id="rId101" Type="http://schemas.openxmlformats.org/officeDocument/2006/relationships/hyperlink" Target="https://arxiv.org/abs/1603.02754" TargetMode="External"/><Relationship Id="rId175" Type="http://schemas.openxmlformats.org/officeDocument/2006/relationships/hyperlink" Target="https://doi.org/10.1023/A:1010933404324" TargetMode="External"/><Relationship Id="rId77" Type="http://schemas.openxmlformats.org/officeDocument/2006/relationships/hyperlink" Target="https://doi.org/10.1111/j.1540-6261.1968.tb00843.x" TargetMode="External"/><Relationship Id="rId176" Type="http://schemas.openxmlformats.org/officeDocument/2006/relationships/hyperlink" Target="https://doi.org/10.1145/2939672.2939785" TargetMode="External"/><Relationship Id="rId104" Type="http://schemas.openxmlformats.org/officeDocument/2006/relationships/hyperlink" Target="https://doi.org/10.1175/1520-0493(1950)078%3C0001:VOFEIT%3E2.0.CO;2" TargetMode="External"/><Relationship Id="rId100" Type="http://schemas.openxmlformats.org/officeDocument/2006/relationships/hyperlink" Target="https://doi.org/10.1214/aos/1013203451" TargetMode="External"/><Relationship Id="rId177" Type="http://schemas.openxmlformats.org/officeDocument/2006/relationships/hyperlink" Target="https://doi.org/10.1371/journal.pone.0118432" TargetMode="External"/><Relationship Id="rId103" Type="http://schemas.openxmlformats.org/officeDocument/2006/relationships/hyperlink" Target="https://journals.plos.org/plosone/article?id=10.1371/journal.pone.0118432" TargetMode="External"/><Relationship Id="rId178" Type="http://schemas.openxmlformats.org/officeDocument/2006/relationships/hyperlink" Target="https://scikit-learn.org/1.6/modules/generated/sklearn.calibration.CalibratedClassifierCV.html" TargetMode="External"/><Relationship Id="rId96" Type="http://schemas.openxmlformats.org/officeDocument/2006/relationships/hyperlink" Target="https://scikit-learn.org/1.6/modules/linear_model.html#logistic-regression" TargetMode="External"/><Relationship Id="rId88" Type="http://schemas.openxmlformats.org/officeDocument/2006/relationships/hyperlink" Target="https://www.bis.org/committees/bcbs/basel-framework/standard/cre/32/inforce/2023-01-01/published/2020-03-27" TargetMode="External"/><Relationship Id="rId89" Type="http://schemas.openxmlformats.org/officeDocument/2006/relationships/hyperlink" Target="https://www.bis.org/committees/bcbs/basel-framework/standard/cre/35/inforce/2023-01-01/published/2020-03-27" TargetMode="External"/><Relationship Id="rId79" Type="http://schemas.openxmlformats.org/officeDocument/2006/relationships/hyperlink" Target="https://www.jstor.org/stable/10.1086/209665" TargetMode="External"/><Relationship Id="rId78" Type="http://schemas.openxmlformats.org/officeDocument/2006/relationships/hyperlink" Target="https://www.jstor.org/stable/2490395" TargetMode="External"/><Relationship Id="rId115" Type="http://schemas.openxmlformats.org/officeDocument/2006/relationships/hyperlink" Target="https://www.sec.gov/dera/data/fsnds.pdf" TargetMode="External"/><Relationship Id="rId81" Type="http://schemas.openxmlformats.org/officeDocument/2006/relationships/hyperlink" Target="https://www.sec.gov/files/form8-k.pdf" TargetMode="External"/><Relationship Id="rId114" Type="http://schemas.openxmlformats.org/officeDocument/2006/relationships/hyperlink" Target="https://www.sec.gov/search-filings/edgar-application-programming-interfaces" TargetMode="External"/><Relationship Id="rId110" Type="http://schemas.openxmlformats.org/officeDocument/2006/relationships/hyperlink" Target="https://www.sec.gov/search-filings/standard-industrial-classification-sic-code-list" TargetMode="External"/><Relationship Id="rId98" Type="http://schemas.openxmlformats.org/officeDocument/2006/relationships/hyperlink" Target="https://www.stat.berkeley.edu/~breiman/randomforest2001.pdf" TargetMode="External"/><Relationship Id="rId1" Type="http://schemas.openxmlformats.org/officeDocument/2006/relationships/header" Target="header2.xml"/><Relationship Id="rId2" Type="http://schemas.openxmlformats.org/officeDocument/2006/relationships/footer" Target="footer2.xml"/></Relationships>
</file>

<file path=word/_rels/footnotes.xml.rels><?xml version='1.0' encoding='UTF-8' standalone='yes'?>
<Relationships xmlns="http://schemas.openxmlformats.org/package/2006/relationships"><Relationship Id="rId101" Type="http://schemas.openxmlformats.org/officeDocument/2006/relationships/hyperlink" Target="https://arxiv.org/abs/1603.02754" TargetMode="External"/><Relationship Id="rId175" Type="http://schemas.openxmlformats.org/officeDocument/2006/relationships/hyperlink" Target="https://doi.org/10.1023/A:1010933404324" TargetMode="External"/><Relationship Id="rId77" Type="http://schemas.openxmlformats.org/officeDocument/2006/relationships/hyperlink" Target="https://doi.org/10.1111/j.1540-6261.1968.tb00843.x" TargetMode="External"/><Relationship Id="rId176" Type="http://schemas.openxmlformats.org/officeDocument/2006/relationships/hyperlink" Target="https://doi.org/10.1145/2939672.2939785" TargetMode="External"/><Relationship Id="rId104" Type="http://schemas.openxmlformats.org/officeDocument/2006/relationships/hyperlink" Target="https://doi.org/10.1175/1520-0493(1950)078%3C0001:VOFEIT%3E2.0.CO;2" TargetMode="External"/><Relationship Id="rId100" Type="http://schemas.openxmlformats.org/officeDocument/2006/relationships/hyperlink" Target="https://doi.org/10.1214/aos/1013203451" TargetMode="External"/><Relationship Id="rId177" Type="http://schemas.openxmlformats.org/officeDocument/2006/relationships/hyperlink" Target="https://doi.org/10.1371/journal.pone.0118432" TargetMode="External"/><Relationship Id="rId103" Type="http://schemas.openxmlformats.org/officeDocument/2006/relationships/hyperlink" Target="https://journals.plos.org/plosone/article?id=10.1371/journal.pone.0118432" TargetMode="External"/><Relationship Id="rId178" Type="http://schemas.openxmlformats.org/officeDocument/2006/relationships/hyperlink" Target="https://scikit-learn.org/1.6/modules/generated/sklearn.calibration.CalibratedClassifierCV.html" TargetMode="External"/><Relationship Id="rId96" Type="http://schemas.openxmlformats.org/officeDocument/2006/relationships/hyperlink" Target="https://scikit-learn.org/1.6/modules/linear_model.html#logistic-regression" TargetMode="External"/><Relationship Id="rId88" Type="http://schemas.openxmlformats.org/officeDocument/2006/relationships/hyperlink" Target="https://www.bis.org/committees/bcbs/basel-framework/standard/cre/32/inforce/2023-01-01/published/2020-03-27" TargetMode="External"/><Relationship Id="rId89" Type="http://schemas.openxmlformats.org/officeDocument/2006/relationships/hyperlink" Target="https://www.bis.org/committees/bcbs/basel-framework/standard/cre/35/inforce/2023-01-01/published/2020-03-27" TargetMode="External"/><Relationship Id="rId79" Type="http://schemas.openxmlformats.org/officeDocument/2006/relationships/hyperlink" Target="https://www.jstor.org/stable/10.1086/209665" TargetMode="External"/><Relationship Id="rId78" Type="http://schemas.openxmlformats.org/officeDocument/2006/relationships/hyperlink" Target="https://www.jstor.org/stable/2490395" TargetMode="External"/><Relationship Id="rId115" Type="http://schemas.openxmlformats.org/officeDocument/2006/relationships/hyperlink" Target="https://www.sec.gov/dera/data/fsnds.pdf" TargetMode="External"/><Relationship Id="rId81" Type="http://schemas.openxmlformats.org/officeDocument/2006/relationships/hyperlink" Target="https://www.sec.gov/files/form8-k.pdf" TargetMode="External"/><Relationship Id="rId114" Type="http://schemas.openxmlformats.org/officeDocument/2006/relationships/hyperlink" Target="https://www.sec.gov/search-filings/edgar-application-programming-interfaces" TargetMode="External"/><Relationship Id="rId110" Type="http://schemas.openxmlformats.org/officeDocument/2006/relationships/hyperlink" Target="https://www.sec.gov/search-filings/standard-industrial-classification-sic-code-list" TargetMode="External"/><Relationship Id="rId98" Type="http://schemas.openxmlformats.org/officeDocument/2006/relationships/hyperlink" Target="https://www.stat.berkeley.edu/~breiman/randomforest20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3401</TotalTime>
  <Pages>51</Pages>
  <Words>17696</Words>
  <Characters>100868</Characters>
  <Application>Microsoft Office Word</Application>
  <DocSecurity>0</DocSecurity>
  <Lines>840</Lines>
  <Paragraphs>236</Paragraphs>
  <ScaleCrop>false</ScaleCrop>
  <HeadingPairs>
    <vt:vector size="2" baseType="variant">
      <vt:variant>
        <vt:lpstr>Title</vt:lpstr>
      </vt:variant>
      <vt:variant>
        <vt:i4>1</vt:i4>
      </vt:variant>
    </vt:vector>
  </HeadingPairs>
  <TitlesOfParts>
    <vt:vector size="1" baseType="lpstr">
      <vt:lpstr>(Microsoft Word - Prva strana master rada latini\350na i \346irili\350na verzija.docx)</vt:lpstr>
    </vt:vector>
  </TitlesOfParts>
  <Company/>
  <LinksUpToDate>false</LinksUpToDate>
  <CharactersWithSpaces>118328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Determination of Short-Term Corporate Credit Limits Using Machine Learning</dc:title>
  <dc:creator>Đorđe Veličković</dc:creator>
  <cp:keywords>corporate credit risk, credit limits, machine learning, SEC disclosures</cp:keywords>
  <dcterms:created xsi:type="dcterms:W3CDTF">2026-10-20T22:15:59Z</dcterms:created>
  <dcterms:modified xsi:type="dcterms:W3CDTF">2026-10-20T22:15:59Z</dcterms:modified>
  <dc:subject>Master's thesis in Computational Finance</dc:subject>
  <dc:description>Formatted from the RAF reference thesis.</dc:description>
</cp:coreProperties>
</file>

<file path=docProps/custom.xml><?xml version="1.0" encoding="utf-8"?>
<Properties xmlns="http://schemas.openxmlformats.org/officeDocument/2006/custom-properties" xmlns:vt="http://schemas.openxmlformats.org/officeDocument/2006/docPropsVTypes"/>
</file>