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50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366"/>
        <w:gridCol w:w="7137"/>
        <w:tblGridChange w:id="0">
          <w:tblGrid>
            <w:gridCol w:w="1366"/>
            <w:gridCol w:w="7137"/>
          </w:tblGrid>
        </w:tblGridChange>
      </w:tblGrid>
      <w:tr>
        <w:trPr>
          <w:cantSplit w:val="0"/>
          <w:trHeight w:val="340" w:hRule="atLeast"/>
          <w:tblHeader w:val="0"/>
        </w:trPr>
        <w:tc>
          <w:tcPr/>
          <w:p w:rsidR="00000000" w:rsidDel="00000000" w:rsidP="00000000" w:rsidRDefault="00000000" w:rsidRPr="00000000" w14:paraId="00000002">
            <w:pPr>
              <w:spacing w:after="200" w:before="0" w:line="276" w:lineRule="auto"/>
              <w:jc w:val="both"/>
              <w:rPr>
                <w:rFonts w:ascii="Cambria" w:cs="Cambria" w:eastAsia="Cambria" w:hAnsi="Cambria"/>
                <w:i w:val="1"/>
                <w:iCs w:val="1"/>
              </w:rPr>
            </w:pPr>
            <w:r w:rsidDel="00000000" w:rsidR="00000000" w:rsidRPr="00000000">
              <w:rPr>
                <w:rtl w:val="0"/>
              </w:rPr>
            </w:r>
          </w:p>
        </w:tc>
        <w:tc>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bCs w:val="0"/>
                <w:i w:val="1"/>
                <w:iCs w:val="1"/>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bCs w:val="0"/>
                <w:i w:val="1"/>
                <w:iCs w:val="1"/>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bCs w:val="0"/>
                <w:i w:val="1"/>
                <w:iCs w:val="1"/>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0A">
      <w:pPr>
        <w:jc w:val="both"/>
        <w:rPr>
          <w:rFonts w:ascii="Cambria" w:cs="Cambria" w:eastAsia="Cambria" w:hAnsi="Cambria"/>
        </w:rPr>
      </w:pPr>
      <w:bookmarkStart w:colFirst="0" w:colLast="0" w:name="_heading=h.locta0mm7oe7" w:id="0"/>
      <w:bookmarkEnd w:id="0"/>
      <w:r w:rsidDel="00000000" w:rsidR="00000000" w:rsidRPr="00000000">
        <w:rPr>
          <w:rtl w:val="0"/>
        </w:rPr>
      </w:r>
    </w:p>
    <w:p w:rsidR="00000000" w:rsidDel="00000000" w:rsidP="00000000" w:rsidRDefault="00000000" w:rsidRPr="00000000" w14:paraId="0000000B">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0C">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0D">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color="4f81bd" w:space="10" w:sz="4" w:val="single"/>
          <w:left w:space="0" w:sz="0" w:val="nil"/>
          <w:bottom w:color="4f81bd" w:space="10" w:sz="4" w:val="single"/>
          <w:right w:space="0" w:sz="0" w:val="nil"/>
          <w:between w:space="0" w:sz="0" w:val="nil"/>
        </w:pBdr>
        <w:shd w:fill="auto" w:val="clear"/>
        <w:spacing w:after="360" w:before="360" w:line="360" w:lineRule="auto"/>
        <w:ind w:left="864" w:right="864" w:firstLine="0"/>
        <w:jc w:val="center"/>
        <w:rPr>
          <w:rFonts w:ascii="Cambria" w:cs="Cambria" w:eastAsia="Cambria" w:hAnsi="Cambria"/>
          <w:b w:val="1"/>
          <w:bCs w:val="1"/>
          <w:i w:val="0"/>
          <w:iCs w:val="0"/>
          <w:smallCaps w:val="1"/>
          <w:strike w:val="0"/>
          <w:color w:val="000000"/>
          <w:sz w:val="72"/>
          <w:szCs w:val="72"/>
          <w:u w:val="none"/>
          <w:shd w:fill="auto" w:val="clear"/>
          <w:vertAlign w:val="baseline"/>
        </w:rPr>
      </w:pPr>
      <w:r w:rsidDel="00000000" w:rsidR="00000000" w:rsidRPr="00000000">
        <w:rPr>
          <w:rFonts w:ascii="Cambria" w:cs="Cambria" w:eastAsia="Cambria" w:hAnsi="Cambria"/>
          <w:b w:val="1"/>
          <w:bCs w:val="1"/>
          <w:i w:val="0"/>
          <w:iCs w:val="0"/>
          <w:smallCaps w:val="1"/>
          <w:strike w:val="0"/>
          <w:color w:val="000000"/>
          <w:sz w:val="72"/>
          <w:szCs w:val="72"/>
          <w:u w:val="none"/>
          <w:shd w:fill="auto" w:val="clear"/>
          <w:vertAlign w:val="baseline"/>
          <w:rtl w:val="0"/>
        </w:rPr>
        <w:t xml:space="preserve">CHAPTER 9</w:t>
      </w:r>
    </w:p>
    <w:p w:rsidR="00000000" w:rsidDel="00000000" w:rsidP="00000000" w:rsidRDefault="00000000" w:rsidRPr="00000000" w14:paraId="0000000F">
      <w:pPr>
        <w:keepNext w:val="0"/>
        <w:keepLines w:val="0"/>
        <w:pageBreakBefore w:val="0"/>
        <w:widowControl w:val="1"/>
        <w:pBdr>
          <w:top w:color="4f81bd" w:space="10" w:sz="4" w:val="single"/>
          <w:left w:space="0" w:sz="0" w:val="nil"/>
          <w:bottom w:color="4f81bd" w:space="10" w:sz="4" w:val="single"/>
          <w:right w:space="0" w:sz="0" w:val="nil"/>
          <w:between w:space="0" w:sz="0" w:val="nil"/>
        </w:pBdr>
        <w:shd w:fill="auto" w:val="clear"/>
        <w:spacing w:after="360" w:before="360" w:line="360" w:lineRule="auto"/>
        <w:ind w:left="864" w:right="864" w:firstLine="0"/>
        <w:jc w:val="center"/>
        <w:rPr>
          <w:rFonts w:ascii="Cambria" w:cs="Cambria" w:eastAsia="Cambria" w:hAnsi="Cambria"/>
          <w:b w:val="1"/>
          <w:bCs w:val="1"/>
          <w:i w:val="0"/>
          <w:iCs w:val="0"/>
          <w:smallCaps w:val="1"/>
          <w:strike w:val="0"/>
          <w:color w:val="000000"/>
          <w:sz w:val="72"/>
          <w:szCs w:val="72"/>
          <w:u w:val="none"/>
          <w:shd w:fill="auto" w:val="clear"/>
          <w:vertAlign w:val="baseline"/>
        </w:rPr>
      </w:pPr>
      <w:r w:rsidDel="00000000" w:rsidR="00000000" w:rsidRPr="00000000">
        <w:rPr>
          <w:rFonts w:ascii="Cambria" w:cs="Cambria" w:eastAsia="Cambria" w:hAnsi="Cambria"/>
          <w:b w:val="1"/>
          <w:bCs w:val="1"/>
          <w:i w:val="0"/>
          <w:iCs w:val="0"/>
          <w:smallCaps w:val="1"/>
          <w:strike w:val="0"/>
          <w:color w:val="000000"/>
          <w:sz w:val="72"/>
          <w:szCs w:val="72"/>
          <w:u w:val="none"/>
          <w:shd w:fill="auto" w:val="clear"/>
          <w:vertAlign w:val="baseline"/>
          <w:rtl w:val="0"/>
        </w:rPr>
        <w:t xml:space="preserve">conclusion</w:t>
      </w:r>
    </w:p>
    <w:p w:rsidR="00000000" w:rsidDel="00000000" w:rsidP="00000000" w:rsidRDefault="00000000" w:rsidRPr="00000000" w14:paraId="00000010">
      <w:pPr>
        <w:jc w:val="both"/>
        <w:rPr>
          <w:rFonts w:ascii="Cambria" w:cs="Cambria" w:eastAsia="Cambria" w:hAnsi="Cambria"/>
          <w:sz w:val="40"/>
          <w:szCs w:val="40"/>
        </w:rPr>
      </w:pPr>
      <w:r w:rsidDel="00000000" w:rsidR="00000000" w:rsidRPr="00000000">
        <w:rPr>
          <w:rtl w:val="0"/>
        </w:rPr>
      </w:r>
    </w:p>
    <w:p w:rsidR="00000000" w:rsidDel="00000000" w:rsidP="00000000" w:rsidRDefault="00000000" w:rsidRPr="00000000" w14:paraId="00000011">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12">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13">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14">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15">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16">
      <w:pPr>
        <w:spacing w:after="200" w:before="0" w:line="276" w:lineRule="auto"/>
        <w:jc w:val="both"/>
        <w:rPr>
          <w:rFonts w:ascii="Cambria" w:cs="Cambria" w:eastAsia="Cambria" w:hAnsi="Cambria"/>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ind w:left="432" w:firstLine="1169.9999999999998"/>
        <w:jc w:val="both"/>
        <w:rPr>
          <w:rFonts w:ascii="Cambria" w:cs="Cambria" w:eastAsia="Cambria" w:hAnsi="Cambria"/>
          <w:b w:val="1"/>
          <w:bCs w:val="1"/>
          <w:i w:val="0"/>
          <w:iCs w:val="0"/>
          <w:smallCaps w:val="0"/>
          <w:sz w:val="32"/>
          <w:szCs w:val="32"/>
        </w:rPr>
      </w:pPr>
      <w:bookmarkStart w:colFirst="0" w:colLast="0" w:name="_heading=h.9i049ajr333" w:id="1"/>
      <w:bookmarkEnd w:id="1"/>
      <w:r w:rsidDel="00000000" w:rsidR="00000000" w:rsidRPr="00000000">
        <w:rPr>
          <w:rFonts w:ascii="Cambria" w:cs="Cambria" w:eastAsia="Cambria" w:hAnsi="Cambria"/>
          <w:rtl w:val="0"/>
        </w:rPr>
        <w:t xml:space="preserve">9   Chapter (9) </w:t>
      </w:r>
      <w:r w:rsidDel="00000000" w:rsidR="00000000" w:rsidRPr="00000000">
        <w:rPr>
          <w:rFonts w:ascii="Cambria" w:cs="Cambria" w:eastAsia="Cambria" w:hAnsi="Cambria"/>
          <w:b w:val="1"/>
          <w:bCs w:val="1"/>
          <w:i w:val="0"/>
          <w:iCs w:val="0"/>
          <w:smallCaps w:val="0"/>
          <w:sz w:val="32"/>
          <w:szCs w:val="32"/>
          <w:rtl w:val="0"/>
        </w:rPr>
        <w:t xml:space="preserve">Conclusion</w:t>
      </w:r>
    </w:p>
    <w:p w:rsidR="00000000" w:rsidDel="00000000" w:rsidP="00000000" w:rsidRDefault="00000000" w:rsidRPr="00000000" w14:paraId="00000018">
      <w:pPr>
        <w:pStyle w:val="Heading2"/>
        <w:ind w:left="0" w:firstLine="0"/>
        <w:rPr>
          <w:rFonts w:ascii="Cambria" w:cs="Cambria" w:eastAsia="Cambria" w:hAnsi="Cambria"/>
          <w:b w:val="0"/>
          <w:bCs w:val="0"/>
          <w:i w:val="0"/>
          <w:iCs w:val="0"/>
          <w:smallCaps w:val="0"/>
          <w:sz w:val="24"/>
          <w:szCs w:val="24"/>
        </w:rPr>
      </w:pPr>
      <w:r w:rsidDel="00000000" w:rsidR="00000000" w:rsidRPr="00000000">
        <w:rPr>
          <w:rtl w:val="0"/>
        </w:rPr>
        <w:t xml:space="preserve">9.1 Summary of Work</w:t>
      </w:r>
      <w:r w:rsidDel="00000000" w:rsidR="00000000" w:rsidRPr="00000000">
        <w:rPr>
          <w:rtl w:val="0"/>
        </w:rPr>
      </w:r>
    </w:p>
    <w:p w:rsidR="00000000" w:rsidDel="00000000" w:rsidP="00000000" w:rsidRDefault="00000000" w:rsidRPr="00000000" w14:paraId="00000019">
      <w:pPr>
        <w:rPr>
          <w:rFonts w:ascii="Cambria" w:cs="Cambria" w:eastAsia="Cambria" w:hAnsi="Cambria"/>
          <w:b w:val="0"/>
          <w:bCs w:val="0"/>
          <w:i w:val="0"/>
          <w:iCs w:val="0"/>
          <w:smallCaps w:val="0"/>
          <w:sz w:val="24"/>
          <w:szCs w:val="24"/>
        </w:rPr>
      </w:pPr>
      <w:r w:rsidDel="00000000" w:rsidR="00000000" w:rsidRPr="00000000">
        <w:rPr>
          <w:rFonts w:ascii="Cambria" w:cs="Cambria" w:eastAsia="Cambria" w:hAnsi="Cambria"/>
          <w:b w:val="0"/>
          <w:bCs w:val="0"/>
          <w:i w:val="0"/>
          <w:iCs w:val="0"/>
          <w:smallCaps w:val="0"/>
          <w:sz w:val="24"/>
          <w:szCs w:val="24"/>
          <w:rtl w:val="0"/>
        </w:rPr>
        <w:t xml:space="preserve">This project presented the design, implementation, and validation of a unified Digital Twin</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z w:val="24"/>
          <w:szCs w:val="24"/>
          <w:rtl w:val="0"/>
        </w:rPr>
        <w:t xml:space="preserve">based platform for in</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z w:val="24"/>
          <w:szCs w:val="24"/>
          <w:rtl w:val="0"/>
        </w:rPr>
        <w:t xml:space="preserve">vehicle network and safety function evaluation in the automotive domain. The core idea was to move beyond isolated algorithm testing or single</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z w:val="24"/>
          <w:szCs w:val="24"/>
          <w:rtl w:val="0"/>
        </w:rPr>
        <w:t xml:space="preserve">tool simulation and instead create an integrated environment that connects virtual simulation, distributed middleware communication, embedded execution, real</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z w:val="24"/>
          <w:szCs w:val="24"/>
          <w:rtl w:val="0"/>
        </w:rPr>
        <w:t xml:space="preserve">time monitoring, and physical actuation within one coherent workflow. CARLA was used as the physics</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z w:val="24"/>
          <w:szCs w:val="24"/>
          <w:rtl w:val="0"/>
        </w:rPr>
        <w:t xml:space="preserve">based driving simulator and perception environment, SIL Kit served as the in</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z w:val="24"/>
          <w:szCs w:val="24"/>
          <w:rtl w:val="0"/>
        </w:rPr>
        <w:t xml:space="preserve">vehicle network middleware, an AUTOSAR</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z w:val="24"/>
          <w:szCs w:val="24"/>
          <w:rtl w:val="0"/>
        </w:rPr>
        <w:t xml:space="preserve">compliant virtual ECU running on a real</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z w:val="24"/>
          <w:szCs w:val="24"/>
          <w:rtl w:val="0"/>
        </w:rPr>
        <w:t xml:space="preserve">time operating system executed the control logic, a monitoring dashboard provided observability, and a microcontroller</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z w:val="24"/>
          <w:szCs w:val="24"/>
          <w:rtl w:val="0"/>
        </w:rPr>
        <w:t xml:space="preserve">based hardware setup extended the system toward Hardware</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z w:val="24"/>
          <w:szCs w:val="24"/>
          <w:rtl w:val="0"/>
        </w:rPr>
        <w:t xml:space="preserve">in</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z w:val="24"/>
          <w:szCs w:val="24"/>
          <w:rtl w:val="0"/>
        </w:rPr>
        <w:t xml:space="preserve">the</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z w:val="24"/>
          <w:szCs w:val="24"/>
          <w:rtl w:val="0"/>
        </w:rPr>
        <w:t xml:space="preserve">Loop behavior. Together, these components formed a complete Digital Twin validation platform for automotive cyber</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z w:val="24"/>
          <w:szCs w:val="24"/>
          <w:rtl w:val="0"/>
        </w:rPr>
        <w:t xml:space="preserve">physical systems.</w:t>
      </w:r>
    </w:p>
    <w:p w:rsidR="00000000" w:rsidDel="00000000" w:rsidP="00000000" w:rsidRDefault="00000000" w:rsidRPr="00000000" w14:paraId="0000001A">
      <w:pPr>
        <w:rPr>
          <w:rFonts w:ascii="Cambria" w:cs="Cambria" w:eastAsia="Cambria" w:hAnsi="Cambria"/>
          <w:b w:val="0"/>
          <w:bCs w:val="0"/>
          <w:i w:val="0"/>
          <w:iCs w:val="0"/>
          <w:smallCaps w:val="0"/>
          <w:sz w:val="24"/>
          <w:szCs w:val="24"/>
        </w:rPr>
      </w:pPr>
      <w:r w:rsidDel="00000000" w:rsidR="00000000" w:rsidRPr="00000000">
        <w:rPr>
          <w:rFonts w:ascii="Cambria" w:cs="Cambria" w:eastAsia="Cambria" w:hAnsi="Cambria"/>
          <w:b w:val="0"/>
          <w:bCs w:val="0"/>
          <w:i w:val="0"/>
          <w:iCs w:val="0"/>
          <w:smallCaps w:val="0"/>
          <w:sz w:val="24"/>
          <w:szCs w:val="24"/>
          <w:rtl w:val="0"/>
        </w:rPr>
        <w:t xml:space="preserve">At the functional level, the project implemented an Autonomous Emergency Braking (AEB) system with Time</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z w:val="24"/>
          <w:szCs w:val="24"/>
          <w:rtl w:val="0"/>
        </w:rPr>
        <w:t xml:space="preserve">to</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z w:val="24"/>
          <w:szCs w:val="24"/>
          <w:rtl w:val="0"/>
        </w:rPr>
        <w:t xml:space="preserve">Collision estimation, multi</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z w:val="24"/>
          <w:szCs w:val="24"/>
          <w:rtl w:val="0"/>
        </w:rPr>
        <w:t xml:space="preserve">level Forward Collision Warning (FCW), graduated braking, and automatic lane</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z w:val="24"/>
          <w:szCs w:val="24"/>
          <w:rtl w:val="0"/>
        </w:rPr>
        <w:t xml:space="preserve">change capability as a realistic and safety</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z w:val="24"/>
          <w:szCs w:val="24"/>
          <w:rtl w:val="0"/>
        </w:rPr>
        <w:t xml:space="preserve">critical use case. The AEB logic was deliberately designed as a modular pipeline: TTC computation from distance and relative speed, TTC</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z w:val="24"/>
          <w:szCs w:val="24"/>
          <w:rtl w:val="0"/>
        </w:rPr>
        <w:t xml:space="preserve">based FCW level mapping with calibrated thresholds, and an AEB actuation state machine that distinguished between partial braking, full braking, hold conditions, and safe release. This use case provided a demanding validation scenario that naturally stresses perception, communication, decision</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z w:val="24"/>
          <w:szCs w:val="24"/>
          <w:rtl w:val="0"/>
        </w:rPr>
        <w:t xml:space="preserve">making, and actuation under time</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z w:val="24"/>
          <w:szCs w:val="24"/>
          <w:rtl w:val="0"/>
        </w:rPr>
        <w:t xml:space="preserve">critical constraints. It also ensured that the platform was evaluated under conditions similar to those used in contemporary automotive safety assessments.</w:t>
      </w:r>
    </w:p>
    <w:p w:rsidR="00000000" w:rsidDel="00000000" w:rsidP="00000000" w:rsidRDefault="00000000" w:rsidRPr="00000000" w14:paraId="0000001B">
      <w:pPr>
        <w:rPr>
          <w:rFonts w:ascii="Cambria" w:cs="Cambria" w:eastAsia="Cambria" w:hAnsi="Cambria"/>
          <w:b w:val="0"/>
          <w:bCs w:val="0"/>
          <w:i w:val="0"/>
          <w:iCs w:val="0"/>
          <w:smallCaps w:val="0"/>
          <w:sz w:val="24"/>
          <w:szCs w:val="24"/>
        </w:rPr>
      </w:pPr>
      <w:r w:rsidDel="00000000" w:rsidR="00000000" w:rsidRPr="00000000">
        <w:rPr>
          <w:rFonts w:ascii="Cambria" w:cs="Cambria" w:eastAsia="Cambria" w:hAnsi="Cambria"/>
          <w:b w:val="0"/>
          <w:bCs w:val="0"/>
          <w:i w:val="0"/>
          <w:iCs w:val="0"/>
          <w:smallCaps w:val="0"/>
          <w:sz w:val="24"/>
          <w:szCs w:val="24"/>
          <w:rtl w:val="0"/>
        </w:rPr>
        <w:t xml:space="preserve">From a software architecture perspective, the project followed a layered and modular design. The simulation layer generated ego</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z w:val="24"/>
          <w:szCs w:val="24"/>
          <w:rtl w:val="0"/>
        </w:rPr>
        <w:t xml:space="preserve">vehicle motion and obstacle scenarios; the middleware layer transported sensor and control signals via virtual CAN/CAN</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z w:val="24"/>
          <w:szCs w:val="24"/>
          <w:rtl w:val="0"/>
        </w:rPr>
        <w:t xml:space="preserve">FD; the embedded layer implemented AUTOSAR</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z w:val="24"/>
          <w:szCs w:val="24"/>
          <w:rtl w:val="0"/>
        </w:rPr>
        <w:t xml:space="preserve">style software components and runnables; the application layer contained the AEB algorithms; and the visualization layer exposed internal signals for debugging and analysis. This layering made it possible to test each part in isolation and then connect them in a closed</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z w:val="24"/>
          <w:szCs w:val="24"/>
          <w:rtl w:val="0"/>
        </w:rPr>
        <w:t xml:space="preserve">loop configuration. It also aligned the project with modern automotive development practices, where clear separation of concerns and reusable components are essential for managing complexity.</w:t>
      </w:r>
    </w:p>
    <w:p w:rsidR="00000000" w:rsidDel="00000000" w:rsidP="00000000" w:rsidRDefault="00000000" w:rsidRPr="00000000" w14:paraId="0000001C">
      <w:pPr>
        <w:rPr>
          <w:rFonts w:ascii="Cambria" w:cs="Cambria" w:eastAsia="Cambria" w:hAnsi="Cambria"/>
          <w:b w:val="0"/>
          <w:bCs w:val="0"/>
          <w:i w:val="0"/>
          <w:iCs w:val="0"/>
          <w:smallCaps w:val="0"/>
          <w:sz w:val="24"/>
          <w:szCs w:val="24"/>
        </w:rPr>
      </w:pPr>
      <w:r w:rsidDel="00000000" w:rsidR="00000000" w:rsidRPr="00000000">
        <w:rPr>
          <w:rFonts w:ascii="Cambria" w:cs="Cambria" w:eastAsia="Cambria" w:hAnsi="Cambria"/>
          <w:b w:val="0"/>
          <w:bCs w:val="0"/>
          <w:i w:val="0"/>
          <w:iCs w:val="0"/>
          <w:smallCaps w:val="0"/>
          <w:sz w:val="24"/>
          <w:szCs w:val="24"/>
          <w:rtl w:val="0"/>
        </w:rPr>
        <w:t xml:space="preserve">A key part of the work was the design of a structured testing and validation strategy. The project adopted a hierarchical approach consisting of unit testing, integration testing, structured scenario testing, and free</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z w:val="24"/>
          <w:szCs w:val="24"/>
          <w:rtl w:val="0"/>
        </w:rPr>
        <w:t xml:space="preserve">driving validation. Unit tests targeted the core algorithmic functions such as TTC computation, FCW decision logic, and AEB actuation rules, ensuring mathematical correctness and robust boundary handling. Integration tests validated the complete data path across CARLA, SIL Kit, the AEB node, and the vehicle control interfaces, with special focus on timing consistency, state persistence, and guard conditions. Scenario tests exercised the system in realistic traffic situations including pedestrians, vehicles, bicycles, and static obstacles, each with both visible</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z w:val="24"/>
          <w:szCs w:val="24"/>
          <w:rtl w:val="0"/>
        </w:rPr>
        <w:t xml:space="preserve">threat and blind</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z w:val="24"/>
          <w:szCs w:val="24"/>
          <w:rtl w:val="0"/>
        </w:rPr>
        <w:t xml:space="preserve">threat variants. Finally, a free</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z w:val="24"/>
          <w:szCs w:val="24"/>
          <w:rtl w:val="0"/>
        </w:rPr>
        <w:t xml:space="preserve">driving experiment with keyboard</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z w:val="24"/>
          <w:szCs w:val="24"/>
          <w:rtl w:val="0"/>
        </w:rPr>
        <w:t xml:space="preserve">controlled ego vehicle motion evaluated the robustness of the AEB system under more spontaneous and less scripted conditions.</w:t>
      </w:r>
    </w:p>
    <w:p w:rsidR="00000000" w:rsidDel="00000000" w:rsidP="00000000" w:rsidRDefault="00000000" w:rsidRPr="00000000" w14:paraId="0000001D">
      <w:pPr>
        <w:rPr>
          <w:rFonts w:ascii="Cambria" w:cs="Cambria" w:eastAsia="Cambria" w:hAnsi="Cambria"/>
          <w:b w:val="0"/>
          <w:bCs w:val="0"/>
          <w:i w:val="0"/>
          <w:iCs w:val="0"/>
          <w:smallCaps w:val="0"/>
          <w:sz w:val="24"/>
          <w:szCs w:val="24"/>
        </w:rPr>
      </w:pPr>
      <w:r w:rsidDel="00000000" w:rsidR="00000000" w:rsidRPr="00000000">
        <w:rPr>
          <w:rFonts w:ascii="Cambria" w:cs="Cambria" w:eastAsia="Cambria" w:hAnsi="Cambria"/>
          <w:b w:val="0"/>
          <w:bCs w:val="0"/>
          <w:i w:val="0"/>
          <w:iCs w:val="0"/>
          <w:smallCaps w:val="0"/>
          <w:sz w:val="24"/>
          <w:szCs w:val="24"/>
          <w:rtl w:val="0"/>
        </w:rPr>
        <w:t xml:space="preserve">Another important part of the project was the bridge from Software</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z w:val="24"/>
          <w:szCs w:val="24"/>
          <w:rtl w:val="0"/>
        </w:rPr>
        <w:t xml:space="preserve">in</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z w:val="24"/>
          <w:szCs w:val="24"/>
          <w:rtl w:val="0"/>
        </w:rPr>
        <w:t xml:space="preserve">the</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z w:val="24"/>
          <w:szCs w:val="24"/>
          <w:rtl w:val="0"/>
        </w:rPr>
        <w:t xml:space="preserve">Loop to Hardware</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z w:val="24"/>
          <w:szCs w:val="24"/>
          <w:rtl w:val="0"/>
        </w:rPr>
        <w:t xml:space="preserve">in</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z w:val="24"/>
          <w:szCs w:val="24"/>
          <w:rtl w:val="0"/>
        </w:rPr>
        <w:t xml:space="preserve">the</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z w:val="24"/>
          <w:szCs w:val="24"/>
          <w:rtl w:val="0"/>
        </w:rPr>
        <w:t xml:space="preserve">Loop</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z w:val="24"/>
          <w:szCs w:val="24"/>
          <w:rtl w:val="0"/>
        </w:rPr>
        <w:t xml:space="preserve">style validation. Control outputs generated in the Digital Twin environment were forwarded over a network link to a microcontroller that produced pulse</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z w:val="24"/>
          <w:szCs w:val="24"/>
          <w:rtl w:val="0"/>
        </w:rPr>
        <w:t xml:space="preserve">width</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z w:val="24"/>
          <w:szCs w:val="24"/>
          <w:rtl w:val="0"/>
        </w:rPr>
        <w:t xml:space="preserve">modulated signals for a multi</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z w:val="24"/>
          <w:szCs w:val="24"/>
          <w:rtl w:val="0"/>
        </w:rPr>
        <w:t xml:space="preserve">channel motor driver and DC motors. This created a physical actuation path that mirrors the decisions made in the virtual environment, providing a first step toward tighter coupling between simulation and real hardware behavior. Although the hardware setup remained at prototype scale, it demonstrated that the architecture can be extended to real devices without redesigning the entire software stack.</w:t>
      </w:r>
    </w:p>
    <w:p w:rsidR="00000000" w:rsidDel="00000000" w:rsidP="00000000" w:rsidRDefault="00000000" w:rsidRPr="00000000" w14:paraId="0000001E">
      <w:pPr>
        <w:rPr>
          <w:rFonts w:ascii="Cambria" w:cs="Cambria" w:eastAsia="Cambria" w:hAnsi="Cambria"/>
          <w:b w:val="0"/>
          <w:bCs w:val="0"/>
          <w:i w:val="0"/>
          <w:iCs w:val="0"/>
          <w:smallCaps w:val="0"/>
          <w:sz w:val="24"/>
          <w:szCs w:val="24"/>
        </w:rPr>
      </w:pPr>
      <w:r w:rsidDel="00000000" w:rsidR="00000000" w:rsidRPr="00000000">
        <w:rPr>
          <w:rFonts w:ascii="Cambria" w:cs="Cambria" w:eastAsia="Cambria" w:hAnsi="Cambria"/>
          <w:b w:val="0"/>
          <w:bCs w:val="0"/>
          <w:i w:val="0"/>
          <w:iCs w:val="0"/>
          <w:smallCaps w:val="0"/>
          <w:sz w:val="24"/>
          <w:szCs w:val="24"/>
          <w:rtl w:val="0"/>
        </w:rPr>
        <w:t xml:space="preserve">In summary, the work can be viewed as three tightly connected contributions: the construction of a Digital Twin</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z w:val="24"/>
          <w:szCs w:val="24"/>
          <w:rtl w:val="0"/>
        </w:rPr>
        <w:t xml:space="preserve">based validation platform for in</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z w:val="24"/>
          <w:szCs w:val="24"/>
          <w:rtl w:val="0"/>
        </w:rPr>
        <w:t xml:space="preserve">vehicle communication and safety functions, the implementation of a structured and modular AEB use case within this platform, and the definition and execution of a multi</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z w:val="24"/>
          <w:szCs w:val="24"/>
          <w:rtl w:val="0"/>
        </w:rPr>
        <w:t xml:space="preserve">layer validation methodology from unit tests to mixed virtual</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z w:val="24"/>
          <w:szCs w:val="24"/>
          <w:rtl w:val="0"/>
        </w:rPr>
        <w:t xml:space="preserve">physical experiments. Together, these contributions illustrate how modern automotive development can leverage integrated simulation and Digital Twin concepts to reduce validation effort, improve traceability, and explore safety</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z w:val="24"/>
          <w:szCs w:val="24"/>
          <w:rtl w:val="0"/>
        </w:rPr>
        <w:t xml:space="preserve">critical behavior in a controllable yet realistic environment.</w:t>
      </w:r>
    </w:p>
    <w:p w:rsidR="00000000" w:rsidDel="00000000" w:rsidP="00000000" w:rsidRDefault="00000000" w:rsidRPr="00000000" w14:paraId="0000001F">
      <w:pPr>
        <w:rPr>
          <w:rFonts w:ascii="Cambria" w:cs="Cambria" w:eastAsia="Cambria" w:hAnsi="Cambria"/>
          <w:b w:val="1"/>
          <w:bCs w:val="1"/>
          <w:i w:val="0"/>
          <w:iCs w:val="0"/>
          <w:smallCaps w:val="0"/>
          <w:sz w:val="24"/>
          <w:szCs w:val="24"/>
        </w:rPr>
      </w:pPr>
      <w:r w:rsidDel="00000000" w:rsidR="00000000" w:rsidRPr="00000000">
        <w:rPr>
          <w:rFonts w:ascii="Cambria" w:cs="Cambria" w:eastAsia="Cambria" w:hAnsi="Cambria"/>
          <w:b w:val="1"/>
          <w:bCs w:val="1"/>
          <w:i w:val="0"/>
          <w:iCs w:val="0"/>
          <w:smallCaps w:val="0"/>
          <w:sz w:val="24"/>
          <w:szCs w:val="24"/>
          <w:rtl w:val="0"/>
        </w:rPr>
        <w:t xml:space="preserve">Suggested images for 9.1:</w:t>
      </w:r>
    </w:p>
    <w:p w:rsidR="00000000" w:rsidDel="00000000" w:rsidP="00000000" w:rsidRDefault="00000000" w:rsidRPr="00000000" w14:paraId="00000020">
      <w:pPr>
        <w:numPr>
          <w:ilvl w:val="0"/>
          <w:numId w:val="3"/>
        </w:numPr>
        <w:ind w:left="720" w:hanging="360"/>
        <w:rPr>
          <w:rFonts w:ascii="Cambria" w:cs="Cambria" w:eastAsia="Cambria" w:hAnsi="Cambria"/>
          <w:b w:val="0"/>
          <w:bCs w:val="0"/>
          <w:i w:val="0"/>
          <w:iCs w:val="0"/>
          <w:smallCaps w:val="0"/>
          <w:sz w:val="24"/>
          <w:szCs w:val="24"/>
        </w:rPr>
      </w:pPr>
      <w:r w:rsidDel="00000000" w:rsidR="00000000" w:rsidRPr="00000000">
        <w:rPr>
          <w:rFonts w:ascii="Cambria" w:cs="Cambria" w:eastAsia="Cambria" w:hAnsi="Cambria"/>
          <w:b w:val="0"/>
          <w:bCs w:val="0"/>
          <w:i w:val="0"/>
          <w:iCs w:val="0"/>
          <w:smallCaps w:val="0"/>
          <w:sz w:val="24"/>
          <w:szCs w:val="24"/>
          <w:rtl w:val="0"/>
        </w:rPr>
        <w:t xml:space="preserve">Figure 9.1: High</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z w:val="24"/>
          <w:szCs w:val="24"/>
          <w:rtl w:val="0"/>
        </w:rPr>
        <w:t xml:space="preserve">level overview of the complete project workflow (from requirements to validation).</w:t>
      </w:r>
    </w:p>
    <w:p w:rsidR="00000000" w:rsidDel="00000000" w:rsidP="00000000" w:rsidRDefault="00000000" w:rsidRPr="00000000" w14:paraId="00000021">
      <w:pPr>
        <w:numPr>
          <w:ilvl w:val="0"/>
          <w:numId w:val="3"/>
        </w:numPr>
        <w:ind w:left="720" w:hanging="360"/>
        <w:rPr>
          <w:rFonts w:ascii="Cambria" w:cs="Cambria" w:eastAsia="Cambria" w:hAnsi="Cambria"/>
          <w:b w:val="0"/>
          <w:bCs w:val="0"/>
          <w:i w:val="0"/>
          <w:iCs w:val="0"/>
          <w:smallCaps w:val="0"/>
          <w:sz w:val="24"/>
          <w:szCs w:val="24"/>
        </w:rPr>
      </w:pPr>
      <w:r w:rsidDel="00000000" w:rsidR="00000000" w:rsidRPr="00000000">
        <w:rPr>
          <w:rFonts w:ascii="Cambria" w:cs="Cambria" w:eastAsia="Cambria" w:hAnsi="Cambria"/>
          <w:b w:val="0"/>
          <w:bCs w:val="0"/>
          <w:i w:val="0"/>
          <w:iCs w:val="0"/>
          <w:smallCaps w:val="0"/>
          <w:sz w:val="24"/>
          <w:szCs w:val="24"/>
          <w:rtl w:val="0"/>
        </w:rPr>
        <w:t xml:space="preserve">Figure 9.2: “</w:t>
      </w:r>
      <w:r w:rsidDel="00000000" w:rsidR="00000000" w:rsidRPr="00000000">
        <w:rPr>
          <w:rtl w:val="0"/>
        </w:rPr>
        <w:t xml:space="preserve">Big pictur</w:t>
      </w:r>
      <w:r w:rsidDel="00000000" w:rsidR="00000000" w:rsidRPr="00000000">
        <w:rPr>
          <w:rFonts w:ascii="Cambria" w:cs="Cambria" w:eastAsia="Cambria" w:hAnsi="Cambria"/>
          <w:b w:val="0"/>
          <w:bCs w:val="0"/>
          <w:i w:val="0"/>
          <w:iCs w:val="0"/>
          <w:smallCaps w:val="0"/>
          <w:sz w:val="24"/>
          <w:szCs w:val="24"/>
          <w:rtl w:val="0"/>
        </w:rPr>
        <w:t xml:space="preserve">e” schematic summarizing all system components and their interactions.</w:t>
      </w:r>
    </w:p>
    <w:p w:rsidR="00000000" w:rsidDel="00000000" w:rsidP="00000000" w:rsidRDefault="00000000" w:rsidRPr="00000000" w14:paraId="00000022">
      <w:pPr>
        <w:numPr>
          <w:ilvl w:val="0"/>
          <w:numId w:val="3"/>
        </w:numPr>
        <w:ind w:left="720" w:hanging="360"/>
        <w:rPr>
          <w:rFonts w:ascii="Cambria" w:cs="Cambria" w:eastAsia="Cambria" w:hAnsi="Cambria"/>
          <w:b w:val="0"/>
          <w:bCs w:val="0"/>
          <w:i w:val="0"/>
          <w:iCs w:val="0"/>
          <w:smallCaps w:val="0"/>
          <w:sz w:val="24"/>
          <w:szCs w:val="24"/>
        </w:rPr>
      </w:pPr>
      <w:r w:rsidDel="00000000" w:rsidR="00000000" w:rsidRPr="00000000">
        <w:rPr>
          <w:rFonts w:ascii="Cambria" w:cs="Cambria" w:eastAsia="Cambria" w:hAnsi="Cambria"/>
          <w:b w:val="0"/>
          <w:bCs w:val="0"/>
          <w:i w:val="0"/>
          <w:iCs w:val="0"/>
          <w:smallCaps w:val="0"/>
          <w:sz w:val="24"/>
          <w:szCs w:val="24"/>
          <w:rtl w:val="0"/>
        </w:rPr>
        <w:t xml:space="preserve">Figure 9.3: Flowchart of the validation hierarchy (unit → integration → scenarios → free driving).</w:t>
      </w:r>
    </w:p>
    <w:p w:rsidR="00000000" w:rsidDel="00000000" w:rsidP="00000000" w:rsidRDefault="00000000" w:rsidRPr="00000000" w14:paraId="00000023">
      <w:pPr>
        <w:pStyle w:val="Heading2"/>
        <w:ind w:left="0" w:firstLine="0"/>
        <w:rPr>
          <w:rFonts w:ascii="Cambria" w:cs="Cambria" w:eastAsia="Cambria" w:hAnsi="Cambria"/>
          <w:b w:val="0"/>
          <w:bCs w:val="0"/>
          <w:i w:val="0"/>
          <w:iCs w:val="0"/>
          <w:smallCaps w:val="0"/>
          <w:sz w:val="24"/>
          <w:szCs w:val="24"/>
        </w:rPr>
      </w:pPr>
      <w:r w:rsidDel="00000000" w:rsidR="00000000" w:rsidRPr="00000000">
        <w:rPr>
          <w:rtl w:val="0"/>
        </w:rPr>
        <w:t xml:space="preserve">9.2 Key Achievements</w:t>
      </w:r>
      <w:r w:rsidDel="00000000" w:rsidR="00000000" w:rsidRPr="00000000">
        <w:rPr>
          <w:rtl w:val="0"/>
        </w:rPr>
      </w:r>
    </w:p>
    <w:p w:rsidR="00000000" w:rsidDel="00000000" w:rsidP="00000000" w:rsidRDefault="00000000" w:rsidRPr="00000000" w14:paraId="00000024">
      <w:pPr>
        <w:rPr>
          <w:rFonts w:ascii="Cambria" w:cs="Cambria" w:eastAsia="Cambria" w:hAnsi="Cambria"/>
          <w:b w:val="0"/>
          <w:bCs w:val="0"/>
          <w:i w:val="0"/>
          <w:iCs w:val="0"/>
          <w:smallCaps w:val="0"/>
          <w:sz w:val="24"/>
          <w:szCs w:val="24"/>
        </w:rPr>
      </w:pPr>
      <w:r w:rsidDel="00000000" w:rsidR="00000000" w:rsidRPr="00000000">
        <w:rPr>
          <w:rFonts w:ascii="Cambria" w:cs="Cambria" w:eastAsia="Cambria" w:hAnsi="Cambria"/>
          <w:b w:val="0"/>
          <w:bCs w:val="0"/>
          <w:i w:val="0"/>
          <w:iCs w:val="0"/>
          <w:smallCaps w:val="0"/>
          <w:sz w:val="24"/>
          <w:szCs w:val="24"/>
          <w:rtl w:val="0"/>
        </w:rPr>
        <w:t xml:space="preserve">The first key achievement of this project is the successful realization of a unified Digital Twin</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z w:val="24"/>
          <w:szCs w:val="24"/>
          <w:rtl w:val="0"/>
        </w:rPr>
        <w:t xml:space="preserve">based validation platform that spans the full development chain from simulation to hardware interaction. Instead of treating simulation, communication, embedded execution, and actuation as separate activities, the project showed that they can be orchestrated within one coherent architecture. This is significant because many existing approaches either focus only on algorithm development in a simulator or only on low</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z w:val="24"/>
          <w:szCs w:val="24"/>
          <w:rtl w:val="0"/>
        </w:rPr>
        <w:t xml:space="preserve">level ECU testing, whereas this work demonstrates a bridge between these worlds. It provides a concrete example of how a Digital Twin can be used not just for visualization, but as an active validation environment for automotive functions.</w:t>
      </w:r>
    </w:p>
    <w:p w:rsidR="00000000" w:rsidDel="00000000" w:rsidP="00000000" w:rsidRDefault="00000000" w:rsidRPr="00000000" w14:paraId="00000025">
      <w:pPr>
        <w:rPr>
          <w:rFonts w:ascii="Cambria" w:cs="Cambria" w:eastAsia="Cambria" w:hAnsi="Cambria"/>
          <w:b w:val="0"/>
          <w:bCs w:val="0"/>
          <w:i w:val="0"/>
          <w:iCs w:val="0"/>
          <w:smallCaps w:val="0"/>
          <w:sz w:val="24"/>
          <w:szCs w:val="24"/>
        </w:rPr>
      </w:pPr>
      <w:r w:rsidDel="00000000" w:rsidR="00000000" w:rsidRPr="00000000">
        <w:rPr>
          <w:rFonts w:ascii="Cambria" w:cs="Cambria" w:eastAsia="Cambria" w:hAnsi="Cambria"/>
          <w:b w:val="0"/>
          <w:bCs w:val="0"/>
          <w:i w:val="0"/>
          <w:iCs w:val="0"/>
          <w:smallCaps w:val="0"/>
          <w:sz w:val="24"/>
          <w:szCs w:val="24"/>
          <w:rtl w:val="0"/>
        </w:rPr>
        <w:t xml:space="preserve">A second major achievement is the integration of a realistic and safety</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z w:val="24"/>
          <w:szCs w:val="24"/>
          <w:rtl w:val="0"/>
        </w:rPr>
        <w:t xml:space="preserve">critical AEB use case into this platform and its validation across multiple scenarios. The system did not simply apply a fixed emergency brake when an obstacle appeared; instead, it used TTC</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z w:val="24"/>
          <w:szCs w:val="24"/>
          <w:rtl w:val="0"/>
        </w:rPr>
        <w:t xml:space="preserve">based risk assessment, multiple FCW levels, partial and full braking, and lane</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z w:val="24"/>
          <w:szCs w:val="24"/>
          <w:rtl w:val="0"/>
        </w:rPr>
        <w:t xml:space="preserve">change behavior when braking alone was insufficient. This richer decision structure allowed the system to respond differently to early</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z w:val="24"/>
          <w:szCs w:val="24"/>
          <w:rtl w:val="0"/>
        </w:rPr>
        <w:t xml:space="preserve">warning conditions, critical approach situations, and near</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z w:val="24"/>
          <w:szCs w:val="24"/>
          <w:rtl w:val="0"/>
        </w:rPr>
        <w:t xml:space="preserve">collision events. The fact that the AEB function remained stable across structured scenarios and free</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z w:val="24"/>
          <w:szCs w:val="24"/>
          <w:rtl w:val="0"/>
        </w:rPr>
        <w:t xml:space="preserve">driving experiments indicates that the platform can support non</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z w:val="24"/>
          <w:szCs w:val="24"/>
          <w:rtl w:val="0"/>
        </w:rPr>
        <w:t xml:space="preserve">trivial, stateful control logic rather than only simple threshold triggers.</w:t>
      </w:r>
    </w:p>
    <w:p w:rsidR="00000000" w:rsidDel="00000000" w:rsidP="00000000" w:rsidRDefault="00000000" w:rsidRPr="00000000" w14:paraId="00000026">
      <w:pPr>
        <w:rPr>
          <w:rFonts w:ascii="Cambria" w:cs="Cambria" w:eastAsia="Cambria" w:hAnsi="Cambria"/>
          <w:b w:val="0"/>
          <w:bCs w:val="0"/>
          <w:i w:val="0"/>
          <w:iCs w:val="0"/>
          <w:smallCaps w:val="0"/>
          <w:sz w:val="24"/>
          <w:szCs w:val="24"/>
        </w:rPr>
      </w:pPr>
      <w:r w:rsidDel="00000000" w:rsidR="00000000" w:rsidRPr="00000000">
        <w:rPr>
          <w:rFonts w:ascii="Cambria" w:cs="Cambria" w:eastAsia="Cambria" w:hAnsi="Cambria"/>
          <w:b w:val="0"/>
          <w:bCs w:val="0"/>
          <w:i w:val="0"/>
          <w:iCs w:val="0"/>
          <w:smallCaps w:val="0"/>
          <w:sz w:val="24"/>
          <w:szCs w:val="24"/>
          <w:rtl w:val="0"/>
        </w:rPr>
        <w:t xml:space="preserve">A third key achievement lies in the structured validation methodology that was implemented and executed. The use of unit tests for core functions ensured that TTC and warning logic behaved correctly across normal, boundary, and abnormal conditions. Integration tests then verified that data propagated correctly through the CARLA–SIL Kit–AEB–vehicle loop, exposing and resolving issues related to state persistence and transient sensor anomalies. Scenario tests with different obstacle types and visibility conditions confirmed that the system could handle a variety of threat patterns. Finally, free</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z w:val="24"/>
          <w:szCs w:val="24"/>
          <w:rtl w:val="0"/>
        </w:rPr>
        <w:t xml:space="preserve">driving validation demonstrated that the AEB system could operate continuously in an open</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z w:val="24"/>
          <w:szCs w:val="24"/>
          <w:rtl w:val="0"/>
        </w:rPr>
        <w:t xml:space="preserve">ended environment. This layered approach significantly strengthens the credibility of the results and positions the platform as more than a single</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z w:val="24"/>
          <w:szCs w:val="24"/>
          <w:rtl w:val="0"/>
        </w:rPr>
        <w:t xml:space="preserve">demo prototype.</w:t>
      </w:r>
    </w:p>
    <w:p w:rsidR="00000000" w:rsidDel="00000000" w:rsidP="00000000" w:rsidRDefault="00000000" w:rsidRPr="00000000" w14:paraId="00000027">
      <w:pPr>
        <w:rPr>
          <w:rFonts w:ascii="Cambria" w:cs="Cambria" w:eastAsia="Cambria" w:hAnsi="Cambria"/>
          <w:b w:val="0"/>
          <w:bCs w:val="0"/>
          <w:i w:val="0"/>
          <w:iCs w:val="0"/>
          <w:smallCaps w:val="0"/>
          <w:sz w:val="24"/>
          <w:szCs w:val="24"/>
        </w:rPr>
      </w:pPr>
      <w:r w:rsidDel="00000000" w:rsidR="00000000" w:rsidRPr="00000000">
        <w:rPr>
          <w:rFonts w:ascii="Cambria" w:cs="Cambria" w:eastAsia="Cambria" w:hAnsi="Cambria"/>
          <w:b w:val="0"/>
          <w:bCs w:val="0"/>
          <w:i w:val="0"/>
          <w:iCs w:val="0"/>
          <w:smallCaps w:val="0"/>
          <w:sz w:val="24"/>
          <w:szCs w:val="24"/>
          <w:rtl w:val="0"/>
        </w:rPr>
        <w:t xml:space="preserve">Another important achievement is the demonstration of a practical Software</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z w:val="24"/>
          <w:szCs w:val="24"/>
          <w:rtl w:val="0"/>
        </w:rPr>
        <w:t xml:space="preserve">in</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z w:val="24"/>
          <w:szCs w:val="24"/>
          <w:rtl w:val="0"/>
        </w:rPr>
        <w:t xml:space="preserve">the</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z w:val="24"/>
          <w:szCs w:val="24"/>
          <w:rtl w:val="0"/>
        </w:rPr>
        <w:t xml:space="preserve">Loop to Hardware</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z w:val="24"/>
          <w:szCs w:val="24"/>
          <w:rtl w:val="0"/>
        </w:rPr>
        <w:t xml:space="preserve">in</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z w:val="24"/>
          <w:szCs w:val="24"/>
          <w:rtl w:val="0"/>
        </w:rPr>
        <w:t xml:space="preserve">the</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z w:val="24"/>
          <w:szCs w:val="24"/>
          <w:rtl w:val="0"/>
        </w:rPr>
        <w:t xml:space="preserve">Loop transition using the same communication and control architecture. By forwarding Digital Twin outputs to a physical microcontroller and motor actuation path, the project showed that the validation environment can be extended toward real hardware without changing the fundamental software interfaces. This kind of continuity is crucial in automotive development, where code must often migrate from desktop simulations to embedded targets. The prototype hardware integration thus acts as a proof of concept for future work on full ECU</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z w:val="24"/>
          <w:szCs w:val="24"/>
          <w:rtl w:val="0"/>
        </w:rPr>
        <w:t xml:space="preserve">grade HIL setups.</w:t>
      </w:r>
    </w:p>
    <w:p w:rsidR="00000000" w:rsidDel="00000000" w:rsidP="00000000" w:rsidRDefault="00000000" w:rsidRPr="00000000" w14:paraId="00000028">
      <w:pPr>
        <w:rPr>
          <w:rFonts w:ascii="Cambria" w:cs="Cambria" w:eastAsia="Cambria" w:hAnsi="Cambria"/>
          <w:b w:val="0"/>
          <w:bCs w:val="0"/>
          <w:i w:val="0"/>
          <w:iCs w:val="0"/>
          <w:smallCaps w:val="0"/>
          <w:sz w:val="24"/>
          <w:szCs w:val="24"/>
        </w:rPr>
      </w:pPr>
      <w:r w:rsidDel="00000000" w:rsidR="00000000" w:rsidRPr="00000000">
        <w:rPr>
          <w:rFonts w:ascii="Cambria" w:cs="Cambria" w:eastAsia="Cambria" w:hAnsi="Cambria"/>
          <w:b w:val="0"/>
          <w:bCs w:val="0"/>
          <w:i w:val="0"/>
          <w:iCs w:val="0"/>
          <w:smallCaps w:val="0"/>
          <w:sz w:val="24"/>
          <w:szCs w:val="24"/>
          <w:rtl w:val="0"/>
        </w:rPr>
        <w:t xml:space="preserve">The project also achieved a notable level of modularity and alignment with industrial practices through its AUTOSAR</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z w:val="24"/>
          <w:szCs w:val="24"/>
          <w:rtl w:val="0"/>
        </w:rPr>
        <w:t xml:space="preserve">like software structure. By organizing the control logic into components and runnables and separating application code from infrastructure, the system became easier to maintain, test, and extend. This makes the platform a more realistic representation of how software is actually deployed in production vehicles. Such architectural discipline is itself a valuable achievement, because it increases the likelihood that concepts and code from the project can be transferred or reused in more advanced or industrial settings.</w:t>
      </w:r>
    </w:p>
    <w:p w:rsidR="00000000" w:rsidDel="00000000" w:rsidP="00000000" w:rsidRDefault="00000000" w:rsidRPr="00000000" w14:paraId="00000029">
      <w:pPr>
        <w:rPr>
          <w:rFonts w:ascii="Cambria" w:cs="Cambria" w:eastAsia="Cambria" w:hAnsi="Cambria"/>
          <w:b w:val="0"/>
          <w:bCs w:val="0"/>
          <w:i w:val="0"/>
          <w:iCs w:val="0"/>
          <w:smallCaps w:val="0"/>
          <w:sz w:val="24"/>
          <w:szCs w:val="24"/>
        </w:rPr>
      </w:pPr>
      <w:r w:rsidDel="00000000" w:rsidR="00000000" w:rsidRPr="00000000">
        <w:rPr>
          <w:rFonts w:ascii="Cambria" w:cs="Cambria" w:eastAsia="Cambria" w:hAnsi="Cambria"/>
          <w:b w:val="0"/>
          <w:bCs w:val="0"/>
          <w:i w:val="0"/>
          <w:iCs w:val="0"/>
          <w:smallCaps w:val="0"/>
          <w:sz w:val="24"/>
          <w:szCs w:val="24"/>
          <w:rtl w:val="0"/>
        </w:rPr>
        <w:t xml:space="preserve">From a performance perspective, the platform achieved a robust balance between responsiveness, stability, and clarity. The system was able to react quickly enough to support safety</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z w:val="24"/>
          <w:szCs w:val="24"/>
          <w:rtl w:val="0"/>
        </w:rPr>
        <w:t xml:space="preserve">critical maneuvers in simulation, while the dashboard provided clear visibility into internal states such as TTC, FCW level, braking intensity, and AEB activation status. The combination of real</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z w:val="24"/>
          <w:szCs w:val="24"/>
          <w:rtl w:val="0"/>
        </w:rPr>
        <w:t xml:space="preserve">time responsiveness and observability is a key achievement because it allows engineers not only to trust the system’s outputs, but also to understand why those outputs were produced under specific conditions.</w:t>
      </w:r>
    </w:p>
    <w:p w:rsidR="00000000" w:rsidDel="00000000" w:rsidP="00000000" w:rsidRDefault="00000000" w:rsidRPr="00000000" w14:paraId="0000002A">
      <w:pPr>
        <w:rPr>
          <w:rFonts w:ascii="Cambria" w:cs="Cambria" w:eastAsia="Cambria" w:hAnsi="Cambria"/>
          <w:b w:val="0"/>
          <w:bCs w:val="0"/>
          <w:i w:val="0"/>
          <w:iCs w:val="0"/>
          <w:smallCaps w:val="0"/>
          <w:sz w:val="24"/>
          <w:szCs w:val="24"/>
        </w:rPr>
      </w:pPr>
      <w:r w:rsidDel="00000000" w:rsidR="00000000" w:rsidRPr="00000000">
        <w:rPr>
          <w:rFonts w:ascii="Cambria" w:cs="Cambria" w:eastAsia="Cambria" w:hAnsi="Cambria"/>
          <w:b w:val="0"/>
          <w:bCs w:val="0"/>
          <w:i w:val="0"/>
          <w:iCs w:val="0"/>
          <w:smallCaps w:val="0"/>
          <w:sz w:val="24"/>
          <w:szCs w:val="24"/>
          <w:rtl w:val="0"/>
        </w:rPr>
        <w:t xml:space="preserve">In terms of research and educational value, the project demonstrated how Digital Twin concepts can be concretely applied to automotive network and safety function validation, not just at a conceptual level but in a working prototype. It shows how a simulator like CARLA can be combined with a middleware such as SIL Kit and a modular embedded architecture to form a realistic testbed. This is consistent with the broader trend in the literature, where digital</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z w:val="24"/>
          <w:szCs w:val="24"/>
          <w:rtl w:val="0"/>
        </w:rPr>
        <w:t xml:space="preserve">twin</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z w:val="24"/>
          <w:szCs w:val="24"/>
          <w:rtl w:val="0"/>
        </w:rPr>
        <w:t xml:space="preserve">based platforms are increasingly used to reduce the gap between virtual validation and real</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z w:val="24"/>
          <w:szCs w:val="24"/>
          <w:rtl w:val="0"/>
        </w:rPr>
        <w:t xml:space="preserve">world behavior in automotive and manufacturing contexts.</w:t>
      </w:r>
    </w:p>
    <w:p w:rsidR="00000000" w:rsidDel="00000000" w:rsidP="00000000" w:rsidRDefault="00000000" w:rsidRPr="00000000" w14:paraId="0000002B">
      <w:pPr>
        <w:rPr>
          <w:rFonts w:ascii="Cambria" w:cs="Cambria" w:eastAsia="Cambria" w:hAnsi="Cambria"/>
          <w:b w:val="0"/>
          <w:bCs w:val="0"/>
          <w:i w:val="0"/>
          <w:iCs w:val="0"/>
          <w:smallCaps w:val="0"/>
          <w:sz w:val="24"/>
          <w:szCs w:val="24"/>
        </w:rPr>
      </w:pPr>
      <w:r w:rsidDel="00000000" w:rsidR="00000000" w:rsidRPr="00000000">
        <w:rPr>
          <w:rFonts w:ascii="Cambria" w:cs="Cambria" w:eastAsia="Cambria" w:hAnsi="Cambria"/>
          <w:b w:val="0"/>
          <w:bCs w:val="0"/>
          <w:i w:val="0"/>
          <w:iCs w:val="0"/>
          <w:smallCaps w:val="0"/>
          <w:sz w:val="24"/>
          <w:szCs w:val="24"/>
          <w:rtl w:val="0"/>
        </w:rPr>
        <w:t xml:space="preserve">Finally, the project’s key achievements can be summarized as follows:</w:t>
      </w:r>
    </w:p>
    <w:p w:rsidR="00000000" w:rsidDel="00000000" w:rsidP="00000000" w:rsidRDefault="00000000" w:rsidRPr="00000000" w14:paraId="0000002C">
      <w:pPr>
        <w:numPr>
          <w:ilvl w:val="0"/>
          <w:numId w:val="2"/>
        </w:numPr>
        <w:ind w:left="720" w:hanging="360"/>
        <w:rPr>
          <w:rFonts w:ascii="Cambria" w:cs="Cambria" w:eastAsia="Cambria" w:hAnsi="Cambria"/>
          <w:b w:val="0"/>
          <w:bCs w:val="0"/>
          <w:i w:val="0"/>
          <w:iCs w:val="0"/>
          <w:smallCaps w:val="0"/>
          <w:sz w:val="24"/>
          <w:szCs w:val="24"/>
        </w:rPr>
      </w:pPr>
      <w:r w:rsidDel="00000000" w:rsidR="00000000" w:rsidRPr="00000000">
        <w:rPr>
          <w:rFonts w:ascii="Cambria" w:cs="Cambria" w:eastAsia="Cambria" w:hAnsi="Cambria"/>
          <w:b w:val="0"/>
          <w:bCs w:val="0"/>
          <w:i w:val="0"/>
          <w:iCs w:val="0"/>
          <w:smallCaps w:val="0"/>
          <w:sz w:val="24"/>
          <w:szCs w:val="24"/>
          <w:rtl w:val="0"/>
        </w:rPr>
        <w:t xml:space="preserve">A unified, end</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z w:val="24"/>
          <w:szCs w:val="24"/>
          <w:rtl w:val="0"/>
        </w:rPr>
        <w:t xml:space="preserve">to</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z w:val="24"/>
          <w:szCs w:val="24"/>
          <w:rtl w:val="0"/>
        </w:rPr>
        <w:t xml:space="preserve">end Digital Twin validation platform integrating simulation, middleware, embedded execution, monitoring, and hardware actuation.</w:t>
      </w:r>
    </w:p>
    <w:p w:rsidR="00000000" w:rsidDel="00000000" w:rsidP="00000000" w:rsidRDefault="00000000" w:rsidRPr="00000000" w14:paraId="0000002D">
      <w:pPr>
        <w:numPr>
          <w:ilvl w:val="0"/>
          <w:numId w:val="2"/>
        </w:numPr>
        <w:ind w:left="720" w:hanging="360"/>
        <w:rPr>
          <w:rFonts w:ascii="Cambria" w:cs="Cambria" w:eastAsia="Cambria" w:hAnsi="Cambria"/>
          <w:b w:val="0"/>
          <w:bCs w:val="0"/>
          <w:i w:val="0"/>
          <w:iCs w:val="0"/>
          <w:smallCaps w:val="0"/>
          <w:sz w:val="24"/>
          <w:szCs w:val="24"/>
        </w:rPr>
      </w:pPr>
      <w:r w:rsidDel="00000000" w:rsidR="00000000" w:rsidRPr="00000000">
        <w:rPr>
          <w:rFonts w:ascii="Cambria" w:cs="Cambria" w:eastAsia="Cambria" w:hAnsi="Cambria"/>
          <w:b w:val="0"/>
          <w:bCs w:val="0"/>
          <w:i w:val="0"/>
          <w:iCs w:val="0"/>
          <w:smallCaps w:val="0"/>
          <w:sz w:val="24"/>
          <w:szCs w:val="24"/>
          <w:rtl w:val="0"/>
        </w:rPr>
        <w:t xml:space="preserve">A modular, AUTOSAR</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z w:val="24"/>
          <w:szCs w:val="24"/>
          <w:rtl w:val="0"/>
        </w:rPr>
        <w:t xml:space="preserve">aligned AEB implementation with TTC</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z w:val="24"/>
          <w:szCs w:val="24"/>
          <w:rtl w:val="0"/>
        </w:rPr>
        <w:t xml:space="preserve">based FCW, graduated braking, and lane</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z w:val="24"/>
          <w:szCs w:val="24"/>
          <w:rtl w:val="0"/>
        </w:rPr>
        <w:t xml:space="preserve">change capability as a demanding use case.</w:t>
      </w:r>
    </w:p>
    <w:p w:rsidR="00000000" w:rsidDel="00000000" w:rsidP="00000000" w:rsidRDefault="00000000" w:rsidRPr="00000000" w14:paraId="0000002E">
      <w:pPr>
        <w:numPr>
          <w:ilvl w:val="0"/>
          <w:numId w:val="2"/>
        </w:numPr>
        <w:ind w:left="720" w:hanging="360"/>
        <w:rPr>
          <w:rFonts w:ascii="Cambria" w:cs="Cambria" w:eastAsia="Cambria" w:hAnsi="Cambria"/>
          <w:b w:val="0"/>
          <w:bCs w:val="0"/>
          <w:i w:val="0"/>
          <w:iCs w:val="0"/>
          <w:smallCaps w:val="0"/>
          <w:sz w:val="24"/>
          <w:szCs w:val="24"/>
        </w:rPr>
      </w:pPr>
      <w:r w:rsidDel="00000000" w:rsidR="00000000" w:rsidRPr="00000000">
        <w:rPr>
          <w:rFonts w:ascii="Cambria" w:cs="Cambria" w:eastAsia="Cambria" w:hAnsi="Cambria"/>
          <w:b w:val="0"/>
          <w:bCs w:val="0"/>
          <w:i w:val="0"/>
          <w:iCs w:val="0"/>
          <w:smallCaps w:val="0"/>
          <w:sz w:val="24"/>
          <w:szCs w:val="24"/>
          <w:rtl w:val="0"/>
        </w:rPr>
        <w:t xml:space="preserve">A multi</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z w:val="24"/>
          <w:szCs w:val="24"/>
          <w:rtl w:val="0"/>
        </w:rPr>
        <w:t xml:space="preserve">layer validation methodology covering unit, integration, scenario, and free</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z w:val="24"/>
          <w:szCs w:val="24"/>
          <w:rtl w:val="0"/>
        </w:rPr>
        <w:t xml:space="preserve">driving testing, providing strong evidence of correctness and robustness.</w:t>
      </w:r>
    </w:p>
    <w:p w:rsidR="00000000" w:rsidDel="00000000" w:rsidP="00000000" w:rsidRDefault="00000000" w:rsidRPr="00000000" w14:paraId="0000002F">
      <w:pPr>
        <w:numPr>
          <w:ilvl w:val="0"/>
          <w:numId w:val="2"/>
        </w:numPr>
        <w:ind w:left="720" w:hanging="360"/>
        <w:rPr>
          <w:rFonts w:ascii="Cambria" w:cs="Cambria" w:eastAsia="Cambria" w:hAnsi="Cambria"/>
          <w:b w:val="0"/>
          <w:bCs w:val="0"/>
          <w:i w:val="0"/>
          <w:iCs w:val="0"/>
          <w:smallCaps w:val="0"/>
          <w:sz w:val="24"/>
          <w:szCs w:val="24"/>
        </w:rPr>
      </w:pPr>
      <w:r w:rsidDel="00000000" w:rsidR="00000000" w:rsidRPr="00000000">
        <w:rPr>
          <w:rFonts w:ascii="Cambria" w:cs="Cambria" w:eastAsia="Cambria" w:hAnsi="Cambria"/>
          <w:b w:val="0"/>
          <w:bCs w:val="0"/>
          <w:i w:val="0"/>
          <w:iCs w:val="0"/>
          <w:smallCaps w:val="0"/>
          <w:sz w:val="24"/>
          <w:szCs w:val="24"/>
          <w:rtl w:val="0"/>
        </w:rPr>
        <w:t xml:space="preserve">A demonstrated SiL</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z w:val="24"/>
          <w:szCs w:val="24"/>
          <w:rtl w:val="0"/>
        </w:rPr>
        <w:t xml:space="preserve">to</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z w:val="24"/>
          <w:szCs w:val="24"/>
          <w:rtl w:val="0"/>
        </w:rPr>
        <w:t xml:space="preserve">HIL bridge through microcontroller</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z w:val="24"/>
          <w:szCs w:val="24"/>
          <w:rtl w:val="0"/>
        </w:rPr>
        <w:t xml:space="preserve">based actuation, paving the way for future full ECU</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z w:val="24"/>
          <w:szCs w:val="24"/>
          <w:rtl w:val="0"/>
        </w:rPr>
        <w:t xml:space="preserve">level validation.</w:t>
      </w:r>
    </w:p>
    <w:p w:rsidR="00000000" w:rsidDel="00000000" w:rsidP="00000000" w:rsidRDefault="00000000" w:rsidRPr="00000000" w14:paraId="00000030">
      <w:pPr>
        <w:numPr>
          <w:ilvl w:val="0"/>
          <w:numId w:val="2"/>
        </w:numPr>
        <w:ind w:left="720" w:hanging="360"/>
        <w:rPr>
          <w:rFonts w:ascii="Cambria" w:cs="Cambria" w:eastAsia="Cambria" w:hAnsi="Cambria"/>
          <w:b w:val="0"/>
          <w:bCs w:val="0"/>
          <w:i w:val="0"/>
          <w:iCs w:val="0"/>
          <w:smallCaps w:val="0"/>
          <w:sz w:val="24"/>
          <w:szCs w:val="24"/>
        </w:rPr>
      </w:pPr>
      <w:r w:rsidDel="00000000" w:rsidR="00000000" w:rsidRPr="00000000">
        <w:rPr>
          <w:rFonts w:ascii="Cambria" w:cs="Cambria" w:eastAsia="Cambria" w:hAnsi="Cambria"/>
          <w:b w:val="0"/>
          <w:bCs w:val="0"/>
          <w:i w:val="0"/>
          <w:iCs w:val="0"/>
          <w:smallCaps w:val="0"/>
          <w:sz w:val="24"/>
          <w:szCs w:val="24"/>
          <w:rtl w:val="0"/>
        </w:rPr>
        <w:t xml:space="preserve">A system architecture that is both technically functional and structurally aligned with industrial automotive software practices, increasing its reusability and relevance.</w:t>
      </w:r>
    </w:p>
    <w:p w:rsidR="00000000" w:rsidDel="00000000" w:rsidP="00000000" w:rsidRDefault="00000000" w:rsidRPr="00000000" w14:paraId="00000031">
      <w:pPr>
        <w:rPr>
          <w:rFonts w:ascii="Cambria" w:cs="Cambria" w:eastAsia="Cambria" w:hAnsi="Cambria"/>
          <w:b w:val="0"/>
          <w:bCs w:val="0"/>
          <w:i w:val="0"/>
          <w:iCs w:val="0"/>
          <w:smallCaps w:val="0"/>
          <w:sz w:val="24"/>
          <w:szCs w:val="24"/>
        </w:rPr>
      </w:pPr>
      <w:r w:rsidDel="00000000" w:rsidR="00000000" w:rsidRPr="00000000">
        <w:rPr>
          <w:rFonts w:ascii="Cambria" w:cs="Cambria" w:eastAsia="Cambria" w:hAnsi="Cambria"/>
          <w:b w:val="0"/>
          <w:bCs w:val="0"/>
          <w:i w:val="0"/>
          <w:iCs w:val="0"/>
          <w:smallCaps w:val="0"/>
          <w:sz w:val="24"/>
          <w:szCs w:val="24"/>
          <w:rtl w:val="0"/>
        </w:rPr>
        <w:t xml:space="preserve">Taken together, these achievements show that the project has successfully met its objectives and contributed a meaningful step toward more integrated, Digital Twin</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z w:val="24"/>
          <w:szCs w:val="24"/>
          <w:rtl w:val="0"/>
        </w:rPr>
        <w:t xml:space="preserve">based validation of automotive systems. It provides both a concrete platform that can be extended in future work and a methodological example of how to structure, implement, and validate complex automotive simulation environments.</w:t>
      </w:r>
    </w:p>
    <w:p w:rsidR="00000000" w:rsidDel="00000000" w:rsidP="00000000" w:rsidRDefault="00000000" w:rsidRPr="00000000" w14:paraId="00000032">
      <w:pPr>
        <w:rPr>
          <w:rFonts w:ascii="Cambria" w:cs="Cambria" w:eastAsia="Cambria" w:hAnsi="Cambria"/>
          <w:b w:val="1"/>
          <w:bCs w:val="1"/>
          <w:i w:val="0"/>
          <w:iCs w:val="0"/>
          <w:smallCaps w:val="0"/>
          <w:sz w:val="24"/>
          <w:szCs w:val="24"/>
        </w:rPr>
      </w:pPr>
      <w:r w:rsidDel="00000000" w:rsidR="00000000" w:rsidRPr="00000000">
        <w:rPr>
          <w:rFonts w:ascii="Cambria" w:cs="Cambria" w:eastAsia="Cambria" w:hAnsi="Cambria"/>
          <w:b w:val="1"/>
          <w:bCs w:val="1"/>
          <w:i w:val="0"/>
          <w:iCs w:val="0"/>
          <w:smallCaps w:val="0"/>
          <w:sz w:val="24"/>
          <w:szCs w:val="24"/>
          <w:rtl w:val="0"/>
        </w:rPr>
        <w:t xml:space="preserve">Suggested images for 9.2:</w:t>
      </w:r>
    </w:p>
    <w:p w:rsidR="00000000" w:rsidDel="00000000" w:rsidP="00000000" w:rsidRDefault="00000000" w:rsidRPr="00000000" w14:paraId="00000033">
      <w:pPr>
        <w:numPr>
          <w:ilvl w:val="0"/>
          <w:numId w:val="1"/>
        </w:numPr>
        <w:ind w:left="720" w:hanging="360"/>
        <w:rPr>
          <w:rFonts w:ascii="Cambria" w:cs="Cambria" w:eastAsia="Cambria" w:hAnsi="Cambria"/>
          <w:b w:val="0"/>
          <w:bCs w:val="0"/>
          <w:i w:val="0"/>
          <w:iCs w:val="0"/>
          <w:smallCaps w:val="0"/>
          <w:sz w:val="24"/>
          <w:szCs w:val="24"/>
        </w:rPr>
      </w:pPr>
      <w:r w:rsidDel="00000000" w:rsidR="00000000" w:rsidRPr="00000000">
        <w:rPr>
          <w:rFonts w:ascii="Cambria" w:cs="Cambria" w:eastAsia="Cambria" w:hAnsi="Cambria"/>
          <w:b w:val="0"/>
          <w:bCs w:val="0"/>
          <w:i w:val="0"/>
          <w:iCs w:val="0"/>
          <w:smallCaps w:val="0"/>
          <w:sz w:val="24"/>
          <w:szCs w:val="24"/>
          <w:rtl w:val="0"/>
        </w:rPr>
        <w:t xml:space="preserve">Figure 9.4: Bullet</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z w:val="24"/>
          <w:szCs w:val="24"/>
          <w:rtl w:val="0"/>
        </w:rPr>
        <w:t xml:space="preserve">style infographic summarizing the key achievements of the project.</w:t>
      </w:r>
    </w:p>
    <w:p w:rsidR="00000000" w:rsidDel="00000000" w:rsidP="00000000" w:rsidRDefault="00000000" w:rsidRPr="00000000" w14:paraId="00000034">
      <w:pPr>
        <w:numPr>
          <w:ilvl w:val="0"/>
          <w:numId w:val="1"/>
        </w:numPr>
        <w:ind w:left="720" w:hanging="360"/>
        <w:rPr>
          <w:rFonts w:ascii="Cambria" w:cs="Cambria" w:eastAsia="Cambria" w:hAnsi="Cambria"/>
          <w:b w:val="0"/>
          <w:bCs w:val="0"/>
          <w:i w:val="0"/>
          <w:iCs w:val="0"/>
          <w:smallCaps w:val="0"/>
          <w:sz w:val="24"/>
          <w:szCs w:val="24"/>
        </w:rPr>
      </w:pPr>
      <w:r w:rsidDel="00000000" w:rsidR="00000000" w:rsidRPr="00000000">
        <w:rPr>
          <w:rFonts w:ascii="Cambria" w:cs="Cambria" w:eastAsia="Cambria" w:hAnsi="Cambria"/>
          <w:b w:val="0"/>
          <w:bCs w:val="0"/>
          <w:i w:val="0"/>
          <w:iCs w:val="0"/>
          <w:smallCaps w:val="0"/>
          <w:sz w:val="24"/>
          <w:szCs w:val="24"/>
          <w:rtl w:val="0"/>
        </w:rPr>
        <w:t xml:space="preserve">Figure 9.5: Diagram highlighting the SiL → HIL bridge as a central contribution.</w:t>
      </w:r>
    </w:p>
    <w:p w:rsidR="00000000" w:rsidDel="00000000" w:rsidP="00000000" w:rsidRDefault="00000000" w:rsidRPr="00000000" w14:paraId="00000035">
      <w:pPr>
        <w:numPr>
          <w:ilvl w:val="0"/>
          <w:numId w:val="1"/>
        </w:numPr>
        <w:ind w:left="720" w:hanging="360"/>
        <w:rPr>
          <w:rFonts w:ascii="Cambria" w:cs="Cambria" w:eastAsia="Cambria" w:hAnsi="Cambria"/>
          <w:b w:val="0"/>
          <w:bCs w:val="0"/>
          <w:i w:val="0"/>
          <w:iCs w:val="0"/>
          <w:smallCaps w:val="0"/>
          <w:sz w:val="24"/>
          <w:szCs w:val="24"/>
        </w:rPr>
      </w:pPr>
      <w:r w:rsidDel="00000000" w:rsidR="00000000" w:rsidRPr="00000000">
        <w:rPr>
          <w:rFonts w:ascii="Cambria" w:cs="Cambria" w:eastAsia="Cambria" w:hAnsi="Cambria"/>
          <w:b w:val="0"/>
          <w:bCs w:val="0"/>
          <w:i w:val="0"/>
          <w:iCs w:val="0"/>
          <w:smallCaps w:val="0"/>
          <w:sz w:val="24"/>
          <w:szCs w:val="24"/>
          <w:rtl w:val="0"/>
        </w:rPr>
        <w:t xml:space="preserve">Figure 9.6: Illustration mapping each key achievement to a specific thesis objective.</w:t>
      </w:r>
    </w:p>
    <w:sectPr>
      <w:headerReference r:id="rId7" w:type="first"/>
      <w:pgSz w:h="16838" w:w="11906" w:orient="portrait"/>
      <w:pgMar w:bottom="1418" w:top="1418" w:left="1418" w:right="1418" w:header="709" w:footer="85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Arial"/>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before="18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40" w:before="0" w:line="276" w:lineRule="auto"/>
      <w:ind w:left="1602" w:hanging="432"/>
      <w:jc w:val="left"/>
    </w:pPr>
    <w:rPr>
      <w:b w:val="1"/>
      <w:bCs w:val="1"/>
      <w:sz w:val="32"/>
      <w:szCs w:val="32"/>
    </w:rPr>
  </w:style>
  <w:style w:type="paragraph" w:styleId="Heading2">
    <w:name w:val="heading 2"/>
    <w:basedOn w:val="Normal"/>
    <w:next w:val="Normal"/>
    <w:pPr>
      <w:keepNext w:val="1"/>
      <w:spacing w:before="240" w:line="276" w:lineRule="auto"/>
      <w:ind w:left="426" w:hanging="426"/>
      <w:jc w:val="left"/>
    </w:pPr>
    <w:rPr>
      <w:b w:val="1"/>
      <w:bCs w:val="1"/>
      <w:sz w:val="28"/>
      <w:szCs w:val="28"/>
    </w:rPr>
  </w:style>
  <w:style w:type="paragraph" w:styleId="Heading3">
    <w:name w:val="heading 3"/>
    <w:basedOn w:val="Normal"/>
    <w:next w:val="Normal"/>
    <w:pPr>
      <w:keepNext w:val="1"/>
      <w:spacing w:before="240" w:line="276" w:lineRule="auto"/>
      <w:ind w:left="567" w:hanging="567"/>
      <w:jc w:val="left"/>
    </w:pPr>
    <w:rPr>
      <w:b w:val="1"/>
      <w:bCs w:val="1"/>
      <w:sz w:val="26"/>
      <w:szCs w:val="26"/>
    </w:rPr>
  </w:style>
  <w:style w:type="paragraph" w:styleId="Heading4">
    <w:name w:val="heading 4"/>
    <w:basedOn w:val="Normal"/>
    <w:next w:val="Normal"/>
    <w:pPr>
      <w:keepNext w:val="1"/>
      <w:spacing w:line="276" w:lineRule="auto"/>
      <w:ind w:left="864" w:hanging="864"/>
      <w:jc w:val="left"/>
    </w:pPr>
    <w:rPr>
      <w:b w:val="1"/>
      <w:bCs w:val="1"/>
    </w:rPr>
  </w:style>
  <w:style w:type="paragraph" w:styleId="Heading5">
    <w:name w:val="heading 5"/>
    <w:basedOn w:val="Normal"/>
    <w:next w:val="Normal"/>
    <w:pPr>
      <w:spacing w:line="276" w:lineRule="auto"/>
      <w:ind w:left="1008" w:hanging="1008"/>
      <w:jc w:val="left"/>
    </w:pPr>
    <w:rPr>
      <w:b w:val="1"/>
      <w:bCs w:val="1"/>
      <w:i w:val="1"/>
      <w:iCs w:val="1"/>
      <w:sz w:val="22"/>
      <w:szCs w:val="22"/>
    </w:rPr>
  </w:style>
  <w:style w:type="paragraph" w:styleId="Heading6">
    <w:name w:val="heading 6"/>
    <w:basedOn w:val="Normal"/>
    <w:next w:val="Normal"/>
    <w:pPr>
      <w:spacing w:line="276" w:lineRule="auto"/>
      <w:ind w:left="1152" w:hanging="1152"/>
      <w:jc w:val="left"/>
    </w:pPr>
    <w:rPr>
      <w:b w:val="1"/>
      <w:bCs w:val="1"/>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60" w:before="6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UA2DX+YR6+YgKfkBNtxWw3JI4Q==">CgMxLjAyDmgubG9jdGEwbW03b2U3Mg1oLjlpMDQ5YWpyMzMzOAByITFNaXl6SF9kSVJLT2diMEtTamg2TUo2cU1EVnhtOTJwZA==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0x0101000D0F9D61BC598A43AF8403C058E87F7C</vt:lpwstr>
  </property>
  <property fmtid="{D5CDD505-2E9C-101B-9397-08002B2CF9AE}" pid="3" name="Mendeley Recent Style Id 0_1">
    <vt:lpwstr>http://www.zotero.org/styles/american-political-science-association</vt:lpwstr>
  </property>
  <property fmtid="{D5CDD505-2E9C-101B-9397-08002B2CF9AE}" pid="4" name="Mendeley Recent Style Name 0_1">
    <vt:lpwstr>American Political Science Association</vt:lpwstr>
  </property>
  <property fmtid="{D5CDD505-2E9C-101B-9397-08002B2CF9AE}" pid="5" name="Mendeley Recent Style Id 1_1">
    <vt:lpwstr>http://www.zotero.org/styles/american-sociological-association</vt:lpwstr>
  </property>
  <property fmtid="{D5CDD505-2E9C-101B-9397-08002B2CF9AE}" pid="6" name="Mendeley Recent Style Name 1_1">
    <vt:lpwstr>American Sociological Association 6th edition</vt:lpwstr>
  </property>
  <property fmtid="{D5CDD505-2E9C-101B-9397-08002B2CF9AE}" pid="7" name="Mendeley Recent Style Id 2_1">
    <vt:lpwstr>http://www.zotero.org/styles/chicago-author-date</vt:lpwstr>
  </property>
  <property fmtid="{D5CDD505-2E9C-101B-9397-08002B2CF9AE}" pid="8" name="Mendeley Recent Style Name 2_1">
    <vt:lpwstr>Chicago Manual of Style 17th edition (author-date)</vt:lpwstr>
  </property>
  <property fmtid="{D5CDD505-2E9C-101B-9397-08002B2CF9AE}" pid="9" name="Mendeley Recent Style Id 3_1">
    <vt:lpwstr>http://www.zotero.org/styles/harvard-cite-them-right</vt:lpwstr>
  </property>
  <property fmtid="{D5CDD505-2E9C-101B-9397-08002B2CF9AE}" pid="10" name="Mendeley Recent Style Name 3_1">
    <vt:lpwstr>Cite Them Right 10th edition - Harvard</vt:lpwstr>
  </property>
  <property fmtid="{D5CDD505-2E9C-101B-9397-08002B2CF9AE}" pid="11" name="Mendeley Recent Style Id 4_1">
    <vt:lpwstr>http://www.zotero.org/styles/ieee</vt:lpwstr>
  </property>
  <property fmtid="{D5CDD505-2E9C-101B-9397-08002B2CF9AE}" pid="12" name="Mendeley Recent Style Name 4_1">
    <vt:lpwstr>IEEE</vt:lpwstr>
  </property>
  <property fmtid="{D5CDD505-2E9C-101B-9397-08002B2CF9AE}" pid="13" name="Mendeley Recent Style Id 5_1">
    <vt:lpwstr>http://www.zotero.org/styles/international-journal-of-thermal-sciences</vt:lpwstr>
  </property>
  <property fmtid="{D5CDD505-2E9C-101B-9397-08002B2CF9AE}" pid="14" name="Mendeley Recent Style Name 5_1">
    <vt:lpwstr>International Journal of Thermal Sciences</vt:lpwstr>
  </property>
  <property fmtid="{D5CDD505-2E9C-101B-9397-08002B2CF9AE}" pid="15" name="Mendeley Recent Style Id 6_1">
    <vt:lpwstr>http://www.zotero.org/styles/renewable-energy</vt:lpwstr>
  </property>
  <property fmtid="{D5CDD505-2E9C-101B-9397-08002B2CF9AE}" pid="16" name="Mendeley Recent Style Name 6_1">
    <vt:lpwstr>Renewable Energy</vt:lpwstr>
  </property>
  <property fmtid="{D5CDD505-2E9C-101B-9397-08002B2CF9AE}" pid="17" name="Mendeley Recent Style Id 7_1">
    <vt:lpwstr>http://www.zotero.org/styles/renewable-and-sustainable-energy-reviews</vt:lpwstr>
  </property>
  <property fmtid="{D5CDD505-2E9C-101B-9397-08002B2CF9AE}" pid="18" name="Mendeley Recent Style Name 7_1">
    <vt:lpwstr>Renewable and Sustainable Energy Reviews</vt:lpwstr>
  </property>
  <property fmtid="{D5CDD505-2E9C-101B-9397-08002B2CF9AE}" pid="19" name="Mendeley Recent Style Id 8_1">
    <vt:lpwstr>http://www.zotero.org/styles/solar-energy</vt:lpwstr>
  </property>
  <property fmtid="{D5CDD505-2E9C-101B-9397-08002B2CF9AE}" pid="20" name="Mendeley Recent Style Name 8_1">
    <vt:lpwstr>Solar Energy</vt:lpwstr>
  </property>
  <property fmtid="{D5CDD505-2E9C-101B-9397-08002B2CF9AE}" pid="21" name="Mendeley Recent Style Id 9_1">
    <vt:lpwstr>http://www.zotero.org/styles/sustainable-energy-technologies-and-assessments</vt:lpwstr>
  </property>
  <property fmtid="{D5CDD505-2E9C-101B-9397-08002B2CF9AE}" pid="22" name="Mendeley Recent Style Name 9_1">
    <vt:lpwstr>Sustainable Energy Technologies and Assessments</vt:lpwstr>
  </property>
  <property fmtid="{D5CDD505-2E9C-101B-9397-08002B2CF9AE}" pid="23" name="Mendeley Document_1">
    <vt:lpwstr>True</vt:lpwstr>
  </property>
  <property fmtid="{D5CDD505-2E9C-101B-9397-08002B2CF9AE}" pid="24" name="Mendeley Unique User Id_1">
    <vt:lpwstr>eaae8243-2b41-31b5-97a4-b9790a61f52e</vt:lpwstr>
  </property>
  <property fmtid="{D5CDD505-2E9C-101B-9397-08002B2CF9AE}" pid="25" name="Mendeley Citation Style_1">
    <vt:lpwstr>http://www.zotero.org/styles/harvard1</vt:lpwstr>
  </property>
</Properties>
</file>