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MERIDIAN TRUST BANK</w:t>
      </w:r>
    </w:p>
    <w:p>
      <w:pPr>
        <w:pStyle w:val="BodyText"/>
      </w:pPr>
      <w:r>
        <w:rPr>
          <w:b/>
          <w:bCs/>
        </w:rPr>
        <w:t xml:space="preserve">KNOWLEDGE BASE: PRODUCT &amp; TECHNICAL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KB-PROD-01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20/5/2026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Retail Operations &amp; Customer Service</w:t>
            </w:r>
          </w:p>
        </w:tc>
      </w:tr>
    </w:tbl>
    <w:p>
      <w:pPr>
        <w:pStyle w:val="BodyText"/>
      </w:pPr>
      <w:r>
        <w:t xml:space="preserve">Reference facts for claim validation. Contains no compliance rules and no procedural steps. Use to verify agent-stated facts against ground truth. Rules live in POLICY_01..03; procedures live in SOP_01..05.</w:t>
      </w:r>
    </w:p>
    <w:bookmarkStart w:id="13" w:name="deposit-products"/>
    <w:p>
      <w:pPr>
        <w:pStyle w:val="Heading2"/>
      </w:pPr>
      <w:r>
        <w:t xml:space="preserve">1. Deposit Products</w:t>
      </w:r>
    </w:p>
    <w:bookmarkStart w:id="9" w:name="checking-accounts"/>
    <w:p>
      <w:pPr>
        <w:pStyle w:val="Heading3"/>
      </w:pPr>
      <w:r>
        <w:t xml:space="preserve">1.1 Checking Accounts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Monthly Fee</w:t>
            </w:r>
          </w:p>
        </w:tc>
        <w:tc>
          <w:tcPr/>
          <w:p>
            <w:pPr>
              <w:pStyle w:val="Compact"/>
            </w:pPr>
            <w:r>
              <w:t xml:space="preserve">Minimum to Avoid Fee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Essentials Checking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n/a (no minimum)</w:t>
            </w:r>
          </w:p>
        </w:tc>
        <w:tc>
          <w:tcPr/>
          <w:p>
            <w:pPr>
              <w:pStyle w:val="Compact"/>
            </w:pPr>
            <w:r>
              <w:t xml:space="preserve">No-fee everyday account. Free overdraft transfer if linked.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Checking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$5,000 average daily balance</w:t>
            </w:r>
          </w:p>
        </w:tc>
        <w:tc>
          <w:tcPr/>
          <w:p>
            <w:pPr>
              <w:pStyle w:val="Compact"/>
            </w:pPr>
            <w:r>
              <w:t xml:space="preserve">Includes fee-free out-of-network ATM access nationwide.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Operating Checking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$10,000 ADB</w:t>
            </w:r>
          </w:p>
        </w:tc>
        <w:tc>
          <w:tcPr/>
          <w:p>
            <w:pPr>
              <w:pStyle w:val="Compact"/>
            </w:pPr>
            <w:r>
              <w:t xml:space="preserve">First 200 monthly transactions included; $0.40 each above.</w:t>
            </w:r>
          </w:p>
        </w:tc>
      </w:tr>
    </w:tbl>
    <w:bookmarkEnd w:id="9"/>
    <w:bookmarkStart w:id="10" w:name="savings-money-market"/>
    <w:p>
      <w:pPr>
        <w:pStyle w:val="Heading3"/>
      </w:pPr>
      <w:r>
        <w:t xml:space="preserve">1.2 Savings &amp; Money Market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Current APY</w:t>
            </w:r>
          </w:p>
        </w:tc>
        <w:tc>
          <w:tcPr/>
          <w:p>
            <w:pPr>
              <w:pStyle w:val="Compact"/>
            </w:pPr>
            <w:r>
              <w:t xml:space="preserve">Minimum to Earn APY</w:t>
            </w:r>
          </w:p>
        </w:tc>
        <w:tc>
          <w:tcPr/>
          <w:p>
            <w:pPr>
              <w:pStyle w:val="Compact"/>
            </w:pPr>
            <w:r>
              <w:t xml:space="preserve">Compounding</w:t>
            </w:r>
          </w:p>
        </w:tc>
        <w:tc>
          <w:tcPr/>
          <w:p>
            <w:pPr>
              <w:pStyle w:val="Compact"/>
            </w:pPr>
            <w:r>
              <w:t xml:space="preserve">Monthly 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High-Yield Savings (HYSA)</w:t>
            </w:r>
          </w:p>
        </w:tc>
        <w:tc>
          <w:tcPr/>
          <w:p>
            <w:pPr>
              <w:pStyle w:val="Compact"/>
            </w:pPr>
            <w:r>
              <w:t xml:space="preserve">4.35%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Daily, credited monthly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Savings</w:t>
            </w:r>
          </w:p>
        </w:tc>
        <w:tc>
          <w:tcPr/>
          <w:p>
            <w:pPr>
              <w:pStyle w:val="Compact"/>
            </w:pPr>
            <w:r>
              <w:t xml:space="preserve">0.50%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Daily, credited monthly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 Market</w:t>
            </w:r>
          </w:p>
        </w:tc>
        <w:tc>
          <w:tcPr/>
          <w:p>
            <w:pPr>
              <w:pStyle w:val="Compact"/>
            </w:pPr>
            <w:r>
              <w:t xml:space="preserve">4.10%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  <w:tc>
          <w:tcPr/>
          <w:p>
            <w:pPr>
              <w:pStyle w:val="Compact"/>
            </w:pPr>
            <w:r>
              <w:t xml:space="preserve">Daily, credited monthly</w:t>
            </w:r>
          </w:p>
        </w:tc>
        <w:tc>
          <w:tcPr/>
          <w:p>
            <w:pPr>
              <w:pStyle w:val="Compact"/>
            </w:pPr>
            <w:r>
              <w:t xml:space="preserve">$0 above minimum</w:t>
            </w:r>
          </w:p>
        </w:tc>
      </w:tr>
    </w:tbl>
    <w:p>
      <w:pPr>
        <w:pStyle w:val="BodyText"/>
      </w:pPr>
      <w:r>
        <w:t xml:space="preserve">Variable-rate products. Rate changes are disclosed per Regulation DD.</w:t>
      </w:r>
    </w:p>
    <w:bookmarkEnd w:id="10"/>
    <w:bookmarkStart w:id="11" w:name="certificates-of-deposit-cd-ladder"/>
    <w:p>
      <w:pPr>
        <w:pStyle w:val="Heading3"/>
      </w:pPr>
      <w:r>
        <w:t xml:space="preserve">1.3 Certificates of Deposit (CD Ladder)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Standard APY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Early-Withdrawal 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months</w:t>
            </w:r>
          </w:p>
        </w:tc>
        <w:tc>
          <w:tcPr/>
          <w:p>
            <w:pPr>
              <w:pStyle w:val="Compact"/>
            </w:pPr>
            <w:r>
              <w:t xml:space="preserve">4.00%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90 days of interest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t xml:space="preserve">4.55%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180 days of interest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4.75%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365 days of interest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 months</w:t>
            </w:r>
          </w:p>
        </w:tc>
        <w:tc>
          <w:tcPr/>
          <w:p>
            <w:pPr>
              <w:pStyle w:val="Compact"/>
            </w:pPr>
            <w:r>
              <w:t xml:space="preserve">4.80%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365 days of interest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months</w:t>
            </w:r>
          </w:p>
        </w:tc>
        <w:tc>
          <w:tcPr/>
          <w:p>
            <w:pPr>
              <w:pStyle w:val="Compact"/>
            </w:pPr>
            <w:r>
              <w:t xml:space="preserve">4.85%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545 days of interest</w:t>
            </w:r>
          </w:p>
        </w:tc>
      </w:tr>
    </w:tbl>
    <w:bookmarkEnd w:id="11"/>
    <w:bookmarkStart w:id="12" w:name="withdrawal-limits-fees"/>
    <w:p>
      <w:pPr>
        <w:pStyle w:val="Heading3"/>
      </w:pPr>
      <w:r>
        <w:t xml:space="preserve">1.4 Withdrawal Limits &amp; Fees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Limit / 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HYSA convenience withdrawals</w:t>
            </w:r>
          </w:p>
        </w:tc>
        <w:tc>
          <w:tcPr/>
          <w:p>
            <w:pPr>
              <w:pStyle w:val="Compact"/>
            </w:pPr>
            <w:r>
              <w:t xml:space="preserve">6 per month free; $10 per item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Overdraft fee</w:t>
            </w:r>
          </w:p>
        </w:tc>
        <w:tc>
          <w:tcPr/>
          <w:p>
            <w:pPr>
              <w:pStyle w:val="Compact"/>
            </w:pPr>
            <w:r>
              <w:t xml:space="preserve">$77 per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Overdraft transfer fee (linked account)</w:t>
            </w:r>
          </w:p>
        </w:tc>
        <w:tc>
          <w:tcPr/>
          <w:p>
            <w:pPr>
              <w:pStyle w:val="Compact"/>
            </w:pPr>
            <w:r>
              <w:t xml:space="preserve">$12 per occurrence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transaction fee</w:t>
            </w:r>
          </w:p>
        </w:tc>
        <w:tc>
          <w:tcPr/>
          <w:p>
            <w:pPr>
              <w:pStyle w:val="Compact"/>
            </w:pPr>
            <w:r>
              <w:t xml:space="preserve">3% of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Out-of-network ATM fee</w:t>
            </w:r>
          </w:p>
        </w:tc>
        <w:tc>
          <w:tcPr/>
          <w:p>
            <w:pPr>
              <w:pStyle w:val="Compact"/>
            </w:pPr>
            <w:r>
              <w:t xml:space="preserve">$3 (waived on Premium Checking)</w:t>
            </w:r>
          </w:p>
        </w:tc>
      </w:tr>
    </w:tbl>
    <w:bookmarkEnd w:id="12"/>
    <w:bookmarkEnd w:id="13"/>
    <w:bookmarkStart w:id="17" w:name="cards-payments"/>
    <w:p>
      <w:pPr>
        <w:pStyle w:val="Heading2"/>
      </w:pPr>
      <w:r>
        <w:t xml:space="preserve">2. Cards &amp; Payments</w:t>
      </w:r>
    </w:p>
    <w:bookmarkStart w:id="14" w:name="debit-cards"/>
    <w:p>
      <w:pPr>
        <w:pStyle w:val="Heading3"/>
      </w:pPr>
      <w:r>
        <w:t xml:space="preserve">2.1 Debit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Visa Debit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Contactless</w:t>
            </w:r>
          </w:p>
        </w:tc>
        <w:tc>
          <w:tcPr/>
          <w:p>
            <w:pPr>
              <w:pStyle w:val="Compact"/>
            </w:pPr>
            <w:r>
              <w:t xml:space="preserve">Yes (tap-to-pay)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replacement time</w:t>
            </w:r>
          </w:p>
        </w:tc>
        <w:tc>
          <w:tcPr/>
          <w:p>
            <w:pPr>
              <w:pStyle w:val="Compact"/>
            </w:pPr>
            <w:r>
              <w:t xml:space="preserve">3-5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Expedited replacement (fee waived for fraud)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ATM withdrawal limit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POS / signature limit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</w:tbl>
    <w:bookmarkEnd w:id="14"/>
    <w:bookmarkStart w:id="15" w:name="zelle-ach-same-day-ach"/>
    <w:p>
      <w:pPr>
        <w:pStyle w:val="Heading3"/>
      </w:pPr>
      <w:r>
        <w:t xml:space="preserve">2.2 Zelle, ACH, Same-Day ACH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Daily Limit</w:t>
            </w:r>
          </w:p>
        </w:tc>
        <w:tc>
          <w:tcPr/>
          <w:p>
            <w:pPr>
              <w:pStyle w:val="Compact"/>
            </w:pPr>
            <w:r>
              <w:t xml:space="preserve">Weekly Limit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Zelle (consumer)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  <w:tc>
          <w:tcPr/>
          <w:p>
            <w:pPr>
              <w:pStyle w:val="Compact"/>
            </w:pPr>
            <w:r>
              <w:t xml:space="preserve">Free; instant when both sides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Zelle (business)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$20,000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ACH</w:t>
            </w:r>
          </w:p>
        </w:tc>
        <w:tc>
          <w:tcPr/>
          <w:p>
            <w:pPr>
              <w:pStyle w:val="Compact"/>
            </w:pPr>
            <w:r>
              <w:t xml:space="preserve">$25,000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  <w:tc>
          <w:tcPr/>
          <w:p>
            <w:pPr>
              <w:pStyle w:val="Compact"/>
            </w:pPr>
            <w:r>
              <w:t xml:space="preserve">Free; T+1 settlement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Same-Day ACH</w:t>
            </w:r>
          </w:p>
        </w:tc>
        <w:tc>
          <w:tcPr/>
          <w:p>
            <w:pPr>
              <w:pStyle w:val="Compact"/>
            </w:pPr>
            <w:r>
              <w:t xml:space="preserve">$25,000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  <w:tc>
          <w:tcPr/>
          <w:p>
            <w:pPr>
              <w:pStyle w:val="Compact"/>
            </w:pPr>
            <w:r>
              <w:t xml:space="preserve">$5 fee; same-business-day settlement</w:t>
            </w:r>
          </w:p>
        </w:tc>
      </w:tr>
    </w:tbl>
    <w:bookmarkEnd w:id="15"/>
    <w:bookmarkStart w:id="16" w:name="wire-transfers"/>
    <w:p>
      <w:pPr>
        <w:pStyle w:val="Heading3"/>
      </w:pPr>
      <w:r>
        <w:t xml:space="preserve">2.3 Wire Transfers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Wire Type</w:t>
            </w:r>
          </w:p>
        </w:tc>
        <w:tc>
          <w:tcPr/>
          <w:p>
            <w:pPr>
              <w:pStyle w:val="Compact"/>
            </w:pPr>
            <w:r>
              <w:t xml:space="preserve">Fee</w:t>
            </w:r>
          </w:p>
        </w:tc>
        <w:tc>
          <w:tcPr/>
          <w:p>
            <w:pPr>
              <w:pStyle w:val="Compact"/>
            </w:pPr>
            <w:r>
              <w:t xml:space="preserve">Settlement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Domestic outbound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Same-day if sent before 5:00 PM Eastern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Domestic inbound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Same-day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 outbound</w:t>
            </w:r>
          </w:p>
        </w:tc>
        <w:tc>
          <w:tcPr/>
          <w:p>
            <w:pPr>
              <w:pStyle w:val="Compact"/>
            </w:pPr>
            <w:r>
              <w:t xml:space="preserve">$45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 inbound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 recall attempt (fraud)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Best-effort within ~24 hours of send</w:t>
            </w:r>
          </w:p>
        </w:tc>
      </w:tr>
    </w:tbl>
    <w:bookmarkEnd w:id="16"/>
    <w:bookmarkEnd w:id="17"/>
    <w:bookmarkStart w:id="21" w:name="loan-products-catalog-only-no-rates"/>
    <w:p>
      <w:pPr>
        <w:pStyle w:val="Heading2"/>
      </w:pPr>
      <w:r>
        <w:t xml:space="preserve">3. Loan Products (Catalog Only — No Rates)</w:t>
      </w:r>
    </w:p>
    <w:p>
      <w:pPr>
        <w:pStyle w:val="FirstParagraph"/>
      </w:pPr>
      <w:r>
        <w:t xml:space="preserve">Per Regulation Z (TILA), specific rates are never quoted from memory or in this reference. They are issued on a Loan Estimate within 3 business days of a completed application.</w:t>
      </w:r>
    </w:p>
    <w:bookmarkStart w:id="18" w:name="auto-loans"/>
    <w:p>
      <w:pPr>
        <w:pStyle w:val="Heading3"/>
      </w:pPr>
      <w:r>
        <w:t xml:space="preserve">3.1 Auto Loans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terms</w:t>
            </w:r>
          </w:p>
        </w:tc>
        <w:tc>
          <w:tcPr/>
          <w:p>
            <w:pPr>
              <w:pStyle w:val="Compact"/>
            </w:pPr>
            <w:r>
              <w:t xml:space="preserve">36 / 48 / 60 / 72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types</w:t>
            </w:r>
          </w:p>
        </w:tc>
        <w:tc>
          <w:tcPr/>
          <w:p>
            <w:pPr>
              <w:pStyle w:val="Compact"/>
            </w:pPr>
            <w:r>
              <w:t xml:space="preserve">New, used (model year within last 7), refinance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 payment</w:t>
            </w:r>
          </w:p>
        </w:tc>
        <w:tc>
          <w:tcPr/>
          <w:p>
            <w:pPr>
              <w:pStyle w:val="Compact"/>
            </w:pPr>
            <w:r>
              <w:t xml:space="preserve">Not required; affects 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</w:t>
            </w:r>
          </w:p>
        </w:tc>
        <w:tc>
          <w:tcPr/>
          <w:p>
            <w:pPr>
              <w:pStyle w:val="Compact"/>
            </w:pPr>
            <w:r>
              <w:t xml:space="preserve">0.25% off note rate with Meridian auto-pay</w:t>
            </w:r>
          </w:p>
        </w:tc>
      </w:tr>
    </w:tbl>
    <w:bookmarkEnd w:id="18"/>
    <w:bookmarkStart w:id="19" w:name="mortgages"/>
    <w:p>
      <w:pPr>
        <w:pStyle w:val="Heading3"/>
      </w:pPr>
      <w:r>
        <w:t xml:space="preserve">3.2 Mortgages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Loan types offered</w:t>
            </w:r>
          </w:p>
        </w:tc>
        <w:tc>
          <w:tcPr/>
          <w:p>
            <w:pPr>
              <w:pStyle w:val="Compact"/>
            </w:pPr>
            <w:r>
              <w:t xml:space="preserve">Conforming fixed-rate (15/20/30 yr), 5/6 ARM, jumbo, FHA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pricing threshold</w:t>
            </w:r>
          </w:p>
        </w:tc>
        <w:tc>
          <w:tcPr/>
          <w:p>
            <w:pPr>
              <w:pStyle w:val="Compact"/>
            </w:pPr>
            <w:r>
              <w:t xml:space="preserve">Loan-to-value at or below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for application</w:t>
            </w:r>
          </w:p>
        </w:tc>
        <w:tc>
          <w:tcPr/>
          <w:p>
            <w:pPr>
              <w:pStyle w:val="Compact"/>
            </w:pPr>
            <w:r>
              <w:t xml:space="preserve">Six Reg Z items (legal name, income, SSN, property address, est. property value, loan amount)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Loan Estimate delivery</w:t>
            </w:r>
          </w:p>
        </w:tc>
        <w:tc>
          <w:tcPr/>
          <w:p>
            <w:pPr>
              <w:pStyle w:val="Compact"/>
            </w:pPr>
            <w:r>
              <w:t xml:space="preserve">Within 3 business days of complete application</w:t>
            </w:r>
          </w:p>
        </w:tc>
      </w:tr>
    </w:tbl>
    <w:bookmarkEnd w:id="19"/>
    <w:bookmarkStart w:id="20" w:name="small-business-equipment-loans"/>
    <w:p>
      <w:pPr>
        <w:pStyle w:val="Heading3"/>
      </w:pPr>
      <w:r>
        <w:t xml:space="preserve">3.3 Small Business Equipment Loans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Eligible borrowers</w:t>
            </w:r>
          </w:p>
        </w:tc>
        <w:tc>
          <w:tcPr/>
          <w:p>
            <w:pPr>
              <w:pStyle w:val="Compact"/>
            </w:pPr>
            <w:r>
              <w:t xml:space="preserve">Existing Meridian business customers (control person verified)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terms</w:t>
            </w:r>
          </w:p>
        </w:tc>
        <w:tc>
          <w:tcPr/>
          <w:p>
            <w:pPr>
              <w:pStyle w:val="Compact"/>
            </w:pPr>
            <w:r>
              <w:t xml:space="preserve">24 / 36 / 48 / 60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 required</w:t>
            </w:r>
          </w:p>
        </w:tc>
        <w:tc>
          <w:tcPr/>
          <w:p>
            <w:pPr>
              <w:pStyle w:val="Compact"/>
            </w:pPr>
            <w:r>
              <w:t xml:space="preserve">2 years of business tax returns, YTD P&amp;L, 2 months bank statements, balance sheet, vendor invoice, personal financial statement (single-member LLCs)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guarantee</w:t>
            </w:r>
          </w:p>
        </w:tc>
        <w:tc>
          <w:tcPr/>
          <w:p>
            <w:pPr>
              <w:pStyle w:val="Compact"/>
            </w:pPr>
            <w:r>
              <w:t xml:space="preserve">Required on single-member LLCs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method for self-employed</w:t>
            </w:r>
          </w:p>
        </w:tc>
        <w:tc>
          <w:tcPr/>
          <w:p>
            <w:pPr>
              <w:pStyle w:val="Compact"/>
            </w:pPr>
            <w:r>
              <w:t xml:space="preserve">Add-back analysis on tax returns (depreciation, home office)</w:t>
            </w:r>
          </w:p>
        </w:tc>
      </w:tr>
    </w:tbl>
    <w:bookmarkEnd w:id="20"/>
    <w:bookmarkEnd w:id="21"/>
    <w:bookmarkStart w:id="26" w:name="verification-security"/>
    <w:p>
      <w:pPr>
        <w:pStyle w:val="Heading2"/>
      </w:pPr>
      <w:r>
        <w:t xml:space="preserve">4. Verification &amp; Security</w:t>
      </w:r>
    </w:p>
    <w:bookmarkStart w:id="22" w:name="X3930281455050358bee7a84513ac586e20e775e"/>
    <w:p>
      <w:pPr>
        <w:pStyle w:val="Heading3"/>
      </w:pPr>
      <w:r>
        <w:t xml:space="preserve">4.1 Customer Identification Program (CIP) — Personal</w:t>
      </w:r>
    </w:p>
    <w:p>
      <w:pPr>
        <w:pStyle w:val="FirstParagraph"/>
      </w:pPr>
      <w:r>
        <w:t xml:space="preserve">Required identifiers for new account opening:</w:t>
      </w:r>
    </w:p>
    <w:p>
      <w:pPr>
        <w:pStyle w:val="Compact"/>
        <w:numPr>
          <w:ilvl w:val="0"/>
          <w:numId w:val="1001"/>
        </w:numPr>
      </w:pPr>
      <w:r>
        <w:t xml:space="preserve">Full legal name (as on government-issued ID)</w:t>
      </w:r>
    </w:p>
    <w:p>
      <w:pPr>
        <w:pStyle w:val="Compact"/>
        <w:numPr>
          <w:ilvl w:val="0"/>
          <w:numId w:val="1001"/>
        </w:numPr>
      </w:pPr>
      <w:r>
        <w:t xml:space="preserve">Date of birth</w:t>
      </w:r>
    </w:p>
    <w:p>
      <w:pPr>
        <w:pStyle w:val="Compact"/>
        <w:numPr>
          <w:ilvl w:val="0"/>
          <w:numId w:val="1001"/>
        </w:numPr>
      </w:pPr>
      <w:r>
        <w:t xml:space="preserve">Physical residential address (not a PO Box)</w:t>
      </w:r>
    </w:p>
    <w:p>
      <w:pPr>
        <w:pStyle w:val="Compact"/>
        <w:numPr>
          <w:ilvl w:val="0"/>
          <w:numId w:val="1001"/>
        </w:numPr>
      </w:pPr>
      <w:r>
        <w:t xml:space="preserve">Social Security Number or Tax ID</w:t>
      </w:r>
    </w:p>
    <w:p>
      <w:pPr>
        <w:pStyle w:val="Compact"/>
        <w:numPr>
          <w:ilvl w:val="0"/>
          <w:numId w:val="1001"/>
        </w:numPr>
      </w:pPr>
      <w:r>
        <w:t xml:space="preserve">Government-issued ID (type, number, issuing state, expiration)</w:t>
      </w:r>
    </w:p>
    <w:bookmarkEnd w:id="22"/>
    <w:bookmarkStart w:id="23" w:name="standard-3-of-5-verification"/>
    <w:p>
      <w:pPr>
        <w:pStyle w:val="Heading3"/>
      </w:pPr>
      <w:r>
        <w:t xml:space="preserve">4.2 Standard 3-of-5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number</w:t>
            </w:r>
          </w:p>
        </w:tc>
        <w:tc>
          <w:tcPr/>
          <w:p>
            <w:pPr>
              <w:pStyle w:val="Compact"/>
            </w:pPr>
            <w:r>
              <w:t xml:space="preserve">All account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of birth</w:t>
            </w:r>
          </w:p>
        </w:tc>
        <w:tc>
          <w:tcPr/>
          <w:p>
            <w:pPr>
              <w:pStyle w:val="Compact"/>
            </w:pPr>
            <w:r>
              <w:t xml:space="preserve">Standard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four of Social Security Number</w:t>
            </w:r>
          </w:p>
        </w:tc>
        <w:tc>
          <w:tcPr/>
          <w:p>
            <w:pPr>
              <w:pStyle w:val="Compact"/>
            </w:pPr>
            <w:r>
              <w:t xml:space="preserve">Standard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legal name</w:t>
            </w:r>
          </w:p>
        </w:tc>
        <w:tc>
          <w:tcPr/>
          <w:p>
            <w:pPr>
              <w:pStyle w:val="Compact"/>
            </w:pPr>
            <w:r>
              <w:t xml:space="preserve">Standard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challenge phrase</w:t>
            </w:r>
          </w:p>
        </w:tc>
        <w:tc>
          <w:tcPr/>
          <w:p>
            <w:pPr>
              <w:pStyle w:val="Compact"/>
            </w:pPr>
            <w:r>
              <w:t xml:space="preserve">Standard or Enhanced</w:t>
            </w:r>
          </w:p>
        </w:tc>
      </w:tr>
    </w:tbl>
    <w:bookmarkEnd w:id="23"/>
    <w:bookmarkStart w:id="24" w:name="Xad4ea72133cbfc04c89d55478b5ef238055b254"/>
    <w:p>
      <w:pPr>
        <w:pStyle w:val="Heading3"/>
      </w:pPr>
      <w:r>
        <w:t xml:space="preserve">4.3 Enhanced Verification (Wire, Account Recovery, High-Risk)</w:t>
      </w:r>
    </w:p>
    <w:p>
      <w:pPr>
        <w:pStyle w:val="FirstParagraph"/>
      </w:pPr>
      <w:r>
        <w:t xml:space="preserve">Adds to standard 3-of-5:</w:t>
      </w:r>
    </w:p>
    <w:p>
      <w:pPr>
        <w:pStyle w:val="Compact"/>
        <w:numPr>
          <w:ilvl w:val="0"/>
          <w:numId w:val="1002"/>
        </w:numPr>
      </w:pPr>
      <w:r>
        <w:t xml:space="preserve">Full 5-of-5 identifier match</w:t>
      </w:r>
    </w:p>
    <w:p>
      <w:pPr>
        <w:pStyle w:val="Compact"/>
        <w:numPr>
          <w:ilvl w:val="0"/>
          <w:numId w:val="1002"/>
        </w:numPr>
      </w:pPr>
      <w:r>
        <w:t xml:space="preserve">Callback to phone number on file with a one-time code</w:t>
      </w:r>
    </w:p>
    <w:bookmarkEnd w:id="24"/>
    <w:bookmarkStart w:id="25" w:name="ofac-screening"/>
    <w:p>
      <w:pPr>
        <w:pStyle w:val="Heading3"/>
      </w:pPr>
      <w:r>
        <w:t xml:space="preserve">4.4 OFAC Screening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source</w:t>
            </w:r>
          </w:p>
        </w:tc>
        <w:tc>
          <w:tcPr/>
          <w:p>
            <w:pPr>
              <w:pStyle w:val="Compact"/>
            </w:pPr>
            <w:r>
              <w:t xml:space="preserve">OFAC Specially Designated Nationals (SDN)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run</w:t>
            </w:r>
          </w:p>
        </w:tc>
        <w:tc>
          <w:tcPr/>
          <w:p>
            <w:pPr>
              <w:pStyle w:val="Compact"/>
            </w:pPr>
            <w:r>
              <w:t xml:space="preserve">New account opening, all wires (sender and beneficiary)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on hit</w:t>
            </w:r>
          </w:p>
        </w:tc>
        <w:tc>
          <w:tcPr/>
          <w:p>
            <w:pPr>
              <w:pStyle w:val="Compact"/>
            </w:pPr>
            <w:r>
              <w:t xml:space="preserve">Stop transaction; escalate to BSA Officer; tell customer</w:t>
            </w:r>
            <w:r>
              <w:t xml:space="preserve"> </w:t>
            </w:r>
            <w:r>
              <w:t xml:space="preserve">“under additional review”</w:t>
            </w:r>
          </w:p>
        </w:tc>
      </w:tr>
    </w:tbl>
    <w:bookmarkEnd w:id="25"/>
    <w:bookmarkEnd w:id="26"/>
    <w:bookmarkStart w:id="27" w:name="regulatory-thresholds-facts-not-rules"/>
    <w:p>
      <w:pPr>
        <w:pStyle w:val="Heading2"/>
      </w:pPr>
      <w:r>
        <w:t xml:space="preserve">5. Regulatory Thresholds (Facts, Not Rules)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 Transaction Report (CTR)</w:t>
            </w:r>
          </w:p>
        </w:tc>
        <w:tc>
          <w:tcPr/>
          <w:p>
            <w:pPr>
              <w:pStyle w:val="Compact"/>
            </w:pPr>
            <w:r>
              <w:t xml:space="preserve">Cash &gt; $10,000 in one business day</w:t>
            </w:r>
          </w:p>
        </w:tc>
        <w:tc>
          <w:tcPr/>
          <w:p>
            <w:pPr>
              <w:pStyle w:val="Compact"/>
            </w:pPr>
            <w:r>
              <w:t xml:space="preserve">Filed by Operations on IRS Form 8300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Regulation E claim window</w:t>
            </w:r>
          </w:p>
        </w:tc>
        <w:tc>
          <w:tcPr/>
          <w:p>
            <w:pPr>
              <w:pStyle w:val="Compact"/>
            </w:pPr>
            <w:r>
              <w:t xml:space="preserve">60 days from statement date</w:t>
            </w:r>
          </w:p>
        </w:tc>
        <w:tc>
          <w:tcPr/>
          <w:p>
            <w:pPr>
              <w:pStyle w:val="Compact"/>
            </w:pPr>
            <w:r>
              <w:t xml:space="preserve">Customer’s most-protective rights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 E provisional credit timeline</w:t>
            </w:r>
          </w:p>
        </w:tc>
        <w:tc>
          <w:tcPr/>
          <w:p>
            <w:pPr>
              <w:pStyle w:val="Compact"/>
            </w:pPr>
            <w:r>
              <w:t xml:space="preserve">10 business days for written determination</w:t>
            </w:r>
          </w:p>
        </w:tc>
        <w:tc>
          <w:tcPr/>
          <w:p>
            <w:pPr>
              <w:pStyle w:val="Compact"/>
            </w:pPr>
            <w:r>
              <w:t xml:space="preserve">May extend to 45 days for foreign or new-account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 confidentiality</w:t>
            </w:r>
          </w:p>
        </w:tc>
        <w:tc>
          <w:tcPr/>
          <w:p>
            <w:pPr>
              <w:pStyle w:val="Compact"/>
            </w:pPr>
            <w:r>
              <w:t xml:space="preserve">Permanent — even after account closes</w:t>
            </w:r>
          </w:p>
        </w:tc>
        <w:tc>
          <w:tcPr/>
          <w:p>
            <w:pPr>
              <w:pStyle w:val="Compact"/>
            </w:pPr>
            <w:r>
              <w:t xml:space="preserve">Customer never told a SAR was filed or considered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 DD disclosure</w:t>
            </w:r>
          </w:p>
        </w:tc>
        <w:tc>
          <w:tcPr/>
          <w:p>
            <w:pPr>
              <w:pStyle w:val="Compact"/>
            </w:pPr>
            <w:r>
              <w:t xml:space="preserve">Required before any deposit is accepted</w:t>
            </w:r>
          </w:p>
        </w:tc>
        <w:tc>
          <w:tcPr/>
          <w:p>
            <w:pPr>
              <w:pStyle w:val="Compact"/>
            </w:pPr>
            <w:r>
              <w:t xml:space="preserve">All six TIS items + acknowledgement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 Z Loan Estimate</w:t>
            </w:r>
          </w:p>
        </w:tc>
        <w:tc>
          <w:tcPr/>
          <w:p>
            <w:pPr>
              <w:pStyle w:val="Compact"/>
            </w:pPr>
            <w:r>
              <w:t xml:space="preserve">Within 3 business days of complete application</w:t>
            </w:r>
          </w:p>
        </w:tc>
        <w:tc>
          <w:tcPr/>
          <w:p>
            <w:pPr>
              <w:pStyle w:val="Compact"/>
            </w:pPr>
            <w:r>
              <w:t xml:space="preserve">Tied to specific borrower + property</w:t>
            </w:r>
          </w:p>
        </w:tc>
      </w:tr>
    </w:tbl>
    <w:bookmarkEnd w:id="27"/>
    <w:bookmarkStart w:id="28" w:name="authority-ticket-slas"/>
    <w:p>
      <w:pPr>
        <w:pStyle w:val="Heading2"/>
      </w:pPr>
      <w:r>
        <w:t xml:space="preserve">6. Authority &amp; Ticket SLAs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Banker fee-waiver / courtesy credit cap (single call)</w:t>
            </w:r>
          </w:p>
        </w:tc>
        <w:tc>
          <w:tcPr/>
          <w:p>
            <w:pPr>
              <w:pStyle w:val="Compact"/>
            </w:pPr>
            <w:r>
              <w:t xml:space="preserve">$250 per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Banker provisional credit cap (Reg E single call)</w:t>
            </w:r>
          </w:p>
        </w:tc>
        <w:tc>
          <w:tcPr/>
          <w:p>
            <w:pPr>
              <w:pStyle w:val="Compact"/>
            </w:pPr>
            <w:r>
              <w:t xml:space="preserve">$500 per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Courtesy credit frequency limit</w:t>
            </w:r>
          </w:p>
        </w:tc>
        <w:tc>
          <w:tcPr/>
          <w:p>
            <w:pPr>
              <w:pStyle w:val="Compact"/>
            </w:pPr>
            <w:r>
              <w:t xml:space="preserve">1 per account per 180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Approval ticket</w:t>
            </w:r>
          </w:p>
        </w:tc>
        <w:tc>
          <w:tcPr/>
          <w:p>
            <w:pPr>
              <w:pStyle w:val="Compact"/>
            </w:pPr>
            <w:r>
              <w:t xml:space="preserve">Decision within 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 E Adjudication ticket</w:t>
            </w:r>
          </w:p>
        </w:tc>
        <w:tc>
          <w:tcPr/>
          <w:p>
            <w:pPr>
              <w:pStyle w:val="Compact"/>
            </w:pPr>
            <w:r>
              <w:t xml:space="preserve">Determination within 10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Operations ticket</w:t>
            </w:r>
          </w:p>
        </w:tc>
        <w:tc>
          <w:tcPr/>
          <w:p>
            <w:pPr>
              <w:pStyle w:val="Compact"/>
            </w:pPr>
            <w:r>
              <w:t xml:space="preserve">4-hour initial follow-up + 10-business-day determination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Compliance ticket</w:t>
            </w:r>
          </w:p>
        </w:tc>
        <w:tc>
          <w:tcPr/>
          <w:p>
            <w:pPr>
              <w:pStyle w:val="Compact"/>
            </w:pPr>
            <w:r>
              <w:t xml:space="preserve">72-hour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BSA Officer ticket (AML/OFAC)</w:t>
            </w:r>
          </w:p>
        </w:tc>
        <w:tc>
          <w:tcPr/>
          <w:p>
            <w:pPr>
              <w:pStyle w:val="Compact"/>
            </w:pPr>
            <w:r>
              <w:t xml:space="preserve">Same-business-day acknowledgement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/ Operations service ticket</w:t>
            </w:r>
          </w:p>
        </w:tc>
        <w:tc>
          <w:tcPr/>
          <w:p>
            <w:pPr>
              <w:pStyle w:val="Compact"/>
            </w:pPr>
            <w:r>
              <w:t xml:space="preserve">Per work-order ETA</w:t>
            </w:r>
          </w:p>
        </w:tc>
      </w:tr>
    </w:tbl>
    <w:bookmarkEnd w:id="28"/>
    <w:bookmarkStart w:id="29" w:name="service-channels-hours"/>
    <w:p>
      <w:pPr>
        <w:pStyle w:val="Heading2"/>
      </w:pPr>
      <w:r>
        <w:t xml:space="preserve">7. Service Channels &amp; Hours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customer service</w:t>
            </w:r>
          </w:p>
        </w:tc>
        <w:tc>
          <w:tcPr/>
          <w:p>
            <w:pPr>
              <w:pStyle w:val="Compact"/>
            </w:pPr>
            <w:r>
              <w:t xml:space="preserve">7:00 AM - 10:00 PM Eastern, 7 days a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line</w:t>
            </w:r>
          </w:p>
        </w:tc>
        <w:tc>
          <w:tcPr/>
          <w:p>
            <w:pPr>
              <w:pStyle w:val="Compact"/>
            </w:pPr>
            <w:r>
              <w:t xml:space="preserve">24 hours, 7 days a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standard hours</w:t>
            </w:r>
          </w:p>
        </w:tc>
        <w:tc>
          <w:tcPr/>
          <w:p>
            <w:pPr>
              <w:pStyle w:val="Compact"/>
            </w:pPr>
            <w:r>
              <w:t xml:space="preserve">Mon-Fri 9:00 AM - 5:00 PM; Sat 9:00 AM - 1:00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banking</w:t>
            </w:r>
          </w:p>
        </w:tc>
        <w:tc>
          <w:tcPr/>
          <w:p>
            <w:pPr>
              <w:pStyle w:val="Compact"/>
            </w:pPr>
            <w:r>
              <w:t xml:space="preserve">24 /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 (iOS, Android)</w:t>
            </w:r>
          </w:p>
        </w:tc>
        <w:tc>
          <w:tcPr/>
          <w:p>
            <w:pPr>
              <w:pStyle w:val="Compact"/>
            </w:pPr>
            <w:r>
              <w:t xml:space="preserve">24 /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ATM network</w:t>
            </w:r>
          </w:p>
        </w:tc>
        <w:tc>
          <w:tcPr/>
          <w:p>
            <w:pPr>
              <w:pStyle w:val="Compact"/>
            </w:pPr>
            <w:r>
              <w:t xml:space="preserve">24 / 7; nationwide partner network plus Meridian-branded</w:t>
            </w:r>
          </w:p>
        </w:tc>
      </w:tr>
    </w:tbl>
    <w:bookmarkEnd w:id="29"/>
    <w:bookmarkStart w:id="32" w:name="customer-protection-programs"/>
    <w:p>
      <w:pPr>
        <w:pStyle w:val="Heading2"/>
      </w:pPr>
      <w:r>
        <w:t xml:space="preserve">8. Customer Protection Programs</w:t>
      </w:r>
    </w:p>
    <w:bookmarkStart w:id="30" w:name="senior-customer-protection"/>
    <w:p>
      <w:pPr>
        <w:pStyle w:val="Heading3"/>
      </w:pPr>
      <w:r>
        <w:t xml:space="preserve">8.1 Senior Customer Protection</w:t>
      </w:r>
    </w:p>
    <w:p>
      <w:pPr>
        <w:pStyle w:val="FirstParagraph"/>
      </w:pPr>
      <w:r>
        <w:t xml:space="preserve">Available to all customers aged 65+ on request, and applied automatically when a suspected financial-exploitation case is opened.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Trusted contact callback (Senior Safe Act consent)</w:t>
            </w:r>
          </w:p>
        </w:tc>
        <w:tc>
          <w:tcPr/>
          <w:p>
            <w:pPr>
              <w:pStyle w:val="Compact"/>
            </w:pPr>
            <w:r>
              <w:t xml:space="preserve">Banker may call a customer-designated trusted contact during a suspected-exploitation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 visibility</w:t>
            </w:r>
          </w:p>
        </w:tc>
        <w:tc>
          <w:tcPr/>
          <w:p>
            <w:pPr>
              <w:pStyle w:val="Compact"/>
            </w:pPr>
            <w:r>
              <w:t xml:space="preserve">Any banker viewing the account sees the Senior Customer Protection flag and the prior case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Adult Protective Services referral</w:t>
            </w:r>
          </w:p>
        </w:tc>
        <w:tc>
          <w:tcPr/>
          <w:p>
            <w:pPr>
              <w:pStyle w:val="Compact"/>
            </w:pPr>
            <w:r>
              <w:t xml:space="preserve">Filed when state law requires; case-management system flags this</w:t>
            </w:r>
          </w:p>
        </w:tc>
      </w:tr>
    </w:tbl>
    <w:bookmarkEnd w:id="30"/>
    <w:bookmarkStart w:id="31" w:name="identity-theft-account-takeover-support"/>
    <w:p>
      <w:pPr>
        <w:pStyle w:val="Heading3"/>
      </w:pPr>
      <w:r>
        <w:t xml:space="preserve">8.2 Identity Theft / Account Takeover Support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freeze</w:t>
            </w:r>
          </w:p>
        </w:tc>
        <w:tc>
          <w:tcPr/>
          <w:p>
            <w:pPr>
              <w:pStyle w:val="Compact"/>
            </w:pPr>
            <w:r>
              <w:t xml:space="preserve">Banker</w:t>
            </w:r>
          </w:p>
        </w:tc>
        <w:tc>
          <w:tcPr/>
          <w:p>
            <w:pPr>
              <w:pStyle w:val="Compact"/>
            </w:pPr>
            <w:r>
              <w:t xml:space="preserve">Immediate, on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 flag</w:t>
            </w:r>
          </w:p>
        </w:tc>
        <w:tc>
          <w:tcPr/>
          <w:p>
            <w:pPr>
              <w:pStyle w:val="Compact"/>
            </w:pPr>
            <w:r>
              <w:t xml:space="preserve">Banker</w:t>
            </w:r>
          </w:p>
        </w:tc>
        <w:tc>
          <w:tcPr/>
          <w:p>
            <w:pPr>
              <w:pStyle w:val="Compact"/>
            </w:pPr>
            <w:r>
              <w:t xml:space="preserve">Applied at same time as freeze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Theft Affidavit packet</w:t>
            </w:r>
          </w:p>
        </w:tc>
        <w:tc>
          <w:tcPr/>
          <w:p>
            <w:pPr>
              <w:pStyle w:val="Compact"/>
            </w:pPr>
            <w:r>
              <w:t xml:space="preserve">Bank (mailed)</w:t>
            </w:r>
          </w:p>
        </w:tc>
        <w:tc>
          <w:tcPr/>
          <w:p>
            <w:pPr>
              <w:pStyle w:val="Compact"/>
            </w:pPr>
            <w:r>
              <w:t xml:space="preserve">Mailed to address on file ONLY (never an address provided on the 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alert with credit bureaus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Banker provides guidance; customer must do this themselves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at IdentityTheft.gov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Banker provides guidance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change on linked email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Banker explains why this matters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2026-06-14T14:34:54Z</dcterms:created>
  <dcterms:modified xsi:type="dcterms:W3CDTF">2026-06-14T14:34:54Z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