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4E002" w14:textId="70632664" w:rsidR="008B7E35" w:rsidRDefault="00E23A6A">
      <w:r>
        <w:t xml:space="preserve">Using 15 metagenomes and 10 </w:t>
      </w:r>
      <w:proofErr w:type="spellStart"/>
      <w:r>
        <w:t>metatranscriptomes</w:t>
      </w:r>
      <w:proofErr w:type="spellEnd"/>
      <w:r>
        <w:t xml:space="preserve"> from across the Mid-Cayman Rise, we obtained 73 high-quality MAGs with &gt;70% completeness and &lt;10% redundancy. Due to </w:t>
      </w:r>
      <w:r w:rsidR="00D334E2">
        <w:t>poor assembly characteristics such as low N50, sequence data from sample FS841 were excluded from the analysis (see Table S**)</w:t>
      </w:r>
      <w:r w:rsidR="00924377">
        <w:t xml:space="preserve">. </w:t>
      </w:r>
      <w:r w:rsidR="00924377">
        <w:rPr>
          <w:b/>
          <w:bCs/>
        </w:rPr>
        <w:t>Ad</w:t>
      </w:r>
      <w:r w:rsidR="00D334E2" w:rsidRPr="00924377">
        <w:rPr>
          <w:b/>
          <w:bCs/>
        </w:rPr>
        <w:t xml:space="preserve">d more things about cell counts, vent </w:t>
      </w:r>
      <w:proofErr w:type="spellStart"/>
      <w:r w:rsidR="00D334E2" w:rsidRPr="00924377">
        <w:rPr>
          <w:b/>
          <w:bCs/>
        </w:rPr>
        <w:t>geochem</w:t>
      </w:r>
      <w:proofErr w:type="spellEnd"/>
      <w:r w:rsidR="00D334E2" w:rsidRPr="00924377">
        <w:rPr>
          <w:b/>
          <w:bCs/>
        </w:rPr>
        <w:t xml:space="preserve">, sequencing stats, </w:t>
      </w:r>
      <w:proofErr w:type="spellStart"/>
      <w:r w:rsidR="00D334E2" w:rsidRPr="00924377">
        <w:rPr>
          <w:b/>
          <w:bCs/>
        </w:rPr>
        <w:t>etc</w:t>
      </w:r>
      <w:proofErr w:type="spellEnd"/>
      <w:r w:rsidR="00D334E2" w:rsidRPr="00924377">
        <w:rPr>
          <w:b/>
          <w:bCs/>
        </w:rPr>
        <w:t>)</w:t>
      </w:r>
      <w:r w:rsidR="00924377" w:rsidRPr="00924377">
        <w:rPr>
          <w:b/>
          <w:bCs/>
        </w:rPr>
        <w:t>. A couple supplementary tables?</w:t>
      </w:r>
    </w:p>
    <w:p w14:paraId="04CE96B4" w14:textId="04782853" w:rsidR="00D334E2" w:rsidRDefault="00D334E2"/>
    <w:p w14:paraId="10AF9CB8" w14:textId="5CF59D73" w:rsidR="00D334E2" w:rsidRDefault="00FB729D">
      <w:r>
        <w:t xml:space="preserve">Metabolic Gene Abundance and Expression </w:t>
      </w:r>
      <w:r w:rsidR="00D334E2">
        <w:t>Across Samples</w:t>
      </w:r>
    </w:p>
    <w:p w14:paraId="57FB718E" w14:textId="144B240B" w:rsidR="00D334E2" w:rsidRDefault="00D334E2" w:rsidP="00D334E2">
      <w:r>
        <w:t xml:space="preserve">Our first aim was to ascertain the relative abundance of key metabolic genes at the community level across different vent sites. Metabolic genes were chosen as those that catalyze reactions involving </w:t>
      </w:r>
      <w:commentRangeStart w:id="0"/>
      <w:r>
        <w:t xml:space="preserve">key hydrothermal metabolites </w:t>
      </w:r>
      <w:commentRangeEnd w:id="0"/>
      <w:r>
        <w:rPr>
          <w:rStyle w:val="CommentReference"/>
        </w:rPr>
        <w:commentReference w:id="0"/>
      </w:r>
      <w:r>
        <w:t xml:space="preserve">such as sulfur, oxygen, nitrogen, hydrogen, iron, and organic carbon (incl. methane) </w:t>
      </w:r>
      <w:r>
        <w:fldChar w:fldCharType="begin"/>
      </w:r>
      <w:r>
        <w:instrText xml:space="preserve"> ADDIN ZOTERO_ITEM CSL_CITATION {"citationID":"R8w7wfSk","properties":{"formattedCitation":"(Reveillaud et al., 2016)","plainCitation":"(Reveillaud et al., 2016)","noteIndex":0},"citationItems":[{"id":168,"uris":["http://zotero.org/users/local/mOL2nJ3Z/items/NLTWS3FK"],"uri":["http://zotero.org/users/local/mOL2nJ3Z/items/NLTWS3FK"],"itemData":{"id":168,"type":"article-journal","title":"Subseafloor microbial communities in hydrogen-rich vent fluids from hydrothermal systems along the Mid-Cayman Rise","container-title":"Environ Microbiol","page":"1970-87","volume":"18","issue":"6","archive_location":"26663423","abstract":"Warm fluids emanating from hydrothermal vents can be used as windows into the rocky subseafloor habitat and its resident microbial community. Two new vent systems on the Mid-Cayman Rise each exhibits novel geologic settings and distinctively hydrogen-rich vent fluid compositions. We have determined and compared the chemistry, potential energy yielding reactions, abundance, community composition, diversity, and function of microbes in venting fluids from both sites: Piccard, the world's deepest vent site, hosted in mafic rocks; and Von Damm, an adjacent, ultramafic-influenced system. Von Damm hosted a wider diversity of lineages and metabolisms in comparison to Piccard, consistent with thermodynamic models that predict more numerous energy sources at ultramafic systems. There was little overlap in the phylotypes found at each site, although similar and dominant hydrogen-utilizing genera were present at both. Despite the differences in community structure, depth, geology, and fluid chemistry, energetic modelling and metagenomic analysis indicate near functional equivalence between Von Damm and Piccard, likely driven by the high hydrogen concentrations and elevated temperatures at both sites. Results are compared with hydrothermal sites worldwide to provide a global perspective on the distinctiveness of these newly discovered sites and the interplay among rocks, fluid composition and life in the subseafloor.","DOI":"10.1111/1462-2920.13173","ISSN":"1462-2920 (Electronic) 1462-2912 (Linking)","shortTitle":"Subseafloor microbial communities in hydrogen-rich vent fluids from hydrothermal systems along the Mid-Cayman Rise","author":[{"family":"Reveillaud","given":"J."},{"family":"Reddington","given":"E."},{"family":"McDermott","given":"J."},{"family":"Algar","given":"C."},{"family":"Meyer","given":"J. L."},{"family":"Sylva","given":"S."},{"family":"Seewald","given":"J."},{"family":"German","given":"C. R."},{"family":"Huber","given":"J. A."}],"issued":{"date-parts":[["2016",6]]}}}],"schema":"https://github.com/citation-style-language/schema/raw/master/csl-citation.json"} </w:instrText>
      </w:r>
      <w:r>
        <w:fldChar w:fldCharType="separate"/>
      </w:r>
      <w:r>
        <w:rPr>
          <w:noProof/>
        </w:rPr>
        <w:t>(Reveillaud et al., 2016)</w:t>
      </w:r>
      <w:r>
        <w:fldChar w:fldCharType="end"/>
      </w:r>
      <w:r>
        <w:t xml:space="preserve">. There were no notable differences between Von </w:t>
      </w:r>
      <w:proofErr w:type="spellStart"/>
      <w:r>
        <w:t>Damm</w:t>
      </w:r>
      <w:proofErr w:type="spellEnd"/>
      <w:r>
        <w:t xml:space="preserve"> and Piccard vent fields; vents in both locations displayed similar abundances of selected metabolic genes (Fig. 1). </w:t>
      </w:r>
      <w:r w:rsidR="005F09FC">
        <w:t>We also observed similar variation</w:t>
      </w:r>
      <w:r w:rsidR="000C4B19">
        <w:t xml:space="preserve"> in abundances</w:t>
      </w:r>
      <w:r w:rsidR="005F09FC">
        <w:t xml:space="preserve"> within </w:t>
      </w:r>
      <w:r w:rsidR="000C4B19">
        <w:t xml:space="preserve">sample sites. </w:t>
      </w:r>
      <w:commentRangeStart w:id="1"/>
      <w:r w:rsidR="000C4B19">
        <w:t>Although both vent fields have sample sites where some genes are highly abundant compared to oth</w:t>
      </w:r>
      <w:r w:rsidR="00924377">
        <w:t xml:space="preserve">ers, genes are uniformly abundant within most sites. </w:t>
      </w:r>
    </w:p>
    <w:p w14:paraId="5AA45B58" w14:textId="484FAE9A" w:rsidR="00924377" w:rsidRDefault="00924377" w:rsidP="00D334E2"/>
    <w:p w14:paraId="3B9657B2" w14:textId="55A63E9C" w:rsidR="00D334E2" w:rsidRDefault="00D334E2">
      <w:r>
        <w:t xml:space="preserve"> </w:t>
      </w:r>
      <w:commentRangeEnd w:id="1"/>
      <w:r w:rsidR="00924377">
        <w:rPr>
          <w:rStyle w:val="CommentReference"/>
        </w:rPr>
        <w:commentReference w:id="1"/>
      </w:r>
      <w:r w:rsidR="00924377">
        <w:t xml:space="preserve">In addition to community-level gene abundance, we also studied community-level gene expression. The gene expression data mirror gene abundance, as Von </w:t>
      </w:r>
      <w:proofErr w:type="spellStart"/>
      <w:r w:rsidR="00924377">
        <w:t>Damm</w:t>
      </w:r>
      <w:proofErr w:type="spellEnd"/>
      <w:r w:rsidR="00924377">
        <w:t xml:space="preserve"> and Piccard display similar expression profiles across the selected genes (Fig. 2). </w:t>
      </w:r>
      <w:r w:rsidR="00016EDC">
        <w:t xml:space="preserve">However, some selected differences begin to emerge. Compared to Piccard, Von </w:t>
      </w:r>
      <w:proofErr w:type="spellStart"/>
      <w:r w:rsidR="00016EDC">
        <w:t>Damm</w:t>
      </w:r>
      <w:proofErr w:type="spellEnd"/>
      <w:r w:rsidR="00016EDC">
        <w:t xml:space="preserve"> displays higher expression of some hydrogenases and the methanogenesis gene </w:t>
      </w:r>
      <w:proofErr w:type="spellStart"/>
      <w:r w:rsidR="00016EDC">
        <w:rPr>
          <w:i/>
        </w:rPr>
        <w:t>mcr</w:t>
      </w:r>
      <w:proofErr w:type="spellEnd"/>
      <w:r w:rsidR="00016EDC">
        <w:rPr>
          <w:i/>
        </w:rPr>
        <w:t xml:space="preserve">. </w:t>
      </w:r>
      <w:r w:rsidR="00FB729D">
        <w:t xml:space="preserve">Meanwhile, the Piccard sites Hot </w:t>
      </w:r>
      <w:proofErr w:type="spellStart"/>
      <w:r w:rsidR="00FB729D">
        <w:t>Chimlet</w:t>
      </w:r>
      <w:proofErr w:type="spellEnd"/>
      <w:r w:rsidR="00FB729D">
        <w:t xml:space="preserve"> and Shrimp Canyon have extremely low relative expression levels of most of the metabolic genes studied. </w:t>
      </w:r>
    </w:p>
    <w:p w14:paraId="65BCCDD9" w14:textId="1731DC3F" w:rsidR="00FB729D" w:rsidRDefault="00FB729D"/>
    <w:p w14:paraId="6EDB0B44" w14:textId="153F0AAB" w:rsidR="00FB729D" w:rsidRDefault="00FB729D">
      <w:r>
        <w:t>MAG-resolved Expression Across Samples</w:t>
      </w:r>
    </w:p>
    <w:p w14:paraId="52E5AF1B" w14:textId="77777777" w:rsidR="002D68C6" w:rsidRDefault="00C44B87">
      <w:r>
        <w:t xml:space="preserve">In contrast to the similarities in gene expression and abundance between the two vent fields, Von </w:t>
      </w:r>
      <w:proofErr w:type="spellStart"/>
      <w:r>
        <w:t>Damm</w:t>
      </w:r>
      <w:proofErr w:type="spellEnd"/>
      <w:r>
        <w:t xml:space="preserve"> and Piccard display very different patterns in the expression of the 73 high-quality MAGs selected for this analysis.</w:t>
      </w:r>
      <w:r w:rsidR="00680449">
        <w:t xml:space="preserve"> </w:t>
      </w:r>
      <w:r w:rsidR="00F703F3">
        <w:t xml:space="preserve">We performed a hierarchical clustering of the expression z-scores of each MAG. A MAG has an </w:t>
      </w:r>
      <w:commentRangeStart w:id="2"/>
      <w:r w:rsidR="00F703F3">
        <w:t xml:space="preserve">elevated </w:t>
      </w:r>
      <w:commentRangeEnd w:id="2"/>
      <w:r w:rsidR="002D68C6">
        <w:rPr>
          <w:rStyle w:val="CommentReference"/>
        </w:rPr>
        <w:commentReference w:id="2"/>
      </w:r>
      <w:r w:rsidR="00F703F3">
        <w:t xml:space="preserve">z-score if its expression at that site is higher than the average for that MAG across all sites. </w:t>
      </w:r>
      <w:proofErr w:type="spellStart"/>
      <w:r w:rsidR="00680449">
        <w:t>In</w:t>
      </w:r>
      <w:proofErr w:type="spellEnd"/>
      <w:r w:rsidR="00680449">
        <w:t xml:space="preserve"> a hierarchical clustering of the average expression of each MAG at each sample,</w:t>
      </w:r>
      <w:r w:rsidR="005074EE">
        <w:t xml:space="preserve"> we identify three broad groups: Shrimp Hole; Ginger Castle and Von </w:t>
      </w:r>
      <w:proofErr w:type="spellStart"/>
      <w:r w:rsidR="005074EE">
        <w:t>Damm</w:t>
      </w:r>
      <w:proofErr w:type="spellEnd"/>
      <w:r w:rsidR="005074EE">
        <w:t xml:space="preserve">; and all four Piccard sites (Fig. 3). Interestingly, despite being in Von </w:t>
      </w:r>
      <w:proofErr w:type="spellStart"/>
      <w:r w:rsidR="005074EE">
        <w:t>Damm</w:t>
      </w:r>
      <w:proofErr w:type="spellEnd"/>
      <w:r w:rsidR="005074EE">
        <w:t xml:space="preserve">, Ginger Castle and Hot Cracks #2 are more closely related to all Piccard sites than to Shrimp Hole. There is also lower diversity in MAG expression patterns within Von </w:t>
      </w:r>
      <w:proofErr w:type="spellStart"/>
      <w:r w:rsidR="005074EE">
        <w:t>Damm</w:t>
      </w:r>
      <w:proofErr w:type="spellEnd"/>
      <w:r w:rsidR="005074EE">
        <w:t xml:space="preserve">, as those four sites are more closely related than the Von </w:t>
      </w:r>
      <w:proofErr w:type="spellStart"/>
      <w:r w:rsidR="005074EE">
        <w:t>Damm</w:t>
      </w:r>
      <w:proofErr w:type="spellEnd"/>
      <w:r w:rsidR="005074EE">
        <w:t xml:space="preserve"> sites are</w:t>
      </w:r>
      <w:r w:rsidR="00F703F3">
        <w:t xml:space="preserve"> to each other. </w:t>
      </w:r>
    </w:p>
    <w:p w14:paraId="64236B82" w14:textId="3C242555" w:rsidR="005074EE" w:rsidRDefault="00F40CF5">
      <w:commentRangeStart w:id="3"/>
      <w:r>
        <w:t xml:space="preserve">None of the MAGs display uniform expression across samples. In fact, for most MAGs, there is at least one sample where expression is ~1 z-score above average, with all other samples having below-average expression of that MAG. </w:t>
      </w:r>
      <w:commentRangeEnd w:id="3"/>
      <w:r>
        <w:rPr>
          <w:rStyle w:val="CommentReference"/>
        </w:rPr>
        <w:commentReference w:id="3"/>
      </w:r>
      <w:r w:rsidR="002D68C6">
        <w:t xml:space="preserve">The MAGs that show elevated activity in one Piccard sample, such as </w:t>
      </w:r>
      <w:commentRangeStart w:id="4"/>
      <w:r w:rsidR="002D68C6" w:rsidRPr="002D68C6">
        <w:rPr>
          <w:i/>
        </w:rPr>
        <w:t>Sulfurovum</w:t>
      </w:r>
      <w:commentRangeEnd w:id="4"/>
      <w:r w:rsidR="001E0B9D">
        <w:rPr>
          <w:rStyle w:val="CommentReference"/>
        </w:rPr>
        <w:commentReference w:id="4"/>
      </w:r>
      <w:r w:rsidR="002D68C6" w:rsidRPr="002D68C6">
        <w:rPr>
          <w:i/>
        </w:rPr>
        <w:t>_99</w:t>
      </w:r>
      <w:r w:rsidR="002D68C6">
        <w:t xml:space="preserve">, tend to have elevated activity in all of Piccard. Meanwhile, most MAGs that are active at a Von </w:t>
      </w:r>
      <w:proofErr w:type="spellStart"/>
      <w:r w:rsidR="002D68C6">
        <w:t>Damm</w:t>
      </w:r>
      <w:proofErr w:type="spellEnd"/>
      <w:r w:rsidR="002D68C6">
        <w:t xml:space="preserve"> site display elevated activity only at that site. </w:t>
      </w:r>
    </w:p>
    <w:p w14:paraId="149CBB54" w14:textId="6E4C2522" w:rsidR="00A83796" w:rsidRDefault="001E0B9D">
      <w:r>
        <w:t>Most</w:t>
      </w:r>
      <w:r w:rsidR="00ED28E1">
        <w:t xml:space="preserve"> lineages with expected methanogenic or ANME capabilities such as </w:t>
      </w:r>
      <w:proofErr w:type="spellStart"/>
      <w:r w:rsidR="00ED28E1" w:rsidRPr="00ED28E1">
        <w:rPr>
          <w:i/>
        </w:rPr>
        <w:t>Methanomicrobia</w:t>
      </w:r>
      <w:proofErr w:type="spellEnd"/>
      <w:r w:rsidR="00ED28E1">
        <w:t xml:space="preserve"> and </w:t>
      </w:r>
      <w:proofErr w:type="spellStart"/>
      <w:r w:rsidR="00ED28E1" w:rsidRPr="00ED28E1">
        <w:rPr>
          <w:i/>
        </w:rPr>
        <w:t>Methanococci</w:t>
      </w:r>
      <w:proofErr w:type="spellEnd"/>
      <w:r w:rsidR="00ED28E1">
        <w:t xml:space="preserve"> are more active at Von </w:t>
      </w:r>
      <w:proofErr w:type="spellStart"/>
      <w:r w:rsidR="00ED28E1">
        <w:t>Damm</w:t>
      </w:r>
      <w:proofErr w:type="spellEnd"/>
      <w:r w:rsidR="00ED28E1">
        <w:t xml:space="preserve"> than at Piccard</w:t>
      </w:r>
      <w:r>
        <w:t xml:space="preserve">, with the notable exception of </w:t>
      </w:r>
      <w:r w:rsidRPr="001E0B9D">
        <w:rPr>
          <w:i/>
        </w:rPr>
        <w:t>Methanococci_69</w:t>
      </w:r>
      <w:r>
        <w:t>, which is active at Shrimp Canyon</w:t>
      </w:r>
      <w:r w:rsidR="00ED28E1">
        <w:t xml:space="preserve">. </w:t>
      </w:r>
      <w:r w:rsidR="00A83796">
        <w:t>There are also notable differences between Shrimp Hol</w:t>
      </w:r>
      <w:r w:rsidR="00700625">
        <w:t xml:space="preserve">e 2012 and 2013. There is a repertoire of MAGs that are active at both time </w:t>
      </w:r>
      <w:r w:rsidR="00700625">
        <w:lastRenderedPageBreak/>
        <w:t xml:space="preserve">points, but Shrimp Hole 2013 hosts additional MAG activity that is not seen in 2012. It is important to note that these samples may differ not only in time, but spatially as well, since it is difficult to sample the same point of a hydrothermal vent non-consecutively. </w:t>
      </w:r>
    </w:p>
    <w:p w14:paraId="2249CD4D" w14:textId="0455D1CD" w:rsidR="000343FD" w:rsidRDefault="000343FD"/>
    <w:p w14:paraId="6B5E5C3E" w14:textId="6C4CDF19" w:rsidR="000343FD" w:rsidRDefault="00362D5C">
      <w:r>
        <w:t>Functional potential of MAGs on the KEGG pathway level</w:t>
      </w:r>
    </w:p>
    <w:p w14:paraId="7A6FA4BE" w14:textId="649D193F" w:rsidR="00725DAC" w:rsidRDefault="00362D5C" w:rsidP="00725DAC">
      <w:pPr>
        <w:pStyle w:val="Bibliography"/>
      </w:pPr>
      <w:r>
        <w:t xml:space="preserve">We assessed the functional potential of each MAG by defining a module completion score (MCS) for each MAG (0≤m≤1) that describes the functional capability of a MAG while taking into account that there may exist several different reactions for each step of a pathway, each of which is sufficient on its own (see Supplementary Material for code and a description of the algorithm). </w:t>
      </w:r>
      <w:r w:rsidR="00022392">
        <w:t xml:space="preserve">We selected </w:t>
      </w:r>
      <w:r w:rsidR="006C121A">
        <w:t xml:space="preserve">73 </w:t>
      </w:r>
      <w:commentRangeStart w:id="5"/>
      <w:r w:rsidR="00022392">
        <w:t xml:space="preserve">KEGG modules </w:t>
      </w:r>
      <w:r w:rsidR="006C121A">
        <w:t xml:space="preserve">by </w:t>
      </w:r>
      <w:r w:rsidR="00022392">
        <w:t xml:space="preserve">searching for pathways with known microbial origin and relation to key metabolites described </w:t>
      </w:r>
      <w:commentRangeEnd w:id="5"/>
      <w:r w:rsidR="00022392">
        <w:rPr>
          <w:rStyle w:val="CommentReference"/>
        </w:rPr>
        <w:commentReference w:id="5"/>
      </w:r>
      <w:r w:rsidR="00022392">
        <w:t xml:space="preserve">in Figs. 1, 2. </w:t>
      </w:r>
      <w:r w:rsidR="00725DAC">
        <w:t xml:space="preserve">These in include </w:t>
      </w:r>
      <w:r w:rsidR="00725DAC" w:rsidRPr="00725DAC">
        <w:t>carbohydrate metabolism, carbon fixation, methanogenesis and ae</w:t>
      </w:r>
      <w:r w:rsidR="00725DAC">
        <w:t xml:space="preserve">robic methane oxidation, sulfur and </w:t>
      </w:r>
      <w:r w:rsidR="00725DAC" w:rsidRPr="00725DAC">
        <w:t>nitrogen redox, and various membrane proteins such as cytochromes and Mn/Zn/Fe/S/N transporter</w:t>
      </w:r>
      <w:r w:rsidR="00725DAC">
        <w:t>s</w:t>
      </w:r>
      <w:r w:rsidR="00725DAC" w:rsidRPr="00725DAC">
        <w:t xml:space="preserve">. We also included several hemolysin transporters as a potential marker for </w:t>
      </w:r>
      <w:proofErr w:type="spellStart"/>
      <w:r w:rsidR="00725DAC">
        <w:t>Nanohaloarchaea</w:t>
      </w:r>
      <w:proofErr w:type="spellEnd"/>
      <w:r w:rsidR="00725DAC">
        <w:t xml:space="preserve"> </w:t>
      </w:r>
      <w:proofErr w:type="spellStart"/>
      <w:r w:rsidR="00725DAC" w:rsidRPr="00725DAC">
        <w:t>ectosymbiosis</w:t>
      </w:r>
      <w:proofErr w:type="spellEnd"/>
      <w:r w:rsidR="00725DAC" w:rsidRPr="00725DAC">
        <w:t xml:space="preserve"> as describe</w:t>
      </w:r>
      <w:r w:rsidR="00725DAC">
        <w:t xml:space="preserve">d in </w:t>
      </w:r>
      <w:r w:rsidR="00725DAC">
        <w:fldChar w:fldCharType="begin"/>
      </w:r>
      <w:r w:rsidR="00725DAC">
        <w:instrText xml:space="preserve"> ADDIN ZOTERO_ITEM CSL_CITATION {"citationID":"gtoBtpRp","properties":{"formattedCitation":"(Anantharaman et al., 2016)","plainCitation":"(Anantharaman et al., 2016)","dontUpdate":true,"noteIndex":0},"citationItems":[{"id":137,"uris":["http://zotero.org/users/local/mOL2nJ3Z/items/PX58RJF9"],"uri":["http://zotero.org/users/local/mOL2nJ3Z/items/PX58RJF9"],"itemData":{"id":137,"type":"article-journal","title":"Thousands of microbial genomes shed light on interconnected biogeochemical processes in an aquifer system","container-title":"Nature Communications","volume":"7","archive_location":"WOS:000385925300001","abstract":"The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cycles.","URL":"://WOS:000385925300001","DOI":"10.1038/ncomms13219","ISSN":"2041-1723","shortTitle":"Thousands of microbial genomes shed light on interconnected biogeochemical processes in an aquifer system","journalAbbreviation":"Nat Commun","language":"English","author":[{"family":"Anantharaman","given":"K."},{"family":"Brown","given":"C. T."},{"family":"Hug","given":"L. A."},{"family":"Sharon","given":"I."},{"family":"Castelle","given":"C. J."},{"family":"Probst","given":"A. J."},{"family":"Thomas","given":"B. C."},{"family":"Singh","given":"A."},{"family":"Wilkins","given":"M. J."},{"family":"Karaoz","given":"U."},{"family":"Brodie","given":"E. L."},{"family":"Williams","given":"K. H."},{"family":"Hubbard","given":"S. S."},{"family":"Banfield","given":"J. F."}],"issued":{"date-parts":[["2016",10,24]]}}}],"schema":"https://github.com/citation-style-language/schema/raw/master/csl-citation.json"} </w:instrText>
      </w:r>
      <w:r w:rsidR="00725DAC">
        <w:fldChar w:fldCharType="separate"/>
      </w:r>
      <w:r w:rsidR="00725DAC">
        <w:rPr>
          <w:noProof/>
        </w:rPr>
        <w:t>Anantharaman et al. (2016)</w:t>
      </w:r>
      <w:r w:rsidR="00725DAC">
        <w:fldChar w:fldCharType="end"/>
      </w:r>
      <w:r w:rsidR="00725DAC">
        <w:t xml:space="preserve">. </w:t>
      </w:r>
    </w:p>
    <w:p w14:paraId="648EFC9C" w14:textId="7788DFB2" w:rsidR="006C121A" w:rsidRPr="006C121A" w:rsidRDefault="006C121A" w:rsidP="006C121A">
      <w:r>
        <w:t>With this analysis</w:t>
      </w:r>
      <w:r w:rsidR="00E07F89">
        <w:t>, 5</w:t>
      </w:r>
      <w:r>
        <w:t xml:space="preserve"> distinct metabolic clusters emerged (Fig. 4). The first cat</w:t>
      </w:r>
      <w:r w:rsidR="00DF5FD2">
        <w:t xml:space="preserve">egory consists of </w:t>
      </w:r>
      <w:r w:rsidR="00ED28E1">
        <w:t xml:space="preserve">core carbon </w:t>
      </w:r>
      <w:r w:rsidR="00B45BFF">
        <w:t xml:space="preserve">cycle metabolisms </w:t>
      </w:r>
      <w:r w:rsidR="00B24600">
        <w:t>that are highly conserved in most MAGs</w:t>
      </w:r>
      <w:r w:rsidR="00B45BFF">
        <w:t xml:space="preserve"> with MCS</w:t>
      </w:r>
      <w:r w:rsidR="00B24600">
        <w:t>&gt;0.8</w:t>
      </w:r>
      <w:r w:rsidR="00B45BFF">
        <w:t>. These include modules related to g</w:t>
      </w:r>
      <w:r w:rsidR="00206984">
        <w:t>lycolysis, gluconeogen</w:t>
      </w:r>
      <w:r w:rsidR="00B24600">
        <w:t>esis, the TCA cycle, and a gener</w:t>
      </w:r>
      <w:r w:rsidR="00206984">
        <w:t xml:space="preserve">ic pentose phosphate pathway. </w:t>
      </w:r>
      <w:r w:rsidR="00F705E0">
        <w:t>The next cluster</w:t>
      </w:r>
      <w:r w:rsidR="001E0B9D">
        <w:t xml:space="preserve"> can be broadly defined as related to</w:t>
      </w:r>
      <w:r w:rsidR="00F705E0">
        <w:t xml:space="preserve"> </w:t>
      </w:r>
      <w:r w:rsidR="001E0B9D">
        <w:t>methane metabolism</w:t>
      </w:r>
      <w:r w:rsidR="008C1336">
        <w:t xml:space="preserve">. The most prominent lineages with capabilities in this cluster include </w:t>
      </w:r>
      <w:proofErr w:type="spellStart"/>
      <w:r w:rsidR="008C1336" w:rsidRPr="008C1336">
        <w:rPr>
          <w:i/>
        </w:rPr>
        <w:t>Archaeaglobi</w:t>
      </w:r>
      <w:proofErr w:type="spellEnd"/>
      <w:r w:rsidR="008C1336">
        <w:t xml:space="preserve">, </w:t>
      </w:r>
      <w:proofErr w:type="spellStart"/>
      <w:r w:rsidR="008C1336" w:rsidRPr="008C1336">
        <w:rPr>
          <w:i/>
        </w:rPr>
        <w:t>Methanomicrobia</w:t>
      </w:r>
      <w:proofErr w:type="spellEnd"/>
      <w:r w:rsidR="008C1336">
        <w:t xml:space="preserve">, and </w:t>
      </w:r>
      <w:proofErr w:type="spellStart"/>
      <w:r w:rsidR="008C1336" w:rsidRPr="008C1336">
        <w:rPr>
          <w:i/>
        </w:rPr>
        <w:t>Methanocci</w:t>
      </w:r>
      <w:proofErr w:type="spellEnd"/>
      <w:r w:rsidR="008C1336">
        <w:t xml:space="preserve">. We observe 3 methanogenesis modules in the cluster along with pathways for F420 biosynthesis, coenzyme M biosynthesis, </w:t>
      </w:r>
      <w:r w:rsidR="005A1476">
        <w:t>acetyl-CoA to CO</w:t>
      </w:r>
      <w:r w:rsidR="005A1476">
        <w:rPr>
          <w:vertAlign w:val="subscript"/>
        </w:rPr>
        <w:t>2</w:t>
      </w:r>
      <w:r w:rsidR="000875B6">
        <w:t>, and nitrogen fixation (see Supplementary Material for KEGG module accession numbers associated with each pathway).</w:t>
      </w:r>
      <w:r w:rsidR="008C1336">
        <w:t xml:space="preserve"> </w:t>
      </w:r>
      <w:r w:rsidR="005A1476">
        <w:t>The third group consists of the variable genome where MAGs mostly show MCS≥0.9 or M</w:t>
      </w:r>
      <w:r w:rsidR="008C1336">
        <w:t>C</w:t>
      </w:r>
      <w:r w:rsidR="005A1476">
        <w:t xml:space="preserve">S≤0.3. This cluster reveals the presence of both </w:t>
      </w:r>
      <w:commentRangeStart w:id="6"/>
      <w:r w:rsidR="005A1476">
        <w:t>thiosulfate oxidation and assimilatory nitrate reduction</w:t>
      </w:r>
      <w:commentRangeEnd w:id="6"/>
      <w:r w:rsidR="003F7202">
        <w:rPr>
          <w:rStyle w:val="CommentReference"/>
        </w:rPr>
        <w:commentReference w:id="6"/>
      </w:r>
      <w:r w:rsidR="005A1476">
        <w:t xml:space="preserve"> in several </w:t>
      </w:r>
      <w:proofErr w:type="spellStart"/>
      <w:r w:rsidR="005A1476" w:rsidRPr="005A1476">
        <w:rPr>
          <w:i/>
        </w:rPr>
        <w:t>Sulfurovum</w:t>
      </w:r>
      <w:proofErr w:type="spellEnd"/>
      <w:r w:rsidR="005A1476">
        <w:t xml:space="preserve"> </w:t>
      </w:r>
      <w:r w:rsidR="00322CDA">
        <w:t xml:space="preserve">and other </w:t>
      </w:r>
      <w:commentRangeStart w:id="7"/>
      <w:proofErr w:type="spellStart"/>
      <w:r w:rsidR="00322CDA">
        <w:t>Campylobacterial</w:t>
      </w:r>
      <w:proofErr w:type="spellEnd"/>
      <w:r w:rsidR="00322CDA">
        <w:t xml:space="preserve"> </w:t>
      </w:r>
      <w:commentRangeEnd w:id="7"/>
      <w:r w:rsidR="00322CDA">
        <w:rPr>
          <w:rStyle w:val="CommentReference"/>
        </w:rPr>
        <w:commentReference w:id="7"/>
      </w:r>
      <w:r w:rsidR="005A1476">
        <w:t xml:space="preserve">MAGs, along with the PTS sugar uptake systems used by those MAGs. </w:t>
      </w:r>
      <w:r w:rsidR="00C76F86">
        <w:t>The fourth group is highly conserved across MAGs, but most of the MCS values are only about 0.5. However, the Wood-</w:t>
      </w:r>
      <w:proofErr w:type="spellStart"/>
      <w:r w:rsidR="00C76F86">
        <w:t>Ljungdahl</w:t>
      </w:r>
      <w:proofErr w:type="spellEnd"/>
      <w:r w:rsidR="00C76F86">
        <w:t xml:space="preserve"> pathway, denitrification, dissimilatory nitrate reduction and dissimilatory sulfate reduction </w:t>
      </w:r>
      <w:r w:rsidR="00281B94">
        <w:t xml:space="preserve">are present with high MCS in 2-6 MAGs each. </w:t>
      </w:r>
      <w:bookmarkStart w:id="8" w:name="_GoBack"/>
      <w:bookmarkEnd w:id="8"/>
    </w:p>
    <w:p w14:paraId="070F877B" w14:textId="35CD118C" w:rsidR="00725DAC" w:rsidRDefault="00725DAC" w:rsidP="00725DAC">
      <w:pPr>
        <w:pStyle w:val="Bibliography"/>
      </w:pPr>
    </w:p>
    <w:p w14:paraId="1726F437" w14:textId="496D5126" w:rsidR="00214333" w:rsidRDefault="00214333" w:rsidP="00214333">
      <w:r>
        <w:t>Questions</w:t>
      </w:r>
    </w:p>
    <w:p w14:paraId="01CEFE1E" w14:textId="67BE44C8" w:rsidR="00214333" w:rsidRDefault="00214333" w:rsidP="00214333">
      <w:r>
        <w:t>How is style so far?</w:t>
      </w:r>
    </w:p>
    <w:p w14:paraId="0961A5F8" w14:textId="20BAECA1" w:rsidR="00214333" w:rsidRDefault="00214333" w:rsidP="00214333">
      <w:r>
        <w:t>How to compare to Julie’s paper?</w:t>
      </w:r>
    </w:p>
    <w:p w14:paraId="3E14B368" w14:textId="179AA5C0" w:rsidR="00214333" w:rsidRDefault="00214333" w:rsidP="00214333">
      <w:r>
        <w:t>Do I need more details about other things, or talk about things that are already there in more detail?</w:t>
      </w:r>
    </w:p>
    <w:p w14:paraId="22D56AFA" w14:textId="1612C910" w:rsidR="005A1476" w:rsidRDefault="005A1476" w:rsidP="00214333">
      <w:r>
        <w:t>Combined heatmap: is the one on slack clustered by expression?</w:t>
      </w:r>
    </w:p>
    <w:p w14:paraId="7E7964A9" w14:textId="03EC71BA" w:rsidR="00214333" w:rsidRDefault="00214333" w:rsidP="00214333">
      <w:r>
        <w:t>Goal: Have a nice results draft by 5</w:t>
      </w:r>
      <w:r w:rsidRPr="00214333">
        <w:rPr>
          <w:vertAlign w:val="superscript"/>
        </w:rPr>
        <w:t>th</w:t>
      </w:r>
      <w:r>
        <w:t xml:space="preserve"> week, a nice discussion draft by 7</w:t>
      </w:r>
      <w:r w:rsidRPr="00214333">
        <w:rPr>
          <w:vertAlign w:val="superscript"/>
        </w:rPr>
        <w:t>th</w:t>
      </w:r>
      <w:r>
        <w:t xml:space="preserve"> week. Look over methods 8</w:t>
      </w:r>
      <w:r w:rsidRPr="00214333">
        <w:rPr>
          <w:vertAlign w:val="superscript"/>
        </w:rPr>
        <w:t>th</w:t>
      </w:r>
      <w:r>
        <w:t xml:space="preserve"> week. Revise all three by the end of the term. </w:t>
      </w:r>
    </w:p>
    <w:p w14:paraId="20D39FD3" w14:textId="71A71E6B" w:rsidR="00683719" w:rsidRDefault="00683719" w:rsidP="00214333"/>
    <w:p w14:paraId="3346D4A0" w14:textId="07933686" w:rsidR="00683719" w:rsidRDefault="00683719" w:rsidP="00214333">
      <w:r>
        <w:t>Other:</w:t>
      </w:r>
    </w:p>
    <w:p w14:paraId="359F670E" w14:textId="7CEFA0C4" w:rsidR="00683719" w:rsidRPr="00214333" w:rsidRDefault="00683719" w:rsidP="00214333">
      <w:r>
        <w:lastRenderedPageBreak/>
        <w:t>How to read and remember papers in new field? Things I’ve seen so far are 1. Read early papers in the area 2. Look up the author’s photo 3. Take notes</w:t>
      </w:r>
    </w:p>
    <w:p w14:paraId="4CB80D2E" w14:textId="77777777" w:rsidR="00725DAC" w:rsidRDefault="00725DAC" w:rsidP="00725DAC">
      <w:pPr>
        <w:pStyle w:val="Bibliography"/>
      </w:pPr>
    </w:p>
    <w:p w14:paraId="340146D7" w14:textId="134EF512" w:rsidR="00725DAC" w:rsidRDefault="00725DAC" w:rsidP="00725DAC">
      <w:pPr>
        <w:pStyle w:val="Bibliography"/>
        <w:jc w:val="center"/>
      </w:pPr>
      <w:r>
        <w:t>References</w:t>
      </w:r>
    </w:p>
    <w:p w14:paraId="770D00AF" w14:textId="77777777" w:rsidR="00725DAC" w:rsidRPr="00725DAC" w:rsidRDefault="00725DAC" w:rsidP="00725DAC">
      <w:pPr>
        <w:pStyle w:val="Bibliography"/>
        <w:rPr>
          <w:rFonts w:ascii="Calibri" w:cs="Calibri"/>
        </w:rPr>
      </w:pPr>
      <w:r>
        <w:fldChar w:fldCharType="begin"/>
      </w:r>
      <w:r>
        <w:instrText xml:space="preserve"> ADDIN ZOTERO_BIBL {"uncited":[],"omitted":[],"custom":[]} CSL_BIBLIOGRAPHY </w:instrText>
      </w:r>
      <w:r>
        <w:fldChar w:fldCharType="separate"/>
      </w:r>
      <w:proofErr w:type="spellStart"/>
      <w:r w:rsidRPr="00725DAC">
        <w:rPr>
          <w:rFonts w:ascii="Calibri" w:cs="Calibri"/>
        </w:rPr>
        <w:t>Anantharaman</w:t>
      </w:r>
      <w:proofErr w:type="spellEnd"/>
      <w:r w:rsidRPr="00725DAC">
        <w:rPr>
          <w:rFonts w:ascii="Calibri" w:cs="Calibri"/>
        </w:rPr>
        <w:t xml:space="preserve">, K., Brown, C.T., Hug, L.A., Sharon, I., </w:t>
      </w:r>
      <w:proofErr w:type="spellStart"/>
      <w:r w:rsidRPr="00725DAC">
        <w:rPr>
          <w:rFonts w:ascii="Calibri" w:cs="Calibri"/>
        </w:rPr>
        <w:t>Castelle</w:t>
      </w:r>
      <w:proofErr w:type="spellEnd"/>
      <w:r w:rsidRPr="00725DAC">
        <w:rPr>
          <w:rFonts w:ascii="Calibri" w:cs="Calibri"/>
        </w:rPr>
        <w:t xml:space="preserve">, C.J., Probst, A.J., Thomas, B.C., Singh, A., Wilkins, M.J., </w:t>
      </w:r>
      <w:proofErr w:type="spellStart"/>
      <w:r w:rsidRPr="00725DAC">
        <w:rPr>
          <w:rFonts w:ascii="Calibri" w:cs="Calibri"/>
        </w:rPr>
        <w:t>Karaoz</w:t>
      </w:r>
      <w:proofErr w:type="spellEnd"/>
      <w:r w:rsidRPr="00725DAC">
        <w:rPr>
          <w:rFonts w:ascii="Calibri" w:cs="Calibri"/>
        </w:rPr>
        <w:t xml:space="preserve">, U., et al. (2016). Thousands of microbial genomes shed light on interconnected biogeochemical processes in an aquifer system. Nat. </w:t>
      </w:r>
      <w:proofErr w:type="spellStart"/>
      <w:r w:rsidRPr="00725DAC">
        <w:rPr>
          <w:rFonts w:ascii="Calibri" w:cs="Calibri"/>
        </w:rPr>
        <w:t>Commun</w:t>
      </w:r>
      <w:proofErr w:type="spellEnd"/>
      <w:r w:rsidRPr="00725DAC">
        <w:rPr>
          <w:rFonts w:ascii="Calibri" w:cs="Calibri"/>
        </w:rPr>
        <w:t xml:space="preserve">. </w:t>
      </w:r>
      <w:r w:rsidRPr="00725DAC">
        <w:rPr>
          <w:rFonts w:ascii="Calibri" w:cs="Calibri"/>
          <w:i/>
          <w:iCs/>
        </w:rPr>
        <w:t>7</w:t>
      </w:r>
      <w:r w:rsidRPr="00725DAC">
        <w:rPr>
          <w:rFonts w:ascii="Calibri" w:cs="Calibri"/>
        </w:rPr>
        <w:t>.</w:t>
      </w:r>
    </w:p>
    <w:p w14:paraId="48E02792" w14:textId="77777777" w:rsidR="00725DAC" w:rsidRPr="00725DAC" w:rsidRDefault="00725DAC" w:rsidP="00725DAC">
      <w:pPr>
        <w:pStyle w:val="Bibliography"/>
        <w:rPr>
          <w:rFonts w:ascii="Calibri" w:cs="Calibri"/>
        </w:rPr>
      </w:pPr>
      <w:proofErr w:type="spellStart"/>
      <w:r w:rsidRPr="00725DAC">
        <w:rPr>
          <w:rFonts w:ascii="Calibri" w:cs="Calibri"/>
        </w:rPr>
        <w:t>Reveillaud</w:t>
      </w:r>
      <w:proofErr w:type="spellEnd"/>
      <w:r w:rsidRPr="00725DAC">
        <w:rPr>
          <w:rFonts w:ascii="Calibri" w:cs="Calibri"/>
        </w:rPr>
        <w:t xml:space="preserve">, J., Reddington, E., McDermott, J., </w:t>
      </w:r>
      <w:proofErr w:type="spellStart"/>
      <w:r w:rsidRPr="00725DAC">
        <w:rPr>
          <w:rFonts w:ascii="Calibri" w:cs="Calibri"/>
        </w:rPr>
        <w:t>Algar</w:t>
      </w:r>
      <w:proofErr w:type="spellEnd"/>
      <w:r w:rsidRPr="00725DAC">
        <w:rPr>
          <w:rFonts w:ascii="Calibri" w:cs="Calibri"/>
        </w:rPr>
        <w:t xml:space="preserve">, C., Meyer, J.L., Sylva, S., Seewald, J., German, C.R., and Huber, J.A. (2016). Subseafloor microbial communities in hydrogen-rich vent fluids from hydrothermal systems along the Mid-Cayman Rise. </w:t>
      </w:r>
      <w:proofErr w:type="spellStart"/>
      <w:r w:rsidRPr="00725DAC">
        <w:rPr>
          <w:rFonts w:ascii="Calibri" w:cs="Calibri"/>
        </w:rPr>
        <w:t>Env</w:t>
      </w:r>
      <w:proofErr w:type="spellEnd"/>
      <w:r w:rsidRPr="00725DAC">
        <w:rPr>
          <w:rFonts w:ascii="Calibri" w:cs="Calibri"/>
        </w:rPr>
        <w:t xml:space="preserve">. </w:t>
      </w:r>
      <w:proofErr w:type="spellStart"/>
      <w:r w:rsidRPr="00725DAC">
        <w:rPr>
          <w:rFonts w:ascii="Calibri" w:cs="Calibri"/>
        </w:rPr>
        <w:t>Microbiol</w:t>
      </w:r>
      <w:proofErr w:type="spellEnd"/>
      <w:r w:rsidRPr="00725DAC">
        <w:rPr>
          <w:rFonts w:ascii="Calibri" w:cs="Calibri"/>
        </w:rPr>
        <w:t xml:space="preserve"> </w:t>
      </w:r>
      <w:r w:rsidRPr="00725DAC">
        <w:rPr>
          <w:rFonts w:ascii="Calibri" w:cs="Calibri"/>
          <w:i/>
          <w:iCs/>
        </w:rPr>
        <w:t>18</w:t>
      </w:r>
      <w:r w:rsidRPr="00725DAC">
        <w:rPr>
          <w:rFonts w:ascii="Calibri" w:cs="Calibri"/>
        </w:rPr>
        <w:t>, 1970–1987.</w:t>
      </w:r>
    </w:p>
    <w:p w14:paraId="5C17AE34" w14:textId="5A5AD864" w:rsidR="00362D5C" w:rsidRDefault="00725DAC">
      <w:r>
        <w:fldChar w:fldCharType="end"/>
      </w:r>
    </w:p>
    <w:p w14:paraId="62A3C383" w14:textId="77777777" w:rsidR="005074EE" w:rsidRDefault="005074EE"/>
    <w:p w14:paraId="4C1F7B07" w14:textId="4A27D370" w:rsidR="00FB729D" w:rsidRPr="00016EDC" w:rsidRDefault="00FB729D"/>
    <w:sectPr w:rsidR="00FB729D" w:rsidRPr="00016EDC" w:rsidSect="002138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Galambos" w:date="2018-09-24T17:54:00Z" w:initials="DG">
    <w:p w14:paraId="49855878" w14:textId="484128DD" w:rsidR="00D334E2" w:rsidRDefault="00D334E2">
      <w:pPr>
        <w:pStyle w:val="CommentText"/>
      </w:pPr>
      <w:r>
        <w:rPr>
          <w:rStyle w:val="CommentReference"/>
        </w:rPr>
        <w:annotationRef/>
      </w:r>
      <w:r>
        <w:t>Need more here…</w:t>
      </w:r>
    </w:p>
  </w:comment>
  <w:comment w:id="1" w:author="David Galambos" w:date="2018-09-24T20:11:00Z" w:initials="DG">
    <w:p w14:paraId="71801087" w14:textId="1D0C9B4E" w:rsidR="00924377" w:rsidRDefault="00924377">
      <w:pPr>
        <w:pStyle w:val="CommentText"/>
      </w:pPr>
      <w:r>
        <w:rPr>
          <w:rStyle w:val="CommentReference"/>
        </w:rPr>
        <w:annotationRef/>
      </w:r>
      <w:r>
        <w:t>Say this better</w:t>
      </w:r>
    </w:p>
  </w:comment>
  <w:comment w:id="2" w:author="David Galambos" w:date="2018-09-24T22:22:00Z" w:initials="DG">
    <w:p w14:paraId="73C0D123" w14:textId="6FB306CE" w:rsidR="002D68C6" w:rsidRDefault="002D68C6">
      <w:pPr>
        <w:pStyle w:val="CommentText"/>
      </w:pPr>
      <w:r>
        <w:rPr>
          <w:rStyle w:val="CommentReference"/>
        </w:rPr>
        <w:annotationRef/>
      </w:r>
      <w:r>
        <w:t>Should I define this?</w:t>
      </w:r>
    </w:p>
  </w:comment>
  <w:comment w:id="3" w:author="David Galambos" w:date="2018-09-24T22:20:00Z" w:initials="DG">
    <w:p w14:paraId="480B3F78" w14:textId="24A64102" w:rsidR="00F40CF5" w:rsidRDefault="00F40CF5">
      <w:pPr>
        <w:pStyle w:val="CommentText"/>
      </w:pPr>
      <w:r>
        <w:rPr>
          <w:rStyle w:val="CommentReference"/>
        </w:rPr>
        <w:annotationRef/>
      </w:r>
      <w:r>
        <w:t xml:space="preserve">Feels wrong to say that a MAG is only expressed at one site, although that’s </w:t>
      </w:r>
      <w:proofErr w:type="gramStart"/>
      <w:r>
        <w:t>simpler..</w:t>
      </w:r>
      <w:proofErr w:type="gramEnd"/>
    </w:p>
  </w:comment>
  <w:comment w:id="4" w:author="David Galambos" w:date="2018-09-25T10:01:00Z" w:initials="DG">
    <w:p w14:paraId="7A396B0E" w14:textId="001B28A1" w:rsidR="001E0B9D" w:rsidRDefault="001E0B9D">
      <w:pPr>
        <w:pStyle w:val="CommentText"/>
      </w:pPr>
      <w:r>
        <w:rPr>
          <w:rStyle w:val="CommentReference"/>
        </w:rPr>
        <w:annotationRef/>
      </w:r>
      <w:r>
        <w:t>Misleading to use italics for both MAGs and lineage names?</w:t>
      </w:r>
    </w:p>
  </w:comment>
  <w:comment w:id="5" w:author="David Galambos" w:date="2018-09-24T23:13:00Z" w:initials="DG">
    <w:p w14:paraId="30218009" w14:textId="085FF51C" w:rsidR="00022392" w:rsidRDefault="00022392">
      <w:pPr>
        <w:pStyle w:val="CommentText"/>
      </w:pPr>
      <w:r>
        <w:rPr>
          <w:rStyle w:val="CommentReference"/>
        </w:rPr>
        <w:annotationRef/>
      </w:r>
      <w:r>
        <w:t xml:space="preserve">I’m </w:t>
      </w:r>
      <w:proofErr w:type="spellStart"/>
      <w:r>
        <w:t>gonna</w:t>
      </w:r>
      <w:proofErr w:type="spellEnd"/>
      <w:r>
        <w:t xml:space="preserve"> be honest, I didn’t record exactly how I searched this. </w:t>
      </w:r>
    </w:p>
  </w:comment>
  <w:comment w:id="6" w:author="David Galambos" w:date="2018-09-25T10:21:00Z" w:initials="DG">
    <w:p w14:paraId="171518E8" w14:textId="7B9B9066" w:rsidR="003F7202" w:rsidRDefault="003F7202">
      <w:pPr>
        <w:pStyle w:val="CommentText"/>
      </w:pPr>
      <w:r>
        <w:rPr>
          <w:rStyle w:val="CommentReference"/>
        </w:rPr>
        <w:annotationRef/>
      </w:r>
      <w:r>
        <w:t>Should I mention that cytochromes are present in this cluster too? I can say those cytochromes could be involved in the S ox / N red</w:t>
      </w:r>
    </w:p>
  </w:comment>
  <w:comment w:id="7" w:author="David Galambos" w:date="2018-09-25T10:19:00Z" w:initials="DG">
    <w:p w14:paraId="6B4D9CDC" w14:textId="578F39AB" w:rsidR="00322CDA" w:rsidRDefault="00322CDA">
      <w:pPr>
        <w:pStyle w:val="CommentText"/>
      </w:pPr>
      <w:r>
        <w:rPr>
          <w:rStyle w:val="CommentReference"/>
        </w:rPr>
        <w:annotationRef/>
      </w:r>
      <w: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855878" w15:done="0"/>
  <w15:commentEx w15:paraId="71801087" w15:done="0"/>
  <w15:commentEx w15:paraId="73C0D123" w15:done="0"/>
  <w15:commentEx w15:paraId="480B3F78" w15:done="0"/>
  <w15:commentEx w15:paraId="7A396B0E" w15:done="0"/>
  <w15:commentEx w15:paraId="30218009" w15:done="0"/>
  <w15:commentEx w15:paraId="171518E8" w15:done="0"/>
  <w15:commentEx w15:paraId="6B4D9C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855878" w16cid:durableId="1F53A346"/>
  <w16cid:commentId w16cid:paraId="71801087" w16cid:durableId="1F53C355"/>
  <w16cid:commentId w16cid:paraId="73C0D123" w16cid:durableId="1F53E238"/>
  <w16cid:commentId w16cid:paraId="480B3F78" w16cid:durableId="1F53E1B0"/>
  <w16cid:commentId w16cid:paraId="7A396B0E" w16cid:durableId="1F5485F7"/>
  <w16cid:commentId w16cid:paraId="30218009" w16cid:durableId="1F53EE20"/>
  <w16cid:commentId w16cid:paraId="171518E8" w16cid:durableId="1F548A95"/>
  <w16cid:commentId w16cid:paraId="6B4D9CDC" w16cid:durableId="1F548A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Galambos">
    <w15:presenceInfo w15:providerId="Windows Live" w15:userId="03f48202-f029-4a13-8e13-f896ed8a1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6A"/>
    <w:rsid w:val="000163D5"/>
    <w:rsid w:val="00016EDC"/>
    <w:rsid w:val="00022392"/>
    <w:rsid w:val="000343FD"/>
    <w:rsid w:val="00041BBF"/>
    <w:rsid w:val="00043780"/>
    <w:rsid w:val="000875B6"/>
    <w:rsid w:val="000C41FE"/>
    <w:rsid w:val="000C4B19"/>
    <w:rsid w:val="000D42C3"/>
    <w:rsid w:val="000F70F7"/>
    <w:rsid w:val="00121944"/>
    <w:rsid w:val="00126050"/>
    <w:rsid w:val="001672EF"/>
    <w:rsid w:val="001A021F"/>
    <w:rsid w:val="001A1898"/>
    <w:rsid w:val="001A2C4D"/>
    <w:rsid w:val="001E0B9D"/>
    <w:rsid w:val="001F3E6A"/>
    <w:rsid w:val="00200D0A"/>
    <w:rsid w:val="00206984"/>
    <w:rsid w:val="00213861"/>
    <w:rsid w:val="00214333"/>
    <w:rsid w:val="0022583C"/>
    <w:rsid w:val="00247859"/>
    <w:rsid w:val="00261574"/>
    <w:rsid w:val="00281B94"/>
    <w:rsid w:val="00286680"/>
    <w:rsid w:val="002B267C"/>
    <w:rsid w:val="002D68C6"/>
    <w:rsid w:val="002E03AD"/>
    <w:rsid w:val="002E0517"/>
    <w:rsid w:val="002F4BDD"/>
    <w:rsid w:val="00306665"/>
    <w:rsid w:val="003179E6"/>
    <w:rsid w:val="00321ACB"/>
    <w:rsid w:val="00322CDA"/>
    <w:rsid w:val="003446A5"/>
    <w:rsid w:val="00362D5C"/>
    <w:rsid w:val="00363BA6"/>
    <w:rsid w:val="00377E83"/>
    <w:rsid w:val="003B46D3"/>
    <w:rsid w:val="003B5363"/>
    <w:rsid w:val="003C2CB6"/>
    <w:rsid w:val="003F6D14"/>
    <w:rsid w:val="003F7202"/>
    <w:rsid w:val="00401399"/>
    <w:rsid w:val="004459C9"/>
    <w:rsid w:val="004509C2"/>
    <w:rsid w:val="004511C5"/>
    <w:rsid w:val="00477AB8"/>
    <w:rsid w:val="004A5040"/>
    <w:rsid w:val="004C3E1F"/>
    <w:rsid w:val="005074EE"/>
    <w:rsid w:val="0051147A"/>
    <w:rsid w:val="00520675"/>
    <w:rsid w:val="0055332C"/>
    <w:rsid w:val="0055455D"/>
    <w:rsid w:val="00574DBA"/>
    <w:rsid w:val="005A1476"/>
    <w:rsid w:val="005B0EAE"/>
    <w:rsid w:val="005E0203"/>
    <w:rsid w:val="005E6F97"/>
    <w:rsid w:val="005F09FC"/>
    <w:rsid w:val="005F3A23"/>
    <w:rsid w:val="00623E20"/>
    <w:rsid w:val="00630479"/>
    <w:rsid w:val="00646BF4"/>
    <w:rsid w:val="00670F14"/>
    <w:rsid w:val="006765A7"/>
    <w:rsid w:val="00680449"/>
    <w:rsid w:val="00683719"/>
    <w:rsid w:val="006B58EB"/>
    <w:rsid w:val="006C121A"/>
    <w:rsid w:val="00700625"/>
    <w:rsid w:val="00725DAC"/>
    <w:rsid w:val="007329D6"/>
    <w:rsid w:val="00744F34"/>
    <w:rsid w:val="0074702B"/>
    <w:rsid w:val="00770F01"/>
    <w:rsid w:val="007B29B1"/>
    <w:rsid w:val="007E212C"/>
    <w:rsid w:val="00807FE9"/>
    <w:rsid w:val="00833085"/>
    <w:rsid w:val="0084297D"/>
    <w:rsid w:val="00882597"/>
    <w:rsid w:val="008B6F9E"/>
    <w:rsid w:val="008B700C"/>
    <w:rsid w:val="008B7E35"/>
    <w:rsid w:val="008C1336"/>
    <w:rsid w:val="008F4AF1"/>
    <w:rsid w:val="00922BC0"/>
    <w:rsid w:val="00924377"/>
    <w:rsid w:val="00924C62"/>
    <w:rsid w:val="00965D65"/>
    <w:rsid w:val="009817F4"/>
    <w:rsid w:val="009C073B"/>
    <w:rsid w:val="009D69B0"/>
    <w:rsid w:val="00A0263E"/>
    <w:rsid w:val="00A55C2D"/>
    <w:rsid w:val="00A66B62"/>
    <w:rsid w:val="00A83796"/>
    <w:rsid w:val="00AC4542"/>
    <w:rsid w:val="00AE1DB6"/>
    <w:rsid w:val="00B01FC7"/>
    <w:rsid w:val="00B0476E"/>
    <w:rsid w:val="00B07BA1"/>
    <w:rsid w:val="00B11161"/>
    <w:rsid w:val="00B12786"/>
    <w:rsid w:val="00B24600"/>
    <w:rsid w:val="00B45BFF"/>
    <w:rsid w:val="00B53112"/>
    <w:rsid w:val="00B925CD"/>
    <w:rsid w:val="00BB415D"/>
    <w:rsid w:val="00BD7245"/>
    <w:rsid w:val="00BE52E4"/>
    <w:rsid w:val="00C315BF"/>
    <w:rsid w:val="00C36840"/>
    <w:rsid w:val="00C37FD7"/>
    <w:rsid w:val="00C44B87"/>
    <w:rsid w:val="00C52025"/>
    <w:rsid w:val="00C55BB3"/>
    <w:rsid w:val="00C67D55"/>
    <w:rsid w:val="00C720A3"/>
    <w:rsid w:val="00C76F86"/>
    <w:rsid w:val="00CD4AFB"/>
    <w:rsid w:val="00D243B7"/>
    <w:rsid w:val="00D263AC"/>
    <w:rsid w:val="00D303EF"/>
    <w:rsid w:val="00D334E2"/>
    <w:rsid w:val="00DC75F8"/>
    <w:rsid w:val="00DD3E8A"/>
    <w:rsid w:val="00DF0B62"/>
    <w:rsid w:val="00DF5FD2"/>
    <w:rsid w:val="00E07F89"/>
    <w:rsid w:val="00E23A6A"/>
    <w:rsid w:val="00E45F3F"/>
    <w:rsid w:val="00E924C6"/>
    <w:rsid w:val="00E96604"/>
    <w:rsid w:val="00EA3249"/>
    <w:rsid w:val="00ED28E1"/>
    <w:rsid w:val="00F13AD5"/>
    <w:rsid w:val="00F40CF5"/>
    <w:rsid w:val="00F43B76"/>
    <w:rsid w:val="00F54001"/>
    <w:rsid w:val="00F703F3"/>
    <w:rsid w:val="00F705E0"/>
    <w:rsid w:val="00F74268"/>
    <w:rsid w:val="00F773D2"/>
    <w:rsid w:val="00F81725"/>
    <w:rsid w:val="00F834CF"/>
    <w:rsid w:val="00FA090C"/>
    <w:rsid w:val="00FB729D"/>
    <w:rsid w:val="00FE0EFB"/>
    <w:rsid w:val="00FE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085"/>
  <w14:defaultImageDpi w14:val="32767"/>
  <w15:chartTrackingRefBased/>
  <w15:docId w15:val="{67F5715E-8D74-1145-B359-293B9B6D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4E2"/>
    <w:rPr>
      <w:sz w:val="16"/>
      <w:szCs w:val="16"/>
    </w:rPr>
  </w:style>
  <w:style w:type="paragraph" w:styleId="CommentText">
    <w:name w:val="annotation text"/>
    <w:basedOn w:val="Normal"/>
    <w:link w:val="CommentTextChar"/>
    <w:uiPriority w:val="99"/>
    <w:semiHidden/>
    <w:unhideWhenUsed/>
    <w:rsid w:val="00D334E2"/>
    <w:rPr>
      <w:sz w:val="20"/>
      <w:szCs w:val="20"/>
    </w:rPr>
  </w:style>
  <w:style w:type="character" w:customStyle="1" w:styleId="CommentTextChar">
    <w:name w:val="Comment Text Char"/>
    <w:basedOn w:val="DefaultParagraphFont"/>
    <w:link w:val="CommentText"/>
    <w:uiPriority w:val="99"/>
    <w:semiHidden/>
    <w:rsid w:val="00D334E2"/>
    <w:rPr>
      <w:sz w:val="20"/>
      <w:szCs w:val="20"/>
    </w:rPr>
  </w:style>
  <w:style w:type="paragraph" w:styleId="CommentSubject">
    <w:name w:val="annotation subject"/>
    <w:basedOn w:val="CommentText"/>
    <w:next w:val="CommentText"/>
    <w:link w:val="CommentSubjectChar"/>
    <w:uiPriority w:val="99"/>
    <w:semiHidden/>
    <w:unhideWhenUsed/>
    <w:rsid w:val="00D334E2"/>
    <w:rPr>
      <w:b/>
      <w:bCs/>
    </w:rPr>
  </w:style>
  <w:style w:type="character" w:customStyle="1" w:styleId="CommentSubjectChar">
    <w:name w:val="Comment Subject Char"/>
    <w:basedOn w:val="CommentTextChar"/>
    <w:link w:val="CommentSubject"/>
    <w:uiPriority w:val="99"/>
    <w:semiHidden/>
    <w:rsid w:val="00D334E2"/>
    <w:rPr>
      <w:b/>
      <w:bCs/>
      <w:sz w:val="20"/>
      <w:szCs w:val="20"/>
    </w:rPr>
  </w:style>
  <w:style w:type="paragraph" w:styleId="BalloonText">
    <w:name w:val="Balloon Text"/>
    <w:basedOn w:val="Normal"/>
    <w:link w:val="BalloonTextChar"/>
    <w:uiPriority w:val="99"/>
    <w:semiHidden/>
    <w:unhideWhenUsed/>
    <w:rsid w:val="00D334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34E2"/>
    <w:rPr>
      <w:rFonts w:ascii="Times New Roman" w:hAnsi="Times New Roman" w:cs="Times New Roman"/>
      <w:sz w:val="18"/>
      <w:szCs w:val="18"/>
    </w:rPr>
  </w:style>
  <w:style w:type="character" w:styleId="Strong">
    <w:name w:val="Strong"/>
    <w:basedOn w:val="DefaultParagraphFont"/>
    <w:uiPriority w:val="22"/>
    <w:qFormat/>
    <w:rsid w:val="00924377"/>
    <w:rPr>
      <w:b/>
      <w:bCs/>
    </w:rPr>
  </w:style>
  <w:style w:type="paragraph" w:styleId="Bibliography">
    <w:name w:val="Bibliography"/>
    <w:basedOn w:val="Normal"/>
    <w:next w:val="Normal"/>
    <w:uiPriority w:val="37"/>
    <w:unhideWhenUsed/>
    <w:rsid w:val="00725DAC"/>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Galambos</dc:creator>
  <cp:keywords/>
  <dc:description/>
  <cp:lastModifiedBy>David Galambos</cp:lastModifiedBy>
  <cp:revision>28</cp:revision>
  <dcterms:created xsi:type="dcterms:W3CDTF">2018-09-24T22:33:00Z</dcterms:created>
  <dcterms:modified xsi:type="dcterms:W3CDTF">2018-09-25T15:29:00Z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id="fbdohPcS"/&gt;&lt;style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