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4D0E746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(2020-2021)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9A2619A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7C166FC" w14:textId="20A74252" w:rsidR="004A6E42" w:rsidRPr="004A6E42" w:rsidRDefault="004A6E42" w:rsidP="004A6E4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69050E">
        <w:rPr>
          <w:rFonts w:ascii="Arial" w:hAnsi="Arial" w:cs="Arial"/>
          <w:bCs/>
          <w:sz w:val="24"/>
        </w:rPr>
        <w:t>Under Review</w:t>
      </w:r>
      <w:r>
        <w:rPr>
          <w:rFonts w:ascii="Arial" w:hAnsi="Arial" w:cs="Arial"/>
          <w:bCs/>
          <w:sz w:val="24"/>
        </w:rPr>
        <w:t>). To Move or Not to Move: Cortico-spinal activity is enhanced during pain observation regardless of motor preparation state.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5C943CDD" w14:textId="77777777" w:rsidR="004A6E42" w:rsidRDefault="004A6E42" w:rsidP="0025505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6C800A5" w14:textId="0198C398" w:rsidR="00255052" w:rsidRPr="00255052" w:rsidRDefault="00255052" w:rsidP="0025505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 Response-general effects of pain observation on motor behaviour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24D3C68A" w14:textId="77777777" w:rsidR="00255052" w:rsidRDefault="00255052" w:rsidP="0025505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4632DDCC" w14:textId="77777777" w:rsidR="00B61058" w:rsidRDefault="00B61058" w:rsidP="00413171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</w:t>
        </w:r>
        <w:r w:rsidR="00DE7F8D" w:rsidRPr="00BE050C">
          <w:rPr>
            <w:rStyle w:val="Hyperlink"/>
            <w:rFonts w:ascii="Arial" w:hAnsi="Arial" w:cs="Arial"/>
            <w:sz w:val="24"/>
          </w:rPr>
          <w:t>b</w:t>
        </w:r>
        <w:r w:rsidR="00DE7F8D" w:rsidRPr="00BE050C">
          <w:rPr>
            <w:rStyle w:val="Hyperlink"/>
            <w:rFonts w:ascii="Arial" w:hAnsi="Arial" w:cs="Arial"/>
            <w:sz w:val="24"/>
          </w:rPr>
          <w:t>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8BC95" w14:textId="77777777" w:rsidR="006A5277" w:rsidRDefault="006A5277" w:rsidP="00C7713F">
      <w:pPr>
        <w:spacing w:after="0" w:line="240" w:lineRule="auto"/>
      </w:pPr>
      <w:r>
        <w:separator/>
      </w:r>
    </w:p>
  </w:endnote>
  <w:endnote w:type="continuationSeparator" w:id="0">
    <w:p w14:paraId="2346C762" w14:textId="77777777" w:rsidR="006A5277" w:rsidRDefault="006A527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24C85" w14:textId="77777777" w:rsidR="006A5277" w:rsidRDefault="006A5277" w:rsidP="00C7713F">
      <w:pPr>
        <w:spacing w:after="0" w:line="240" w:lineRule="auto"/>
      </w:pPr>
      <w:r>
        <w:separator/>
      </w:r>
    </w:p>
  </w:footnote>
  <w:footnote w:type="continuationSeparator" w:id="0">
    <w:p w14:paraId="2E57C803" w14:textId="77777777" w:rsidR="006A5277" w:rsidRDefault="006A5277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716</cp:revision>
  <cp:lastPrinted>2020-03-18T01:58:00Z</cp:lastPrinted>
  <dcterms:created xsi:type="dcterms:W3CDTF">2016-10-05T19:10:00Z</dcterms:created>
  <dcterms:modified xsi:type="dcterms:W3CDTF">2020-10-15T19:03:00Z</dcterms:modified>
</cp:coreProperties>
</file>