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0"/>
        </w:rPr>
        <w:t>FORDAGO: SYSTEM TECHNOLOGY STACK</w:t>
        <w:br/>
        <w:t>&amp; ARCHITECTURAL SPECIFICATION</w:t>
      </w:r>
    </w:p>
    <w:p>
      <w:pPr>
        <w:jc w:val="center"/>
      </w:pPr>
      <w:r>
        <w:rPr>
          <w:rFonts w:ascii="Arial" w:hAnsi="Arial"/>
          <w:i/>
          <w:color w:val="D97706"/>
          <w:sz w:val="22"/>
        </w:rPr>
        <w:t>Mobile-Based Gym Database Management System | Capstone Defense Reference</w:t>
      </w:r>
    </w:p>
    <w:tbl>
      <w:tblPr>
        <w:tblW w:type="auto" w:w="0"/>
        <w:jc w:val="center"/>
        <w:tblLook w:firstColumn="1" w:firstRow="1" w:lastColumn="0" w:lastRow="0" w:noHBand="0" w:noVBand="1" w:val="04A0"/>
      </w:tblPr>
      <w:tblGrid>
        <w:gridCol w:w="4968"/>
        <w:gridCol w:w="4968"/>
      </w:tblGrid>
      <w:tr>
        <w:tc>
          <w:tcPr>
            <w:tcW w:type="dxa" w:w="3168"/>
            <w:shd w:fill="F1F5F9"/>
            <w:tcMar>
              <w:top w:w="80" w:type="dxa"/>
              <w:bottom w:w="80" w:type="dxa"/>
              <w:left w:w="120" w:type="dxa"/>
              <w:right w:w="120" w:type="dxa"/>
            </w:tcMar>
          </w:tcPr>
          <w:p>
            <w:r>
              <w:rPr>
                <w:b/>
                <w:color w:val="0F172A"/>
                <w:sz w:val="19"/>
              </w:rPr>
              <w:t>Target System:</w:t>
            </w:r>
          </w:p>
        </w:tc>
        <w:tc>
          <w:tcPr>
            <w:tcW w:type="dxa" w:w="6480"/>
            <w:shd w:fill="F8FAFC"/>
            <w:tcMar>
              <w:top w:w="80" w:type="dxa"/>
              <w:bottom w:w="80" w:type="dxa"/>
              <w:left w:w="120" w:type="dxa"/>
              <w:right w:w="120" w:type="dxa"/>
            </w:tcMar>
          </w:tcPr>
          <w:p>
            <w:r>
              <w:rPr>
                <w:color w:val="1E293B"/>
                <w:sz w:val="19"/>
              </w:rPr>
              <w:t>FordaGo — AffordaGym (San Isidro Branch)</w:t>
            </w:r>
          </w:p>
        </w:tc>
      </w:tr>
      <w:tr>
        <w:tc>
          <w:tcPr>
            <w:tcW w:type="dxa" w:w="3168"/>
            <w:shd w:fill="F1F5F9"/>
            <w:tcMar>
              <w:top w:w="80" w:type="dxa"/>
              <w:bottom w:w="80" w:type="dxa"/>
              <w:left w:w="120" w:type="dxa"/>
              <w:right w:w="120" w:type="dxa"/>
            </w:tcMar>
          </w:tcPr>
          <w:p>
            <w:r>
              <w:rPr>
                <w:b/>
                <w:color w:val="0F172A"/>
                <w:sz w:val="19"/>
              </w:rPr>
              <w:t>Target Platforms:</w:t>
            </w:r>
          </w:p>
        </w:tc>
        <w:tc>
          <w:tcPr>
            <w:tcW w:type="dxa" w:w="6480"/>
            <w:shd w:fill="F8FAFC"/>
            <w:tcMar>
              <w:top w:w="80" w:type="dxa"/>
              <w:bottom w:w="80" w:type="dxa"/>
              <w:left w:w="120" w:type="dxa"/>
              <w:right w:w="120" w:type="dxa"/>
            </w:tcMar>
          </w:tcPr>
          <w:p>
            <w:r>
              <w:rPr>
                <w:color w:val="1E293B"/>
                <w:sz w:val="19"/>
              </w:rPr>
              <w:t>Android Native APK (Capacitor 8) / Cross-Platform iOS / PWA</w:t>
            </w:r>
          </w:p>
        </w:tc>
      </w:tr>
      <w:tr>
        <w:tc>
          <w:tcPr>
            <w:tcW w:type="dxa" w:w="3168"/>
            <w:shd w:fill="F1F5F9"/>
            <w:tcMar>
              <w:top w:w="80" w:type="dxa"/>
              <w:bottom w:w="80" w:type="dxa"/>
              <w:left w:w="120" w:type="dxa"/>
              <w:right w:w="120" w:type="dxa"/>
            </w:tcMar>
          </w:tcPr>
          <w:p>
            <w:r>
              <w:rPr>
                <w:b/>
                <w:color w:val="0F172A"/>
                <w:sz w:val="19"/>
              </w:rPr>
              <w:t>Architecture Pattern:</w:t>
            </w:r>
          </w:p>
        </w:tc>
        <w:tc>
          <w:tcPr>
            <w:tcW w:type="dxa" w:w="6480"/>
            <w:shd w:fill="F8FAFC"/>
            <w:tcMar>
              <w:top w:w="80" w:type="dxa"/>
              <w:bottom w:w="80" w:type="dxa"/>
              <w:left w:w="120" w:type="dxa"/>
              <w:right w:w="120" w:type="dxa"/>
            </w:tcMar>
          </w:tcPr>
          <w:p>
            <w:r>
              <w:rPr>
                <w:color w:val="1E293B"/>
                <w:sz w:val="19"/>
              </w:rPr>
              <w:t>Decoupled Client-Server &amp; Event-Driven Real-Time WebSocket Architecture</w:t>
            </w:r>
          </w:p>
        </w:tc>
      </w:tr>
      <w:tr>
        <w:tc>
          <w:tcPr>
            <w:tcW w:type="dxa" w:w="3168"/>
            <w:shd w:fill="F1F5F9"/>
            <w:tcMar>
              <w:top w:w="80" w:type="dxa"/>
              <w:bottom w:w="80" w:type="dxa"/>
              <w:left w:w="120" w:type="dxa"/>
              <w:right w:w="120" w:type="dxa"/>
            </w:tcMar>
          </w:tcPr>
          <w:p>
            <w:r>
              <w:rPr>
                <w:b/>
                <w:color w:val="0F172A"/>
                <w:sz w:val="19"/>
              </w:rPr>
              <w:t>Document Version:</w:t>
            </w:r>
          </w:p>
        </w:tc>
        <w:tc>
          <w:tcPr>
            <w:tcW w:type="dxa" w:w="6480"/>
            <w:shd w:fill="F8FAFC"/>
            <w:tcMar>
              <w:top w:w="80" w:type="dxa"/>
              <w:bottom w:w="80" w:type="dxa"/>
              <w:left w:w="120" w:type="dxa"/>
              <w:right w:w="120" w:type="dxa"/>
            </w:tcMar>
          </w:tcPr>
          <w:p>
            <w:r>
              <w:rPr>
                <w:color w:val="1E293B"/>
                <w:sz w:val="19"/>
              </w:rPr>
              <w:t>Version 2.0 (Defense Evaluation Ready — September 2026)</w:t>
            </w:r>
          </w:p>
        </w:tc>
      </w:tr>
    </w:tbl>
    <w:p/>
    <w:p>
      <w:pPr>
        <w:spacing w:before="320" w:after="120"/>
      </w:pPr>
      <w:r>
        <w:rPr>
          <w:rFonts w:ascii="Arial" w:hAnsi="Arial"/>
          <w:b/>
          <w:color w:val="0F172A"/>
          <w:sz w:val="28"/>
        </w:rPr>
        <w:t>1. Executive Architectural Overview</w:t>
      </w:r>
    </w:p>
    <w:p>
      <w:pPr>
        <w:spacing w:line="276" w:lineRule="auto"/>
      </w:pPr>
      <w:r>
        <w:rPr>
          <w:color w:val="1E293B"/>
          <w:sz w:val="20"/>
        </w:rPr>
        <w:t>FordaGo is built on a modern decoupled architecture separating the presentation layer from the application logic and relational persistence tier. The mobile application functions as a Single Page Application (SPA) packaged into native mobile platform packages via Capacitor, communicating asynchronously with the backend over secure HTTPS REST endpoints and persistent WSS WebSockets.</w:t>
      </w:r>
    </w:p>
    <w:tbl>
      <w:tblPr>
        <w:tblW w:type="auto" w:w="0"/>
        <w:jc w:val="center"/>
        <w:tblLook w:firstColumn="1" w:firstRow="1" w:lastColumn="0" w:lastRow="0" w:noHBand="0" w:noVBand="1" w:val="04A0"/>
      </w:tblPr>
      <w:tblGrid>
        <w:gridCol w:w="3312"/>
        <w:gridCol w:w="3312"/>
        <w:gridCol w:w="3312"/>
      </w:tblGrid>
      <w:tr>
        <w:tc>
          <w:tcPr>
            <w:tcW w:type="dxa" w:w="3312"/>
            <w:shd w:fill="0F172A"/>
            <w:tcMar>
              <w:top w:w="100" w:type="dxa"/>
              <w:bottom w:w="100" w:type="dxa"/>
              <w:left w:w="120" w:type="dxa"/>
              <w:right w:w="120" w:type="dxa"/>
            </w:tcMar>
          </w:tcPr>
          <w:p>
            <w:r>
              <w:rPr>
                <w:b/>
                <w:color w:val="FFFFFF"/>
                <w:sz w:val="19"/>
              </w:rPr>
              <w:t>Tier / Layer</w:t>
            </w:r>
          </w:p>
        </w:tc>
        <w:tc>
          <w:tcPr>
            <w:tcW w:type="dxa" w:w="3312"/>
            <w:shd w:fill="0F172A"/>
            <w:tcMar>
              <w:top w:w="100" w:type="dxa"/>
              <w:bottom w:w="100" w:type="dxa"/>
              <w:left w:w="120" w:type="dxa"/>
              <w:right w:w="120" w:type="dxa"/>
            </w:tcMar>
          </w:tcPr>
          <w:p>
            <w:r>
              <w:rPr>
                <w:b/>
                <w:color w:val="FFFFFF"/>
                <w:sz w:val="19"/>
              </w:rPr>
              <w:t>Technology</w:t>
            </w:r>
          </w:p>
        </w:tc>
        <w:tc>
          <w:tcPr>
            <w:tcW w:type="dxa" w:w="3312"/>
            <w:shd w:fill="0F172A"/>
            <w:tcMar>
              <w:top w:w="100" w:type="dxa"/>
              <w:bottom w:w="100" w:type="dxa"/>
              <w:left w:w="120" w:type="dxa"/>
              <w:right w:w="120" w:type="dxa"/>
            </w:tcMar>
          </w:tcPr>
          <w:p>
            <w:r>
              <w:rPr>
                <w:b/>
                <w:color w:val="FFFFFF"/>
                <w:sz w:val="19"/>
              </w:rPr>
              <w:t>Core Responsibility &amp; Key Packages</w:t>
            </w:r>
          </w:p>
        </w:tc>
      </w:tr>
      <w:tr>
        <w:tc>
          <w:tcPr>
            <w:tcW w:type="dxa" w:w="3312"/>
            <w:shd w:fill="F8FAFC"/>
            <w:tcMar>
              <w:top w:w="80" w:type="dxa"/>
              <w:bottom w:w="80" w:type="dxa"/>
              <w:left w:w="100" w:type="dxa"/>
              <w:right w:w="100" w:type="dxa"/>
            </w:tcMar>
          </w:tcPr>
          <w:p>
            <w:r>
              <w:rPr>
                <w:b/>
                <w:color w:val="0F172A"/>
                <w:sz w:val="18"/>
              </w:rPr>
              <w:t>Mobile Presentation</w:t>
            </w:r>
          </w:p>
        </w:tc>
        <w:tc>
          <w:tcPr>
            <w:tcW w:type="dxa" w:w="3312"/>
            <w:shd w:fill="F8FAFC"/>
            <w:tcMar>
              <w:top w:w="80" w:type="dxa"/>
              <w:bottom w:w="80" w:type="dxa"/>
              <w:left w:w="100" w:type="dxa"/>
              <w:right w:w="100" w:type="dxa"/>
            </w:tcMar>
          </w:tcPr>
          <w:p>
            <w:r>
              <w:rPr>
                <w:b/>
                <w:color w:val="D97706"/>
                <w:sz w:val="18"/>
              </w:rPr>
              <w:t>Ionic 8 + Angular 20</w:t>
              <w:br/>
              <w:t>(TypeScript / SCSS)</w:t>
            </w:r>
          </w:p>
        </w:tc>
        <w:tc>
          <w:tcPr>
            <w:tcW w:type="dxa" w:w="3312"/>
            <w:shd w:fill="F8FAFC"/>
            <w:tcMar>
              <w:top w:w="80" w:type="dxa"/>
              <w:bottom w:w="80" w:type="dxa"/>
              <w:left w:w="100" w:type="dxa"/>
              <w:right w:w="100" w:type="dxa"/>
            </w:tcMar>
          </w:tcPr>
          <w:p>
            <w:r>
              <w:rPr>
                <w:color w:val="1E293B"/>
                <w:sz w:val="18"/>
              </w:rPr>
              <w:t>Interactive mobile UI, client-side routing, biometric prompts, QR scanning, reactive state.</w:t>
            </w:r>
          </w:p>
        </w:tc>
      </w:tr>
      <w:tr>
        <w:tc>
          <w:tcPr>
            <w:tcW w:type="dxa" w:w="3312"/>
            <w:shd w:fill="FFFFFF"/>
            <w:tcMar>
              <w:top w:w="80" w:type="dxa"/>
              <w:bottom w:w="80" w:type="dxa"/>
              <w:left w:w="100" w:type="dxa"/>
              <w:right w:w="100" w:type="dxa"/>
            </w:tcMar>
          </w:tcPr>
          <w:p>
            <w:r>
              <w:rPr>
                <w:b/>
                <w:color w:val="0F172A"/>
                <w:sz w:val="18"/>
              </w:rPr>
              <w:t>Native Mobile Bridge</w:t>
            </w:r>
          </w:p>
        </w:tc>
        <w:tc>
          <w:tcPr>
            <w:tcW w:type="dxa" w:w="3312"/>
            <w:shd w:fill="FFFFFF"/>
            <w:tcMar>
              <w:top w:w="80" w:type="dxa"/>
              <w:bottom w:w="80" w:type="dxa"/>
              <w:left w:w="100" w:type="dxa"/>
              <w:right w:w="100" w:type="dxa"/>
            </w:tcMar>
          </w:tcPr>
          <w:p>
            <w:r>
              <w:rPr>
                <w:b/>
                <w:color w:val="D97706"/>
                <w:sz w:val="18"/>
              </w:rPr>
              <w:t>Capacitor 8</w:t>
              <w:br/>
              <w:t>(Android / iOS)</w:t>
            </w:r>
          </w:p>
        </w:tc>
        <w:tc>
          <w:tcPr>
            <w:tcW w:type="dxa" w:w="3312"/>
            <w:shd w:fill="FFFFFF"/>
            <w:tcMar>
              <w:top w:w="80" w:type="dxa"/>
              <w:bottom w:w="80" w:type="dxa"/>
              <w:left w:w="100" w:type="dxa"/>
              <w:right w:w="100" w:type="dxa"/>
            </w:tcMar>
          </w:tcPr>
          <w:p>
            <w:r>
              <w:rPr>
                <w:color w:val="1E293B"/>
                <w:sz w:val="18"/>
              </w:rPr>
              <w:t>Interfaces with hardware camera, biometric authentication, device storage, and status bar.</w:t>
            </w:r>
          </w:p>
        </w:tc>
      </w:tr>
      <w:tr>
        <w:tc>
          <w:tcPr>
            <w:tcW w:type="dxa" w:w="3312"/>
            <w:shd w:fill="F8FAFC"/>
            <w:tcMar>
              <w:top w:w="80" w:type="dxa"/>
              <w:bottom w:w="80" w:type="dxa"/>
              <w:left w:w="100" w:type="dxa"/>
              <w:right w:w="100" w:type="dxa"/>
            </w:tcMar>
          </w:tcPr>
          <w:p>
            <w:r>
              <w:rPr>
                <w:b/>
                <w:color w:val="0F172A"/>
                <w:sz w:val="18"/>
              </w:rPr>
              <w:t>Backend &amp; API Tier</w:t>
            </w:r>
          </w:p>
        </w:tc>
        <w:tc>
          <w:tcPr>
            <w:tcW w:type="dxa" w:w="3312"/>
            <w:shd w:fill="F8FAFC"/>
            <w:tcMar>
              <w:top w:w="80" w:type="dxa"/>
              <w:bottom w:w="80" w:type="dxa"/>
              <w:left w:w="100" w:type="dxa"/>
              <w:right w:w="100" w:type="dxa"/>
            </w:tcMar>
          </w:tcPr>
          <w:p>
            <w:r>
              <w:rPr>
                <w:b/>
                <w:color w:val="D97706"/>
                <w:sz w:val="18"/>
              </w:rPr>
              <w:t>Laravel 12/13 (PHP 8.3+)</w:t>
              <w:br/>
              <w:t>Laravel Sanctum</w:t>
            </w:r>
          </w:p>
        </w:tc>
        <w:tc>
          <w:tcPr>
            <w:tcW w:type="dxa" w:w="3312"/>
            <w:shd w:fill="F8FAFC"/>
            <w:tcMar>
              <w:top w:w="80" w:type="dxa"/>
              <w:bottom w:w="80" w:type="dxa"/>
              <w:left w:w="100" w:type="dxa"/>
              <w:right w:w="100" w:type="dxa"/>
            </w:tcMar>
          </w:tcPr>
          <w:p>
            <w:r>
              <w:rPr>
                <w:color w:val="1E293B"/>
                <w:sz w:val="18"/>
              </w:rPr>
              <w:t>Stateless RESTful JSON API, token-based authentication, RBAC authorization, rate limiting, and business validation.</w:t>
            </w:r>
          </w:p>
        </w:tc>
      </w:tr>
      <w:tr>
        <w:tc>
          <w:tcPr>
            <w:tcW w:type="dxa" w:w="3312"/>
            <w:shd w:fill="FFFFFF"/>
            <w:tcMar>
              <w:top w:w="80" w:type="dxa"/>
              <w:bottom w:w="80" w:type="dxa"/>
              <w:left w:w="100" w:type="dxa"/>
              <w:right w:w="100" w:type="dxa"/>
            </w:tcMar>
          </w:tcPr>
          <w:p>
            <w:r>
              <w:rPr>
                <w:b/>
                <w:color w:val="0F172A"/>
                <w:sz w:val="18"/>
              </w:rPr>
              <w:t>Real-Time &amp; Events</w:t>
            </w:r>
          </w:p>
        </w:tc>
        <w:tc>
          <w:tcPr>
            <w:tcW w:type="dxa" w:w="3312"/>
            <w:shd w:fill="FFFFFF"/>
            <w:tcMar>
              <w:top w:w="80" w:type="dxa"/>
              <w:bottom w:w="80" w:type="dxa"/>
              <w:left w:w="100" w:type="dxa"/>
              <w:right w:w="100" w:type="dxa"/>
            </w:tcMar>
          </w:tcPr>
          <w:p>
            <w:r>
              <w:rPr>
                <w:b/>
                <w:color w:val="D97706"/>
                <w:sz w:val="18"/>
              </w:rPr>
              <w:t>Laravel Reverb +</w:t>
              <w:br/>
              <w:t>Laravel Echo</w:t>
            </w:r>
          </w:p>
        </w:tc>
        <w:tc>
          <w:tcPr>
            <w:tcW w:type="dxa" w:w="3312"/>
            <w:shd w:fill="FFFFFF"/>
            <w:tcMar>
              <w:top w:w="80" w:type="dxa"/>
              <w:bottom w:w="80" w:type="dxa"/>
              <w:left w:w="100" w:type="dxa"/>
              <w:right w:w="100" w:type="dxa"/>
            </w:tcMar>
          </w:tcPr>
          <w:p>
            <w:r>
              <w:rPr>
                <w:color w:val="1E293B"/>
                <w:sz w:val="18"/>
              </w:rPr>
              <w:t>First-party native WebSocket server for sub-second live attendance logging and real-time coaching chat.</w:t>
            </w:r>
          </w:p>
        </w:tc>
      </w:tr>
      <w:tr>
        <w:tc>
          <w:tcPr>
            <w:tcW w:type="dxa" w:w="3312"/>
            <w:shd w:fill="F8FAFC"/>
            <w:tcMar>
              <w:top w:w="80" w:type="dxa"/>
              <w:bottom w:w="80" w:type="dxa"/>
              <w:left w:w="100" w:type="dxa"/>
              <w:right w:w="100" w:type="dxa"/>
            </w:tcMar>
          </w:tcPr>
          <w:p>
            <w:r>
              <w:rPr>
                <w:b/>
                <w:color w:val="0F172A"/>
                <w:sz w:val="18"/>
              </w:rPr>
              <w:t>Database &amp; Storage</w:t>
            </w:r>
          </w:p>
        </w:tc>
        <w:tc>
          <w:tcPr>
            <w:tcW w:type="dxa" w:w="3312"/>
            <w:shd w:fill="F8FAFC"/>
            <w:tcMar>
              <w:top w:w="80" w:type="dxa"/>
              <w:bottom w:w="80" w:type="dxa"/>
              <w:left w:w="100" w:type="dxa"/>
              <w:right w:w="100" w:type="dxa"/>
            </w:tcMar>
          </w:tcPr>
          <w:p>
            <w:r>
              <w:rPr>
                <w:b/>
                <w:color w:val="D97706"/>
                <w:sz w:val="18"/>
              </w:rPr>
              <w:t>MySQL 8.0+</w:t>
              <w:br/>
              <w:t>Eloquent ORM</w:t>
            </w:r>
          </w:p>
        </w:tc>
        <w:tc>
          <w:tcPr>
            <w:tcW w:type="dxa" w:w="3312"/>
            <w:shd w:fill="F8FAFC"/>
            <w:tcMar>
              <w:top w:w="80" w:type="dxa"/>
              <w:bottom w:w="80" w:type="dxa"/>
              <w:left w:w="100" w:type="dxa"/>
              <w:right w:w="100" w:type="dxa"/>
            </w:tcMar>
          </w:tcPr>
          <w:p>
            <w:r>
              <w:rPr>
                <w:color w:val="1E293B"/>
                <w:sz w:val="18"/>
              </w:rPr>
              <w:t>ACID-compliant relational database, strict foreign key constraints, automated migrations, audit logs.</w:t>
            </w:r>
          </w:p>
        </w:tc>
      </w:tr>
    </w:tbl>
    <w:p>
      <w:pPr>
        <w:spacing w:before="320" w:after="120"/>
      </w:pPr>
      <w:r>
        <w:rPr>
          <w:rFonts w:ascii="Arial" w:hAnsi="Arial"/>
          <w:b/>
          <w:color w:val="0F172A"/>
          <w:sz w:val="28"/>
        </w:rPr>
        <w:t>2. Detailed Technology Stack Breakdown</w:t>
      </w:r>
    </w:p>
    <w:p>
      <w:pPr>
        <w:spacing w:before="200" w:after="80"/>
      </w:pPr>
      <w:r>
        <w:rPr>
          <w:rFonts w:ascii="Arial" w:hAnsi="Arial"/>
          <w:b/>
          <w:color w:val="D97706"/>
          <w:sz w:val="23"/>
        </w:rPr>
        <w:t>A. Frontend &amp; Mobile Runtime Layer</w:t>
      </w:r>
    </w:p>
    <w:p>
      <w:pPr>
        <w:pStyle w:val="ListBullet"/>
        <w:spacing w:after="60"/>
      </w:pPr>
      <w:r>
        <w:rPr>
          <w:b/>
          <w:color w:val="0F172A"/>
          <w:sz w:val="20"/>
        </w:rPr>
        <w:t xml:space="preserve">Ionic Framework (v8.0+): </w:t>
      </w:r>
      <w:r>
        <w:rPr>
          <w:color w:val="1E293B"/>
          <w:sz w:val="20"/>
        </w:rPr>
        <w:t>Provides high-fidelity mobile UI components tailored for iOS and Android guidelines with hardware-accelerated animations and gesture handling.</w:t>
      </w:r>
    </w:p>
    <w:p>
      <w:pPr>
        <w:pStyle w:val="ListBullet"/>
        <w:spacing w:after="60"/>
      </w:pPr>
      <w:r>
        <w:rPr>
          <w:b/>
          <w:color w:val="0F172A"/>
          <w:sz w:val="20"/>
        </w:rPr>
        <w:t xml:space="preserve">Angular (v20.3+): </w:t>
      </w:r>
      <w:r>
        <w:rPr>
          <w:color w:val="1E293B"/>
          <w:sz w:val="20"/>
        </w:rPr>
        <w:t>Provides component-driven structure, dependency injection, RxJS reactive event handling, and robust routing.</w:t>
      </w:r>
    </w:p>
    <w:p>
      <w:pPr>
        <w:pStyle w:val="ListBullet"/>
        <w:spacing w:after="60"/>
      </w:pPr>
      <w:r>
        <w:rPr>
          <w:b/>
          <w:color w:val="0F172A"/>
          <w:sz w:val="20"/>
        </w:rPr>
        <w:t xml:space="preserve">Capacitor Native Bridge (v8.3+): </w:t>
      </w:r>
      <w:r>
        <w:rPr>
          <w:color w:val="1E293B"/>
          <w:sz w:val="20"/>
        </w:rPr>
        <w:t>Converts web assets into production Android APKs and bridges device hardware APIs.</w:t>
      </w:r>
    </w:p>
    <w:p>
      <w:pPr>
        <w:pStyle w:val="ListBullet"/>
        <w:spacing w:after="60"/>
      </w:pPr>
      <w:r>
        <w:rPr>
          <w:b/>
          <w:color w:val="0F172A"/>
          <w:sz w:val="20"/>
        </w:rPr>
        <w:t xml:space="preserve">Biometric Authentication Plugin: </w:t>
      </w:r>
      <w:r>
        <w:rPr>
          <w:color w:val="1E293B"/>
          <w:sz w:val="20"/>
        </w:rPr>
        <w:t>@aparajita/capacitor-biometric-auth interfaces with Android BiometricPrompt and iOS LocalAuthentication for secure fingerprint and face login.</w:t>
      </w:r>
    </w:p>
    <w:p>
      <w:pPr>
        <w:pStyle w:val="ListBullet"/>
        <w:spacing w:after="60"/>
      </w:pPr>
      <w:r>
        <w:rPr>
          <w:b/>
          <w:color w:val="0F172A"/>
          <w:sz w:val="20"/>
        </w:rPr>
        <w:t xml:space="preserve">Optical Camera Scanner: </w:t>
      </w:r>
      <w:r>
        <w:rPr>
          <w:color w:val="1E293B"/>
          <w:sz w:val="20"/>
        </w:rPr>
        <w:t>html5-qrcode provides high-fps camera frame parsing for rapid gym equipment tags and front-desk attendance QR codes.</w:t>
      </w:r>
    </w:p>
    <w:p>
      <w:pPr>
        <w:pStyle w:val="ListBullet"/>
        <w:spacing w:after="60"/>
      </w:pPr>
      <w:r>
        <w:rPr>
          <w:b/>
          <w:color w:val="0F172A"/>
          <w:sz w:val="20"/>
        </w:rPr>
        <w:t xml:space="preserve">Client-Side PDF Engine: </w:t>
      </w:r>
      <w:r>
        <w:rPr>
          <w:color w:val="1E293B"/>
          <w:sz w:val="20"/>
        </w:rPr>
        <w:t>jsPDF &amp; jspdf-autotable render formatted attendance, inventory, and sales audit sheets directly on the client.</w:t>
      </w:r>
    </w:p>
    <w:p>
      <w:pPr>
        <w:spacing w:before="200" w:after="80"/>
      </w:pPr>
      <w:r>
        <w:rPr>
          <w:rFonts w:ascii="Arial" w:hAnsi="Arial"/>
          <w:b/>
          <w:color w:val="D97706"/>
          <w:sz w:val="23"/>
        </w:rPr>
        <w:t>B. Backend &amp; Application Layer</w:t>
      </w:r>
    </w:p>
    <w:p>
      <w:pPr>
        <w:pStyle w:val="ListBullet"/>
        <w:spacing w:after="60"/>
      </w:pPr>
      <w:r>
        <w:rPr>
          <w:b/>
          <w:color w:val="0F172A"/>
          <w:sz w:val="20"/>
        </w:rPr>
        <w:t xml:space="preserve">Laravel Framework (v12+ / v13+): </w:t>
      </w:r>
      <w:r>
        <w:rPr>
          <w:color w:val="1E293B"/>
          <w:sz w:val="20"/>
        </w:rPr>
        <w:t>Modern, enterprise-grade MVC framework running on PHP 8.3+ with strict type declarations.</w:t>
      </w:r>
    </w:p>
    <w:p>
      <w:pPr>
        <w:pStyle w:val="ListBullet"/>
        <w:spacing w:after="60"/>
      </w:pPr>
      <w:r>
        <w:rPr>
          <w:b/>
          <w:color w:val="0F172A"/>
          <w:sz w:val="20"/>
        </w:rPr>
        <w:t xml:space="preserve">Laravel Sanctum (v4.3+): </w:t>
      </w:r>
      <w:r>
        <w:rPr>
          <w:color w:val="1E293B"/>
          <w:sz w:val="20"/>
        </w:rPr>
        <w:t>Issues cryptographically secure Bearer tokens for mobile authorization, validating requests against role permissions.</w:t>
      </w:r>
    </w:p>
    <w:p>
      <w:pPr>
        <w:pStyle w:val="ListBullet"/>
        <w:spacing w:after="60"/>
      </w:pPr>
      <w:r>
        <w:rPr>
          <w:b/>
          <w:color w:val="0F172A"/>
          <w:sz w:val="20"/>
        </w:rPr>
        <w:t xml:space="preserve">Laravel Reverb (v1.11+): </w:t>
      </w:r>
      <w:r>
        <w:rPr>
          <w:color w:val="1E293B"/>
          <w:sz w:val="20"/>
        </w:rPr>
        <w:t>Blazing-fast native WebSocket engine powering live attendance feeds, notifications, and coaching consultations without external fees.</w:t>
      </w:r>
    </w:p>
    <w:p>
      <w:pPr>
        <w:pStyle w:val="ListBullet"/>
        <w:spacing w:after="60"/>
      </w:pPr>
      <w:r>
        <w:rPr>
          <w:b/>
          <w:color w:val="0F172A"/>
          <w:sz w:val="20"/>
        </w:rPr>
        <w:t xml:space="preserve">Multi-Gateway SMS Service: </w:t>
      </w:r>
      <w:r>
        <w:rPr>
          <w:color w:val="1E293B"/>
          <w:sz w:val="20"/>
        </w:rPr>
        <w:t>Integrated with Semaphore, PhilSMS, and Twilio for OTP verification and automated membership alerts.</w:t>
      </w:r>
    </w:p>
    <w:p>
      <w:pPr>
        <w:pStyle w:val="ListBullet"/>
        <w:spacing w:after="60"/>
      </w:pPr>
      <w:r>
        <w:rPr>
          <w:b/>
          <w:color w:val="0F172A"/>
          <w:sz w:val="20"/>
        </w:rPr>
        <w:t xml:space="preserve">Adaptive Security: </w:t>
      </w:r>
      <w:r>
        <w:rPr>
          <w:color w:val="1E293B"/>
          <w:sz w:val="20"/>
        </w:rPr>
        <w:t>Bcrypt password hashing with work factor 10, IP rate limiting, Form Request validation, and tamper-resistant activity logging.</w:t>
      </w:r>
    </w:p>
    <w:p>
      <w:pPr>
        <w:spacing w:before="200" w:after="80"/>
      </w:pPr>
      <w:r>
        <w:rPr>
          <w:rFonts w:ascii="Arial" w:hAnsi="Arial"/>
          <w:b/>
          <w:color w:val="D97706"/>
          <w:sz w:val="23"/>
        </w:rPr>
        <w:t>C. Database Management Layer</w:t>
      </w:r>
    </w:p>
    <w:p>
      <w:pPr>
        <w:pStyle w:val="ListBullet"/>
        <w:spacing w:after="60"/>
      </w:pPr>
      <w:r>
        <w:rPr>
          <w:b/>
          <w:color w:val="0F172A"/>
          <w:sz w:val="20"/>
        </w:rPr>
        <w:t xml:space="preserve">MySQL 8.0+ Relational DBMS: </w:t>
      </w:r>
      <w:r>
        <w:rPr>
          <w:color w:val="1E293B"/>
          <w:sz w:val="20"/>
        </w:rPr>
        <w:t>Enforces relational integrity with primary/foreign keys, cascade triggers, and transactional rollbacks (DB::transaction).</w:t>
      </w:r>
    </w:p>
    <w:p>
      <w:pPr>
        <w:pStyle w:val="ListBullet"/>
        <w:spacing w:after="60"/>
      </w:pPr>
      <w:r>
        <w:rPr>
          <w:b/>
          <w:color w:val="0F172A"/>
          <w:sz w:val="20"/>
        </w:rPr>
        <w:t xml:space="preserve">Core Normalized Schema: </w:t>
      </w:r>
      <w:r>
        <w:rPr>
          <w:color w:val="1E293B"/>
          <w:sz w:val="20"/>
        </w:rPr>
        <w:t>Normalized entities for Users, Attendances, Equipment, Inventory Products, Shop Orders, Notifications, Coaching Sessions, and Activity Logs.</w:t>
      </w:r>
    </w:p>
    <w:p>
      <w:pPr>
        <w:spacing w:before="320" w:after="120"/>
      </w:pPr>
      <w:r>
        <w:rPr>
          <w:rFonts w:ascii="Arial" w:hAnsi="Arial"/>
          <w:b/>
          <w:color w:val="0F172A"/>
          <w:sz w:val="28"/>
        </w:rPr>
        <w:t>3. Capstone Defense Reviewer (Key Panel Questions &amp; Answers)</w:t>
      </w:r>
    </w:p>
    <w:p>
      <w:pPr>
        <w:spacing w:before="160" w:after="40"/>
      </w:pPr>
      <w:r>
        <w:rPr>
          <w:rFonts w:ascii="Arial" w:hAnsi="Arial"/>
          <w:b/>
          <w:color w:val="0F172A"/>
          <w:sz w:val="21"/>
        </w:rPr>
        <w:t>Q1: Why did you choose Ionic + Angular with Capacitor instead of pure native Android (Kotlin/Java)?</w:t>
      </w:r>
    </w:p>
    <w:tbl>
      <w:tblPr>
        <w:tblW w:type="auto" w:w="0"/>
        <w:jc w:val="center"/>
        <w:tblLook w:firstColumn="1" w:firstRow="1" w:lastColumn="0" w:lastRow="0" w:noHBand="0" w:noVBand="1" w:val="04A0"/>
      </w:tblPr>
      <w:tblGrid>
        <w:gridCol w:w="9936"/>
      </w:tblGrid>
      <w:tr>
        <w:tc>
          <w:tcPr>
            <w:tcW w:type="dxa" w:w="9792"/>
            <w:shd w:fill="F8FAFC"/>
            <w:tcMar>
              <w:top w:w="80" w:type="dxa"/>
              <w:bottom w:w="80" w:type="dxa"/>
              <w:left w:w="140" w:type="dxa"/>
              <w:right w:w="140" w:type="dxa"/>
            </w:tcMar>
            <w:tcBorders>
              <w:left w:val="single" w:sz="24" w:space="0" w:color="D97706"/>
              <w:top w:val="none"/>
              <w:right w:val="none"/>
              <w:bottom w:val="none"/>
            </w:tcBorders>
          </w:tcPr>
          <w:p>
            <w:pPr>
              <w:spacing w:line="276" w:lineRule="auto"/>
            </w:pPr>
            <w:r>
              <w:rPr>
                <w:rFonts w:ascii="Arial" w:hAnsi="Arial"/>
                <w:color w:val="1E293B"/>
                <w:sz w:val="19"/>
              </w:rPr>
              <w:t>Answer: Our primary objective was a Single Codebase, Cross-Platform Architecture. Building natively in Kotlin would restrict the system exclusively to Android and double our development and maintenance overhead. Capacitor provides a direct bridge to native hardware features—specifically Biometrics (Fingerprint) and the physical Camera for QR scanning—delivering native-grade performance while allowing instant deployment across Android, iOS, and Web.</w:t>
            </w:r>
          </w:p>
        </w:tc>
      </w:tr>
    </w:tbl>
    <w:p>
      <w:pPr>
        <w:spacing w:before="160" w:after="40"/>
      </w:pPr>
      <w:r>
        <w:rPr>
          <w:rFonts w:ascii="Arial" w:hAnsi="Arial"/>
          <w:b/>
          <w:color w:val="0F172A"/>
          <w:sz w:val="21"/>
        </w:rPr>
        <w:t>Q2: Why did you select Laravel over lightweight alternatives like Node.js / Express?</w:t>
      </w:r>
    </w:p>
    <w:tbl>
      <w:tblPr>
        <w:tblW w:type="auto" w:w="0"/>
        <w:jc w:val="center"/>
        <w:tblLook w:firstColumn="1" w:firstRow="1" w:lastColumn="0" w:lastRow="0" w:noHBand="0" w:noVBand="1" w:val="04A0"/>
      </w:tblPr>
      <w:tblGrid>
        <w:gridCol w:w="9936"/>
      </w:tblGrid>
      <w:tr>
        <w:tc>
          <w:tcPr>
            <w:tcW w:type="dxa" w:w="9792"/>
            <w:shd w:fill="F8FAFC"/>
            <w:tcMar>
              <w:top w:w="80" w:type="dxa"/>
              <w:bottom w:w="80" w:type="dxa"/>
              <w:left w:w="140" w:type="dxa"/>
              <w:right w:w="140" w:type="dxa"/>
            </w:tcMar>
            <w:tcBorders>
              <w:left w:val="single" w:sz="24" w:space="0" w:color="D97706"/>
              <w:top w:val="none"/>
              <w:right w:val="none"/>
              <w:bottom w:val="none"/>
            </w:tcBorders>
          </w:tcPr>
          <w:p>
            <w:pPr>
              <w:spacing w:line="276" w:lineRule="auto"/>
            </w:pPr>
            <w:r>
              <w:rPr>
                <w:rFonts w:ascii="Arial" w:hAnsi="Arial"/>
                <w:color w:val="1E293B"/>
                <w:sz w:val="19"/>
              </w:rPr>
              <w:t>Answer: While Node.js is minimal, Laravel offers an enterprise-ready ecosystem out of the box with standardized security: Laravel Sanctum provides battle-tested API token authorization, Eloquent ORM prevents SQL injection via parameterized queries, and Laravel Reverb provides an integrated WebSocket server. This ensures robust architectural discipline, structured migrations, and reduced dependency on fragmented third-party libraries.</w:t>
            </w:r>
          </w:p>
        </w:tc>
      </w:tr>
    </w:tbl>
    <w:p>
      <w:pPr>
        <w:spacing w:before="160" w:after="40"/>
      </w:pPr>
      <w:r>
        <w:rPr>
          <w:rFonts w:ascii="Arial" w:hAnsi="Arial"/>
          <w:b/>
          <w:color w:val="0F172A"/>
          <w:sz w:val="21"/>
        </w:rPr>
        <w:t>Q3: How does the system achieve real-time synchronization?</w:t>
      </w:r>
    </w:p>
    <w:tbl>
      <w:tblPr>
        <w:tblW w:type="auto" w:w="0"/>
        <w:jc w:val="center"/>
        <w:tblLook w:firstColumn="1" w:firstRow="1" w:lastColumn="0" w:lastRow="0" w:noHBand="0" w:noVBand="1" w:val="04A0"/>
      </w:tblPr>
      <w:tblGrid>
        <w:gridCol w:w="9936"/>
      </w:tblGrid>
      <w:tr>
        <w:tc>
          <w:tcPr>
            <w:tcW w:type="dxa" w:w="9792"/>
            <w:shd w:fill="F8FAFC"/>
            <w:tcMar>
              <w:top w:w="80" w:type="dxa"/>
              <w:bottom w:w="80" w:type="dxa"/>
              <w:left w:w="140" w:type="dxa"/>
              <w:right w:w="140" w:type="dxa"/>
            </w:tcMar>
            <w:tcBorders>
              <w:left w:val="single" w:sz="24" w:space="0" w:color="D97706"/>
              <w:top w:val="none"/>
              <w:right w:val="none"/>
              <w:bottom w:val="none"/>
            </w:tcBorders>
          </w:tcPr>
          <w:p>
            <w:pPr>
              <w:spacing w:line="276" w:lineRule="auto"/>
            </w:pPr>
            <w:r>
              <w:rPr>
                <w:rFonts w:ascii="Arial" w:hAnsi="Arial"/>
                <w:color w:val="1E293B"/>
                <w:sz w:val="19"/>
              </w:rPr>
              <w:t>Answer: Instead of using client polling (which repeatedly requests the server every few seconds and drains mobile battery), FordaGo employs WebSockets via Laravel Reverb and Laravel Echo. When an attendance QR is scanned or an admin broadcasts an announcement, the server pushes the event payload over active WebSocket channels in under 100 milliseconds, immediately updating client interfaces without a manual page refresh.</w:t>
            </w:r>
          </w:p>
        </w:tc>
      </w:tr>
    </w:tbl>
    <w:p>
      <w:pPr>
        <w:spacing w:before="160" w:after="40"/>
      </w:pPr>
      <w:r>
        <w:rPr>
          <w:rFonts w:ascii="Arial" w:hAnsi="Arial"/>
          <w:b/>
          <w:color w:val="0F172A"/>
          <w:sz w:val="21"/>
        </w:rPr>
        <w:t>Q4: How does FordaGo protect member data and prevent unauthorized access?</w:t>
      </w:r>
    </w:p>
    <w:tbl>
      <w:tblPr>
        <w:tblW w:type="auto" w:w="0"/>
        <w:jc w:val="center"/>
        <w:tblLook w:firstColumn="1" w:firstRow="1" w:lastColumn="0" w:lastRow="0" w:noHBand="0" w:noVBand="1" w:val="04A0"/>
      </w:tblPr>
      <w:tblGrid>
        <w:gridCol w:w="9936"/>
      </w:tblGrid>
      <w:tr>
        <w:tc>
          <w:tcPr>
            <w:tcW w:type="dxa" w:w="9792"/>
            <w:shd w:fill="F8FAFC"/>
            <w:tcMar>
              <w:top w:w="80" w:type="dxa"/>
              <w:bottom w:w="80" w:type="dxa"/>
              <w:left w:w="140" w:type="dxa"/>
              <w:right w:w="140" w:type="dxa"/>
            </w:tcMar>
            <w:tcBorders>
              <w:left w:val="single" w:sz="24" w:space="0" w:color="D97706"/>
              <w:top w:val="none"/>
              <w:right w:val="none"/>
              <w:bottom w:val="none"/>
            </w:tcBorders>
          </w:tcPr>
          <w:p>
            <w:pPr>
              <w:spacing w:line="276" w:lineRule="auto"/>
            </w:pPr>
            <w:r>
              <w:rPr>
                <w:rFonts w:ascii="Arial" w:hAnsi="Arial"/>
                <w:color w:val="1E293B"/>
                <w:sz w:val="19"/>
              </w:rPr>
              <w:t>Answer: Security is enforced in four tiers:</w:t>
              <w:br/>
              <w:t>1. Network Security: HTTPS API endpoints and WSS encrypted sockets.</w:t>
              <w:br/>
              <w:t>2. Cryptographic Auth: Sanctum Bearer tokens and Bcrypt password hashing.</w:t>
              <w:br/>
              <w:t>3. Hardware Biometrics: Biometric authentication is delegated to Android's secure enclave (BiometricPrompt); biometric templates never leave the user's device.</w:t>
              <w:br/>
              <w:t>4. Auditability: All critical mutations (deletions, member role updates, payment approvals) are permanently captured in the activity_logs table with actor ID, IP address, and timestamp.</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