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31545" w14:textId="1DD366FC" w:rsidR="00E7645D" w:rsidRPr="00E7645D" w:rsidRDefault="00E7645D">
      <w:pPr>
        <w:rPr>
          <w:rFonts w:hint="eastAsia"/>
          <w:b/>
          <w:bCs/>
        </w:rPr>
      </w:pPr>
      <w:r w:rsidRPr="00E7645D">
        <w:rPr>
          <w:rFonts w:hint="eastAsia"/>
          <w:b/>
          <w:bCs/>
        </w:rPr>
        <w:t>目前的参考文献</w:t>
      </w:r>
    </w:p>
    <w:p w14:paraId="75C46194" w14:textId="56EFD389" w:rsidR="00247359" w:rsidRDefault="00E7645D">
      <w:r>
        <w:rPr>
          <w:rFonts w:hint="eastAsia"/>
        </w:rPr>
        <w:t>LSP/炎症相关</w:t>
      </w:r>
    </w:p>
    <w:p w14:paraId="232B4E4A" w14:textId="609EA15D" w:rsidR="00E7645D" w:rsidRDefault="00E7645D">
      <w:r w:rsidRPr="00E7645D">
        <w:t>《Dynamic mRNA network profiles in macrophages challenged with lipopolysaccharide》</w:t>
      </w:r>
    </w:p>
    <w:p w14:paraId="540C9940" w14:textId="77777777" w:rsidR="00E7645D" w:rsidRDefault="00E7645D"/>
    <w:p w14:paraId="3C712884" w14:textId="0A71ED7D" w:rsidR="00E7645D" w:rsidRDefault="00E7645D">
      <w:r w:rsidRPr="00E7645D">
        <w:t>《RNA-Seq of an LPS-Induced Inflammation Model Reveals Transcriptional Profile Patterns of Inflammatory Processes》</w:t>
      </w:r>
    </w:p>
    <w:p w14:paraId="48CB5B30" w14:textId="77777777" w:rsidR="00E7645D" w:rsidRDefault="00E7645D"/>
    <w:p w14:paraId="1A8A3F94" w14:textId="71B26307" w:rsidR="00E7645D" w:rsidRDefault="00E7645D">
      <w:r w:rsidRPr="00E7645D">
        <w:t>脓毒症公共数据库 / 网络分析相关</w:t>
      </w:r>
    </w:p>
    <w:p w14:paraId="1C76BDDF" w14:textId="4FFA54F1" w:rsidR="00E7645D" w:rsidRDefault="00E7645D">
      <w:r w:rsidRPr="00E7645D">
        <w:t>《Immune gene expression networks in sepsis: A network biology approach》</w:t>
      </w:r>
    </w:p>
    <w:p w14:paraId="017683EB" w14:textId="77777777" w:rsidR="00E7645D" w:rsidRDefault="00E7645D"/>
    <w:p w14:paraId="7B40260D" w14:textId="0FBE462F" w:rsidR="00E7645D" w:rsidRDefault="00E7645D">
      <w:r w:rsidRPr="00E7645D">
        <w:t>3. 公共数据库整合分析 / WGCNA 论文写法参考</w:t>
      </w:r>
    </w:p>
    <w:p w14:paraId="3AF8F777" w14:textId="5280CAB7" w:rsidR="00E7645D" w:rsidRDefault="00E7645D">
      <w:r w:rsidRPr="00E7645D">
        <w:t>Identification of Key Signaling Pathways and Genes in Eosinophilic Asthma and Neutrophilic Asthma by Weighted Gene Co-Expression Network Analysis》</w:t>
      </w:r>
    </w:p>
    <w:p w14:paraId="5ED6D54B" w14:textId="77777777" w:rsidR="00E7645D" w:rsidRDefault="00E7645D"/>
    <w:p w14:paraId="1CD02999" w14:textId="77777777" w:rsidR="00E7645D" w:rsidRDefault="00E7645D">
      <w:pPr>
        <w:rPr>
          <w:rFonts w:hint="eastAsia"/>
        </w:rPr>
      </w:pPr>
    </w:p>
    <w:p w14:paraId="18E47FED" w14:textId="77777777" w:rsidR="00E7645D" w:rsidRPr="00E7645D" w:rsidRDefault="00E7645D" w:rsidP="00E7645D">
      <w:r w:rsidRPr="00E7645D">
        <w:t>这些建议放在</w:t>
      </w:r>
      <w:proofErr w:type="gramStart"/>
      <w:r w:rsidRPr="00E7645D">
        <w:rPr>
          <w:b/>
          <w:bCs/>
        </w:rPr>
        <w:t>引言第</w:t>
      </w:r>
      <w:proofErr w:type="gramEnd"/>
      <w:r w:rsidRPr="00E7645D">
        <w:rPr>
          <w:b/>
          <w:bCs/>
        </w:rPr>
        <w:t>一段</w:t>
      </w:r>
      <w:r w:rsidRPr="00E7645D">
        <w:t>，支撑“脓毒症定义、临床重要性、异质性强”。</w:t>
      </w:r>
    </w:p>
    <w:p w14:paraId="110C5DE0" w14:textId="77777777" w:rsidR="00E7645D" w:rsidRPr="00E7645D" w:rsidRDefault="00E7645D" w:rsidP="00E7645D">
      <w:r w:rsidRPr="00E7645D">
        <w:rPr>
          <w:b/>
          <w:bCs/>
        </w:rPr>
        <w:t>The Third International Consensus Definitions for Sepsis and Septic Shock (Sepsis-3)</w:t>
      </w:r>
      <w:r w:rsidRPr="00E7645D">
        <w:br/>
        <w:t>JAMA, 2016。用于引用脓毒症的经典定义。</w:t>
      </w:r>
    </w:p>
    <w:p w14:paraId="227A0563" w14:textId="77777777" w:rsidR="00E7645D" w:rsidRPr="00E7645D" w:rsidRDefault="00E7645D" w:rsidP="00E7645D">
      <w:r w:rsidRPr="00E7645D">
        <w:rPr>
          <w:b/>
          <w:bCs/>
        </w:rPr>
        <w:t>Global, regional, and national sepsis incidence and mortality, 1990–2017: analysis for the Global Burden of Disease Study</w:t>
      </w:r>
      <w:r w:rsidRPr="00E7645D">
        <w:br/>
        <w:t>Lancet, 2020。用于支持“脓毒症是全球重要死亡原因”。</w:t>
      </w:r>
    </w:p>
    <w:p w14:paraId="3E2D647B" w14:textId="77777777" w:rsidR="00E7645D" w:rsidRPr="00E7645D" w:rsidRDefault="00E7645D" w:rsidP="00E7645D">
      <w:r w:rsidRPr="00E7645D">
        <w:rPr>
          <w:b/>
          <w:bCs/>
        </w:rPr>
        <w:t>Sepsis and septic shock</w:t>
      </w:r>
      <w:r w:rsidRPr="00E7645D">
        <w:br/>
        <w:t>Nature Reviews Disease Primers, 2016。综述性质强，适合放在引言和讨论。</w:t>
      </w:r>
    </w:p>
    <w:p w14:paraId="6E74A164" w14:textId="77777777" w:rsidR="00E7645D" w:rsidRPr="00E7645D" w:rsidRDefault="00E7645D" w:rsidP="00E7645D">
      <w:r w:rsidRPr="00E7645D">
        <w:rPr>
          <w:b/>
          <w:bCs/>
        </w:rPr>
        <w:t>The immunopathology of sepsis and potential therapeutic targets</w:t>
      </w:r>
      <w:r w:rsidRPr="00E7645D">
        <w:br/>
        <w:t>Nature Reviews Immunology, 2017。适合支持“脓毒症不是单纯炎症激活，也涉及免疫失衡”。</w:t>
      </w:r>
    </w:p>
    <w:p w14:paraId="29A69091" w14:textId="77777777" w:rsidR="00E7645D" w:rsidRDefault="00E7645D"/>
    <w:p w14:paraId="2928D79E" w14:textId="77777777" w:rsidR="00E7645D" w:rsidRPr="00E7645D" w:rsidRDefault="00E7645D" w:rsidP="00E7645D">
      <w:pPr>
        <w:rPr>
          <w:b/>
          <w:bCs/>
        </w:rPr>
      </w:pPr>
      <w:r w:rsidRPr="00E7645D">
        <w:rPr>
          <w:b/>
          <w:bCs/>
        </w:rPr>
        <w:t>2. LPS / 巨噬细胞 / NF-</w:t>
      </w:r>
      <w:proofErr w:type="spellStart"/>
      <w:r w:rsidRPr="00E7645D">
        <w:rPr>
          <w:b/>
          <w:bCs/>
        </w:rPr>
        <w:t>κB</w:t>
      </w:r>
      <w:proofErr w:type="spellEnd"/>
      <w:r w:rsidRPr="00E7645D">
        <w:rPr>
          <w:b/>
          <w:bCs/>
        </w:rPr>
        <w:t xml:space="preserve"> 转录响应文献</w:t>
      </w:r>
    </w:p>
    <w:p w14:paraId="1EE488B0" w14:textId="77777777" w:rsidR="00E7645D" w:rsidRPr="00E7645D" w:rsidRDefault="00E7645D" w:rsidP="00E7645D">
      <w:r w:rsidRPr="00E7645D">
        <w:t>这些建议放在</w:t>
      </w:r>
      <w:r w:rsidRPr="00E7645D">
        <w:rPr>
          <w:b/>
          <w:bCs/>
        </w:rPr>
        <w:t>引言第二段</w:t>
      </w:r>
      <w:r w:rsidRPr="00E7645D">
        <w:t>和</w:t>
      </w:r>
      <w:r w:rsidRPr="00E7645D">
        <w:rPr>
          <w:b/>
          <w:bCs/>
        </w:rPr>
        <w:t>讨论 4.1</w:t>
      </w:r>
      <w:r w:rsidRPr="00E7645D">
        <w:t>，支撑你关于 LPS 模型的生物学解释。</w:t>
      </w:r>
    </w:p>
    <w:p w14:paraId="405C9BEF" w14:textId="77777777" w:rsidR="00E7645D" w:rsidRPr="00E7645D" w:rsidRDefault="00E7645D" w:rsidP="00E7645D">
      <w:r w:rsidRPr="00E7645D">
        <w:rPr>
          <w:b/>
          <w:bCs/>
        </w:rPr>
        <w:t>Transcriptional profiling of the LPS induced NF-</w:t>
      </w:r>
      <w:proofErr w:type="spellStart"/>
      <w:r w:rsidRPr="00E7645D">
        <w:rPr>
          <w:b/>
          <w:bCs/>
        </w:rPr>
        <w:t>κB</w:t>
      </w:r>
      <w:proofErr w:type="spellEnd"/>
      <w:r w:rsidRPr="00E7645D">
        <w:rPr>
          <w:b/>
          <w:bCs/>
        </w:rPr>
        <w:t xml:space="preserve"> response in macrophages</w:t>
      </w:r>
      <w:r w:rsidRPr="00E7645D">
        <w:br/>
        <w:t>BMC Immunology, 2007。很适合引用在“LPS 能诱导巨噬细胞 NF-</w:t>
      </w:r>
      <w:proofErr w:type="spellStart"/>
      <w:r w:rsidRPr="00E7645D">
        <w:t>κB</w:t>
      </w:r>
      <w:proofErr w:type="spellEnd"/>
      <w:r w:rsidRPr="00E7645D">
        <w:t xml:space="preserve"> 相关转录响应”这一句后面。</w:t>
      </w:r>
    </w:p>
    <w:p w14:paraId="3BD6EB0E" w14:textId="77777777" w:rsidR="00E7645D" w:rsidRPr="00E7645D" w:rsidRDefault="00E7645D" w:rsidP="00E7645D">
      <w:r w:rsidRPr="00E7645D">
        <w:rPr>
          <w:b/>
          <w:bCs/>
        </w:rPr>
        <w:t>Transcription factor expression in lipopolysaccharide-activated peripheral-blood-derived mononuclear cells</w:t>
      </w:r>
      <w:r w:rsidRPr="00E7645D">
        <w:br/>
        <w:t>PNAS, 2007。这篇与 GSE5504 关系很近，可以作为你时间序列验证部分的重要数据来源或背景文献。</w:t>
      </w:r>
    </w:p>
    <w:p w14:paraId="3F0439A6" w14:textId="77777777" w:rsidR="00E7645D" w:rsidRPr="00E7645D" w:rsidRDefault="00E7645D" w:rsidP="00E7645D">
      <w:r w:rsidRPr="00E7645D">
        <w:pict w14:anchorId="5DC351E0">
          <v:rect id="_x0000_i1031" style="width:0;height:1.5pt" o:hralign="center" o:hrstd="t" o:hr="t" fillcolor="#a0a0a0" stroked="f"/>
        </w:pict>
      </w:r>
    </w:p>
    <w:p w14:paraId="20246CAC" w14:textId="77777777" w:rsidR="00E7645D" w:rsidRPr="00E7645D" w:rsidRDefault="00E7645D" w:rsidP="00E7645D">
      <w:pPr>
        <w:rPr>
          <w:b/>
          <w:bCs/>
        </w:rPr>
      </w:pPr>
      <w:r w:rsidRPr="00E7645D">
        <w:rPr>
          <w:b/>
          <w:bCs/>
        </w:rPr>
        <w:t>3. 公共数据库与分析方法文献</w:t>
      </w:r>
    </w:p>
    <w:p w14:paraId="3069D462" w14:textId="77777777" w:rsidR="00E7645D" w:rsidRPr="00E7645D" w:rsidRDefault="00E7645D" w:rsidP="00E7645D">
      <w:r w:rsidRPr="00E7645D">
        <w:t>这些建议放在</w:t>
      </w:r>
      <w:r w:rsidRPr="00E7645D">
        <w:rPr>
          <w:b/>
          <w:bCs/>
        </w:rPr>
        <w:t>材料与方法最后</w:t>
      </w:r>
      <w:r w:rsidRPr="00E7645D">
        <w:t>，或者在方法中第一次出现对应软件时引用。</w:t>
      </w:r>
    </w:p>
    <w:p w14:paraId="67057B88" w14:textId="77777777" w:rsidR="00E7645D" w:rsidRPr="00E7645D" w:rsidRDefault="00E7645D" w:rsidP="00E7645D">
      <w:proofErr w:type="spellStart"/>
      <w:r w:rsidRPr="00E7645D">
        <w:rPr>
          <w:b/>
          <w:bCs/>
        </w:rPr>
        <w:t>GEOquery</w:t>
      </w:r>
      <w:proofErr w:type="spellEnd"/>
      <w:r w:rsidRPr="00E7645D">
        <w:rPr>
          <w:b/>
          <w:bCs/>
        </w:rPr>
        <w:t xml:space="preserve">: a bridge between the Gene Expression Omnibus (GEO) and </w:t>
      </w:r>
      <w:proofErr w:type="spellStart"/>
      <w:r w:rsidRPr="00E7645D">
        <w:rPr>
          <w:b/>
          <w:bCs/>
        </w:rPr>
        <w:t>BioConductor</w:t>
      </w:r>
      <w:proofErr w:type="spellEnd"/>
      <w:r w:rsidRPr="00E7645D">
        <w:br/>
        <w:t>用于说明 GEO 数据下载。</w:t>
      </w:r>
    </w:p>
    <w:p w14:paraId="5860F8A1" w14:textId="77777777" w:rsidR="00E7645D" w:rsidRPr="00E7645D" w:rsidRDefault="00E7645D" w:rsidP="00E7645D">
      <w:proofErr w:type="spellStart"/>
      <w:r w:rsidRPr="00E7645D">
        <w:rPr>
          <w:b/>
          <w:bCs/>
        </w:rPr>
        <w:t>limma</w:t>
      </w:r>
      <w:proofErr w:type="spellEnd"/>
      <w:r w:rsidRPr="00E7645D">
        <w:rPr>
          <w:b/>
          <w:bCs/>
        </w:rPr>
        <w:t xml:space="preserve"> powers differential expression analyses for RNA-sequencing and microarray studies</w:t>
      </w:r>
      <w:r w:rsidRPr="00E7645D">
        <w:br/>
        <w:t xml:space="preserve">用于引用 </w:t>
      </w:r>
      <w:proofErr w:type="spellStart"/>
      <w:r w:rsidRPr="00E7645D">
        <w:t>limma</w:t>
      </w:r>
      <w:proofErr w:type="spellEnd"/>
      <w:r w:rsidRPr="00E7645D">
        <w:t>。</w:t>
      </w:r>
    </w:p>
    <w:p w14:paraId="1B2F2BBB" w14:textId="77777777" w:rsidR="00E7645D" w:rsidRPr="00E7645D" w:rsidRDefault="00E7645D" w:rsidP="00E7645D">
      <w:proofErr w:type="spellStart"/>
      <w:r w:rsidRPr="00E7645D">
        <w:rPr>
          <w:b/>
          <w:bCs/>
        </w:rPr>
        <w:t>voom</w:t>
      </w:r>
      <w:proofErr w:type="spellEnd"/>
      <w:r w:rsidRPr="00E7645D">
        <w:rPr>
          <w:b/>
          <w:bCs/>
        </w:rPr>
        <w:t>: precision weights unlock linear model analysis tools for RNA-seq read counts</w:t>
      </w:r>
      <w:r w:rsidRPr="00E7645D">
        <w:br/>
      </w:r>
      <w:r w:rsidRPr="00E7645D">
        <w:lastRenderedPageBreak/>
        <w:t xml:space="preserve">用于引用 </w:t>
      </w:r>
      <w:proofErr w:type="spellStart"/>
      <w:r w:rsidRPr="00E7645D">
        <w:t>limma-voom</w:t>
      </w:r>
      <w:proofErr w:type="spellEnd"/>
      <w:r w:rsidRPr="00E7645D">
        <w:t xml:space="preserve"> 分析框架。</w:t>
      </w:r>
    </w:p>
    <w:p w14:paraId="7BAD6658" w14:textId="77777777" w:rsidR="00E7645D" w:rsidRPr="00E7645D" w:rsidRDefault="00E7645D" w:rsidP="00E7645D">
      <w:proofErr w:type="spellStart"/>
      <w:r w:rsidRPr="00E7645D">
        <w:rPr>
          <w:b/>
          <w:bCs/>
        </w:rPr>
        <w:t>clusterProfiler</w:t>
      </w:r>
      <w:proofErr w:type="spellEnd"/>
      <w:r w:rsidRPr="00E7645D">
        <w:rPr>
          <w:b/>
          <w:bCs/>
        </w:rPr>
        <w:t>: an R Package for Comparing Biological Themes Among Gene Clusters</w:t>
      </w:r>
      <w:r w:rsidRPr="00E7645D">
        <w:br/>
        <w:t>用于引用 GO、KEGG 富集分析。</w:t>
      </w:r>
    </w:p>
    <w:p w14:paraId="0B36D8E3" w14:textId="77777777" w:rsidR="00E7645D" w:rsidRDefault="00E7645D"/>
    <w:p w14:paraId="1606A86C" w14:textId="77777777" w:rsidR="00E7645D" w:rsidRDefault="00E7645D"/>
    <w:p w14:paraId="6D838914" w14:textId="77777777" w:rsidR="00E7645D" w:rsidRPr="00E7645D" w:rsidRDefault="00E7645D" w:rsidP="00E7645D">
      <w:r w:rsidRPr="00E7645D">
        <w:t>优先级最高的是这些：</w:t>
      </w:r>
    </w:p>
    <w:p w14:paraId="6A2EBD7F" w14:textId="77777777" w:rsidR="00E7645D" w:rsidRPr="00E7645D" w:rsidRDefault="00E7645D" w:rsidP="00E7645D">
      <w:pPr>
        <w:numPr>
          <w:ilvl w:val="0"/>
          <w:numId w:val="1"/>
        </w:numPr>
      </w:pPr>
      <w:r w:rsidRPr="00E7645D">
        <w:t xml:space="preserve">Singer et al., 2016, </w:t>
      </w:r>
      <w:r w:rsidRPr="00E7645D">
        <w:rPr>
          <w:b/>
          <w:bCs/>
        </w:rPr>
        <w:t>Sepsis-3</w:t>
      </w:r>
      <w:r w:rsidRPr="00E7645D">
        <w:t xml:space="preserve"> </w:t>
      </w:r>
    </w:p>
    <w:p w14:paraId="1E28AD72" w14:textId="77777777" w:rsidR="00E7645D" w:rsidRPr="00E7645D" w:rsidRDefault="00E7645D" w:rsidP="00E7645D">
      <w:pPr>
        <w:numPr>
          <w:ilvl w:val="0"/>
          <w:numId w:val="1"/>
        </w:numPr>
      </w:pPr>
      <w:r w:rsidRPr="00E7645D">
        <w:t xml:space="preserve">Rudd et al., 2020, </w:t>
      </w:r>
      <w:r w:rsidRPr="00E7645D">
        <w:rPr>
          <w:b/>
          <w:bCs/>
        </w:rPr>
        <w:t>Global sepsis incidence and mortality</w:t>
      </w:r>
      <w:r w:rsidRPr="00E7645D">
        <w:t xml:space="preserve"> </w:t>
      </w:r>
    </w:p>
    <w:p w14:paraId="1992AF01" w14:textId="77777777" w:rsidR="00E7645D" w:rsidRPr="00E7645D" w:rsidRDefault="00E7645D" w:rsidP="00E7645D">
      <w:pPr>
        <w:numPr>
          <w:ilvl w:val="0"/>
          <w:numId w:val="1"/>
        </w:numPr>
      </w:pPr>
      <w:r w:rsidRPr="00E7645D">
        <w:t xml:space="preserve">Hotchkiss et al., 2016, </w:t>
      </w:r>
      <w:r w:rsidRPr="00E7645D">
        <w:rPr>
          <w:b/>
          <w:bCs/>
        </w:rPr>
        <w:t>Sepsis and septic shock</w:t>
      </w:r>
      <w:r w:rsidRPr="00E7645D">
        <w:t xml:space="preserve"> </w:t>
      </w:r>
    </w:p>
    <w:p w14:paraId="2B5082DF" w14:textId="77777777" w:rsidR="00E7645D" w:rsidRPr="00E7645D" w:rsidRDefault="00E7645D" w:rsidP="00E7645D">
      <w:pPr>
        <w:numPr>
          <w:ilvl w:val="0"/>
          <w:numId w:val="1"/>
        </w:numPr>
      </w:pPr>
      <w:r w:rsidRPr="00E7645D">
        <w:t xml:space="preserve">van der Poll et al., 2017, </w:t>
      </w:r>
      <w:r w:rsidRPr="00E7645D">
        <w:rPr>
          <w:b/>
          <w:bCs/>
        </w:rPr>
        <w:t>The immunopathology of sepsis and potential therapeutic targets</w:t>
      </w:r>
      <w:r w:rsidRPr="00E7645D">
        <w:t xml:space="preserve"> </w:t>
      </w:r>
    </w:p>
    <w:p w14:paraId="4AB95FC1" w14:textId="77777777" w:rsidR="00E7645D" w:rsidRPr="00E7645D" w:rsidRDefault="00E7645D" w:rsidP="00E7645D">
      <w:pPr>
        <w:numPr>
          <w:ilvl w:val="0"/>
          <w:numId w:val="1"/>
        </w:numPr>
      </w:pPr>
      <w:r w:rsidRPr="00E7645D">
        <w:t xml:space="preserve">Sharif et al., 2007, </w:t>
      </w:r>
      <w:r w:rsidRPr="00E7645D">
        <w:rPr>
          <w:b/>
          <w:bCs/>
        </w:rPr>
        <w:t>Transcriptional profiling of the LPS induced NF-</w:t>
      </w:r>
      <w:proofErr w:type="spellStart"/>
      <w:r w:rsidRPr="00E7645D">
        <w:rPr>
          <w:b/>
          <w:bCs/>
        </w:rPr>
        <w:t>κB</w:t>
      </w:r>
      <w:proofErr w:type="spellEnd"/>
      <w:r w:rsidRPr="00E7645D">
        <w:rPr>
          <w:b/>
          <w:bCs/>
        </w:rPr>
        <w:t xml:space="preserve"> response in macrophages</w:t>
      </w:r>
      <w:r w:rsidRPr="00E7645D">
        <w:t xml:space="preserve"> </w:t>
      </w:r>
    </w:p>
    <w:p w14:paraId="449B588A" w14:textId="77777777" w:rsidR="00E7645D" w:rsidRPr="00E7645D" w:rsidRDefault="00E7645D" w:rsidP="00E7645D">
      <w:pPr>
        <w:numPr>
          <w:ilvl w:val="0"/>
          <w:numId w:val="1"/>
        </w:numPr>
      </w:pPr>
      <w:r w:rsidRPr="00E7645D">
        <w:t xml:space="preserve">Roach et al., 2007, </w:t>
      </w:r>
      <w:r w:rsidRPr="00E7645D">
        <w:rPr>
          <w:b/>
          <w:bCs/>
        </w:rPr>
        <w:t>Transcription factor expression in LPS-activated PBMCs</w:t>
      </w:r>
      <w:r w:rsidRPr="00E7645D">
        <w:t xml:space="preserve"> </w:t>
      </w:r>
    </w:p>
    <w:p w14:paraId="16A06F6A" w14:textId="77777777" w:rsidR="00E7645D" w:rsidRPr="00E7645D" w:rsidRDefault="00E7645D" w:rsidP="00E7645D">
      <w:pPr>
        <w:numPr>
          <w:ilvl w:val="0"/>
          <w:numId w:val="1"/>
        </w:numPr>
      </w:pPr>
      <w:r w:rsidRPr="00E7645D">
        <w:t xml:space="preserve">Kim et al., 2021, </w:t>
      </w:r>
      <w:r w:rsidRPr="00E7645D">
        <w:rPr>
          <w:b/>
          <w:bCs/>
        </w:rPr>
        <w:t>Immune gene expression networks in sepsis</w:t>
      </w:r>
      <w:r w:rsidRPr="00E7645D">
        <w:t xml:space="preserve"> </w:t>
      </w:r>
    </w:p>
    <w:p w14:paraId="23DF01B6" w14:textId="77777777" w:rsidR="00E7645D" w:rsidRPr="00E7645D" w:rsidRDefault="00E7645D" w:rsidP="00E7645D">
      <w:pPr>
        <w:numPr>
          <w:ilvl w:val="0"/>
          <w:numId w:val="1"/>
        </w:numPr>
      </w:pPr>
      <w:r w:rsidRPr="00E7645D">
        <w:t xml:space="preserve">Zeng et al., 2021, </w:t>
      </w:r>
      <w:r w:rsidRPr="00E7645D">
        <w:rPr>
          <w:b/>
          <w:bCs/>
        </w:rPr>
        <w:t>Screening of Key Genes of Sepsis and Septic Shock Using Bioinformatics Analysis</w:t>
      </w:r>
      <w:r w:rsidRPr="00E7645D">
        <w:t xml:space="preserve"> </w:t>
      </w:r>
    </w:p>
    <w:p w14:paraId="3D51728B" w14:textId="77777777" w:rsidR="00E7645D" w:rsidRPr="00E7645D" w:rsidRDefault="00E7645D" w:rsidP="00E7645D">
      <w:pPr>
        <w:numPr>
          <w:ilvl w:val="0"/>
          <w:numId w:val="1"/>
        </w:numPr>
      </w:pPr>
      <w:r w:rsidRPr="00E7645D">
        <w:t xml:space="preserve">Ritchie et al., 2015, </w:t>
      </w:r>
      <w:proofErr w:type="spellStart"/>
      <w:r w:rsidRPr="00E7645D">
        <w:rPr>
          <w:b/>
          <w:bCs/>
        </w:rPr>
        <w:t>limma</w:t>
      </w:r>
      <w:proofErr w:type="spellEnd"/>
      <w:r w:rsidRPr="00E7645D">
        <w:rPr>
          <w:b/>
          <w:bCs/>
        </w:rPr>
        <w:t xml:space="preserve"> powers differential expression analyses</w:t>
      </w:r>
      <w:r w:rsidRPr="00E7645D">
        <w:t xml:space="preserve"> </w:t>
      </w:r>
    </w:p>
    <w:p w14:paraId="40AD55CB" w14:textId="62B9DE9D" w:rsidR="004C38E2" w:rsidRPr="00E7645D" w:rsidRDefault="00E7645D" w:rsidP="004C38E2">
      <w:pPr>
        <w:numPr>
          <w:ilvl w:val="0"/>
          <w:numId w:val="1"/>
        </w:numPr>
        <w:rPr>
          <w:rFonts w:hint="eastAsia"/>
        </w:rPr>
      </w:pPr>
      <w:r w:rsidRPr="00E7645D">
        <w:t xml:space="preserve">Law et al., 2014, </w:t>
      </w:r>
      <w:proofErr w:type="spellStart"/>
      <w:r w:rsidRPr="00E7645D">
        <w:rPr>
          <w:b/>
          <w:bCs/>
        </w:rPr>
        <w:t>voom</w:t>
      </w:r>
      <w:proofErr w:type="spellEnd"/>
      <w:r w:rsidRPr="00E7645D">
        <w:rPr>
          <w:b/>
          <w:bCs/>
        </w:rPr>
        <w:t>: precision weights unlock linear model analysis tools</w:t>
      </w:r>
    </w:p>
    <w:sectPr w:rsidR="004C38E2" w:rsidRPr="00E764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E04C7"/>
    <w:multiLevelType w:val="multilevel"/>
    <w:tmpl w:val="0560B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2470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F7C"/>
    <w:rsid w:val="0014262E"/>
    <w:rsid w:val="00247359"/>
    <w:rsid w:val="003741DD"/>
    <w:rsid w:val="003A4DF9"/>
    <w:rsid w:val="004C38E2"/>
    <w:rsid w:val="009B4EF0"/>
    <w:rsid w:val="00E07F7C"/>
    <w:rsid w:val="00E7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D710B"/>
  <w15:chartTrackingRefBased/>
  <w15:docId w15:val="{A0A58848-6833-4A0A-90D1-11008AF41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07F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7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7F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7F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7F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7F7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7F7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7F7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7F7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7F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7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7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7F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7F7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07F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7F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7F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7F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7F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7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7F7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7F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7F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7F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7F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7F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7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7F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7F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子浩 周</dc:creator>
  <cp:keywords/>
  <dc:description/>
  <cp:lastModifiedBy>子浩 周</cp:lastModifiedBy>
  <cp:revision>3</cp:revision>
  <dcterms:created xsi:type="dcterms:W3CDTF">2026-05-11T00:47:00Z</dcterms:created>
  <dcterms:modified xsi:type="dcterms:W3CDTF">2026-05-11T01:04:00Z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d8e8b2b1-a38f-44fb-abb5-5d6edfb4c615</vt:lpwstr>
  </property>
</Properties>
</file>