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Lot Gap Memo</w:t>
      </w:r>
    </w:p>
    <w:p>
      <w:pPr>
        <w:pStyle w:val="Heading2"/>
      </w:pPr>
      <w:r>
        <w:t>Lot summary</w:t>
      </w:r>
    </w:p>
    <w:p>
      <w:r>
        <w:t>Record product, quantity, origin, and statement status for the lot being closed.</w:t>
      </w:r>
    </w:p>
    <w:p>
      <w:r>
        <w:rPr>
          <w:sz w:val="22"/>
        </w:rPr>
        <w:t>Lot identifier:</w:t>
      </w:r>
    </w:p>
    <w:p>
      <w:r>
        <w:t>____________________________________________________________</w:t>
      </w:r>
    </w:p>
    <w:p>
      <w:r>
        <w:rPr>
          <w:sz w:val="22"/>
        </w:rPr>
        <w:t>Product and quantity:</w:t>
      </w:r>
    </w:p>
    <w:p>
      <w:r>
        <w:t>____________________________________________________________</w:t>
      </w:r>
    </w:p>
    <w:p>
      <w:r>
        <w:rPr>
          <w:sz w:val="22"/>
        </w:rPr>
        <w:t>Origin country and area:</w:t>
      </w:r>
    </w:p>
    <w:p>
      <w:r>
        <w:t>____________________________________________________________</w:t>
      </w:r>
    </w:p>
    <w:p>
      <w:r>
        <w:rPr>
          <w:sz w:val="22"/>
        </w:rPr>
        <w:t>Statement reference or status:</w:t>
      </w:r>
    </w:p>
    <w:p>
      <w:r>
        <w:t>____________________________________________________________</w:t>
      </w:r>
    </w:p>
    <w:p>
      <w:pPr>
        <w:pStyle w:val="Heading2"/>
      </w:pPr>
      <w:r>
        <w:t>Evidence status</w:t>
      </w:r>
    </w:p>
    <w:p>
      <w:r>
        <w:t>List complete items, missing items, and compensating evidence with file references.</w:t>
      </w:r>
    </w:p>
    <w:p>
      <w:r>
        <w:rPr>
          <w:sz w:val="22"/>
        </w:rPr>
        <w:t>Complete items:</w:t>
      </w:r>
    </w:p>
    <w:p>
      <w:r>
        <w:t>____________________________________________________________</w:t>
      </w:r>
    </w:p>
    <w:p>
      <w:r>
        <w:rPr>
          <w:sz w:val="22"/>
        </w:rPr>
        <w:t>Missing items:</w:t>
      </w:r>
    </w:p>
    <w:p>
      <w:r>
        <w:t>____________________________________________________________</w:t>
      </w:r>
    </w:p>
    <w:p>
      <w:r>
        <w:rPr>
          <w:sz w:val="22"/>
        </w:rPr>
        <w:t>Compensating evidence refs:</w:t>
      </w:r>
    </w:p>
    <w:p>
      <w:r>
        <w:t>____________________________________________________________</w:t>
      </w:r>
    </w:p>
    <w:p>
      <w:pPr>
        <w:pStyle w:val="Heading2"/>
      </w:pPr>
      <w:r>
        <w:t>Risk conclusion and follow-up</w:t>
      </w:r>
    </w:p>
    <w:p>
      <w:r>
        <w:t>Record the risk conclusion, approver function, and assigned follow-up with dates.</w:t>
      </w:r>
    </w:p>
    <w:p>
      <w:r>
        <w:rPr>
          <w:sz w:val="22"/>
        </w:rPr>
        <w:t>Risk conclusion:</w:t>
      </w:r>
    </w:p>
    <w:p>
      <w:r>
        <w:t>____________________________________________________________</w:t>
      </w:r>
    </w:p>
    <w:p>
      <w:r>
        <w:rPr>
          <w:sz w:val="22"/>
        </w:rPr>
        <w:t>Approver function and date:</w:t>
      </w:r>
    </w:p>
    <w:p>
      <w:r>
        <w:t>____________________________________________________________</w:t>
      </w:r>
    </w:p>
    <w:p>
      <w:r>
        <w:rPr>
          <w:sz w:val="22"/>
        </w:rPr>
        <w:t>Follow-up owner and due date: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