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Remediation Plan Memo - 30/60/90 Days</w:t>
      </w:r>
    </w:p>
    <w:p>
      <w:pPr>
        <w:pStyle w:val="Heading2"/>
      </w:pPr>
      <w:r>
        <w:t>Summary for leadership</w:t>
      </w:r>
    </w:p>
    <w:p>
      <w:r>
        <w:t>Describe in plain language what changes for the customer in each window. Do not promise legal outcomes. Verify state law locally and route language through qualified counsel.</w:t>
      </w:r>
    </w:p>
    <w:p>
      <w:pPr>
        <w:pStyle w:val="Heading2"/>
      </w:pPr>
      <w:r>
        <w:t>30-day window</w:t>
      </w:r>
    </w:p>
    <w:p>
      <w:r>
        <w:rPr>
          <w:sz w:val="22"/>
        </w:rPr>
        <w:t>Item IDs in window:</w:t>
      </w:r>
    </w:p>
    <w:p>
      <w:r>
        <w:t>____________________________________________________________</w:t>
      </w:r>
    </w:p>
    <w:p>
      <w:r>
        <w:rPr>
          <w:sz w:val="22"/>
        </w:rPr>
        <w:t>Owners:</w:t>
      </w:r>
    </w:p>
    <w:p>
      <w:r>
        <w:t>____________________________________________________________</w:t>
      </w:r>
    </w:p>
    <w:p>
      <w:r>
        <w:rPr>
          <w:sz w:val="22"/>
        </w:rPr>
        <w:t>Counsel review dates:</w:t>
      </w:r>
    </w:p>
    <w:p>
      <w:r>
        <w:t>____________________________________________________________</w:t>
      </w:r>
    </w:p>
    <w:p>
      <w:r>
        <w:rPr>
          <w:sz w:val="22"/>
        </w:rPr>
        <w:t>Evidence required per item:</w:t>
      </w:r>
    </w:p>
    <w:p>
      <w:r>
        <w:t>____________________________________________________________</w:t>
      </w:r>
    </w:p>
    <w:p>
      <w:pPr>
        <w:pStyle w:val="Heading2"/>
      </w:pPr>
      <w:r>
        <w:t>60-day window</w:t>
      </w:r>
    </w:p>
    <w:p>
      <w:r>
        <w:rPr>
          <w:sz w:val="22"/>
        </w:rPr>
        <w:t>Item IDs in window:</w:t>
      </w:r>
    </w:p>
    <w:p>
      <w:r>
        <w:t>____________________________________________________________</w:t>
      </w:r>
    </w:p>
    <w:p>
      <w:r>
        <w:rPr>
          <w:sz w:val="22"/>
        </w:rPr>
        <w:t>Owners:</w:t>
      </w:r>
    </w:p>
    <w:p>
      <w:r>
        <w:t>____________________________________________________________</w:t>
      </w:r>
    </w:p>
    <w:p>
      <w:r>
        <w:rPr>
          <w:sz w:val="22"/>
        </w:rPr>
        <w:t>Training and record changes:</w:t>
      </w:r>
    </w:p>
    <w:p>
      <w:r>
        <w:t>____________________________________________________________</w:t>
      </w:r>
    </w:p>
    <w:p>
      <w:r>
        <w:rPr>
          <w:sz w:val="22"/>
        </w:rPr>
        <w:t>Re-test plan:</w:t>
      </w:r>
    </w:p>
    <w:p>
      <w:r>
        <w:t>____________________________________________________________</w:t>
      </w:r>
    </w:p>
    <w:p>
      <w:pPr>
        <w:pStyle w:val="Heading2"/>
      </w:pPr>
      <w:r>
        <w:t>90-day window</w:t>
      </w:r>
    </w:p>
    <w:p>
      <w:r>
        <w:rPr>
          <w:sz w:val="22"/>
        </w:rPr>
        <w:t>Item IDs in window:</w:t>
      </w:r>
    </w:p>
    <w:p>
      <w:r>
        <w:t>____________________________________________________________</w:t>
      </w:r>
    </w:p>
    <w:p>
      <w:r>
        <w:rPr>
          <w:sz w:val="22"/>
        </w:rPr>
        <w:t>State re-verifications scheduled:</w:t>
      </w:r>
    </w:p>
    <w:p>
      <w:r>
        <w:t>____________________________________________________________</w:t>
      </w:r>
    </w:p>
    <w:p>
      <w:r>
        <w:rPr>
          <w:sz w:val="22"/>
        </w:rPr>
        <w:t>Cadence calendar entries:</w:t>
      </w:r>
    </w:p>
    <w:p>
      <w:r>
        <w:t>____________________________________________________________</w:t>
      </w:r>
    </w:p>
    <w:p>
      <w:r>
        <w:rPr>
          <w:sz w:val="22"/>
        </w:rPr>
        <w:t>Full-loop re-run date:</w:t>
      </w:r>
    </w:p>
    <w:p>
      <w:r>
        <w:t>____________________________________________________________</w:t>
      </w:r>
    </w:p>
    <w:p>
      <w:pPr>
        <w:pStyle w:val="Heading2"/>
      </w:pPr>
      <w:r>
        <w:t>Weekly reporting</w:t>
      </w:r>
    </w:p>
    <w:p>
      <w:r>
        <w:t>Report items closed with evidence, items past due with cause, new findings, and questions awaiting counsel. Attach the Remediation Tracker export.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