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CPA Handoff Summary</w:t>
      </w:r>
    </w:p>
    <w:p>
      <w:pPr>
        <w:pStyle w:val="Heading2"/>
      </w:pPr>
      <w:r>
        <w:t>Purpose</w:t>
      </w:r>
    </w:p>
    <w:p>
      <w:r>
        <w:t>This summary gives the CPA reconciled history, verification dates, and explicit questions. The CPA draws all conclusions. Not tax advice, verify with a CPA.</w:t>
      </w:r>
    </w:p>
    <w:p>
      <w:pPr>
        <w:pStyle w:val="Heading2"/>
      </w:pPr>
      <w:r>
        <w:t>History attached</w:t>
      </w:r>
    </w:p>
    <w:p>
      <w:r>
        <w:rPr>
          <w:sz w:val="22"/>
        </w:rPr>
        <w:t>Log range attached:</w:t>
      </w:r>
    </w:p>
    <w:p>
      <w:r>
        <w:t>____________________________________________________________</w:t>
      </w:r>
    </w:p>
    <w:p>
      <w:r>
        <w:rPr>
          <w:sz w:val="22"/>
        </w:rPr>
        <w:t>Reconciliation notes attached:</w:t>
      </w:r>
    </w:p>
    <w:p>
      <w:r>
        <w:t>____________________________________________________________</w:t>
      </w:r>
    </w:p>
    <w:p>
      <w:r>
        <w:rPr>
          <w:sz w:val="22"/>
        </w:rPr>
        <w:t>Register export date:</w:t>
      </w:r>
    </w:p>
    <w:p>
      <w:r>
        <w:t>____________________________________________________________</w:t>
      </w:r>
    </w:p>
    <w:p>
      <w:r>
        <w:rPr>
          <w:sz w:val="22"/>
        </w:rPr>
        <w:t>Prior CPA notes addressed:</w:t>
      </w:r>
    </w:p>
    <w:p>
      <w:r>
        <w:t>____________________________________________________________</w:t>
      </w:r>
    </w:p>
    <w:p>
      <w:pPr>
        <w:pStyle w:val="Heading2"/>
      </w:pPr>
      <w:r>
        <w:t>Verification requests</w:t>
      </w:r>
    </w:p>
    <w:p>
      <w:r>
        <w:rPr>
          <w:sz w:val="22"/>
        </w:rPr>
        <w:t>States needing threshold verification:</w:t>
      </w:r>
    </w:p>
    <w:p>
      <w:r>
        <w:t>____________________________________________________________</w:t>
      </w:r>
    </w:p>
    <w:p>
      <w:r>
        <w:rPr>
          <w:sz w:val="22"/>
        </w:rPr>
        <w:t>Measurement-window questions:</w:t>
      </w:r>
    </w:p>
    <w:p>
      <w:r>
        <w:t>____________________________________________________________</w:t>
      </w:r>
    </w:p>
    <w:p>
      <w:r>
        <w:rPr>
          <w:sz w:val="22"/>
        </w:rPr>
        <w:t>Taxability questions:</w:t>
      </w:r>
    </w:p>
    <w:p>
      <w:r>
        <w:t>____________________________________________________________</w:t>
      </w:r>
    </w:p>
    <w:p>
      <w:r>
        <w:rPr>
          <w:sz w:val="22"/>
        </w:rPr>
        <w:t>Timing questions:</w:t>
      </w:r>
    </w:p>
    <w:p>
      <w:r>
        <w:t>____________________________________________________________</w:t>
      </w:r>
    </w:p>
    <w:p>
      <w:pPr>
        <w:pStyle w:val="Heading2"/>
      </w:pPr>
      <w:r>
        <w:t>Decisions requested</w:t>
      </w:r>
    </w:p>
    <w:p>
      <w:r>
        <w:rPr>
          <w:sz w:val="22"/>
        </w:rPr>
        <w:t>Registration timing decisions:</w:t>
      </w:r>
    </w:p>
    <w:p>
      <w:r>
        <w:t>____________________________________________________________</w:t>
      </w:r>
    </w:p>
    <w:p>
      <w:r>
        <w:rPr>
          <w:sz w:val="22"/>
        </w:rPr>
        <w:t>Filing frequency confirmations:</w:t>
      </w:r>
    </w:p>
    <w:p>
      <w:r>
        <w:t>____________________________________________________________</w:t>
      </w:r>
    </w:p>
    <w:p>
      <w:r>
        <w:rPr>
          <w:sz w:val="22"/>
        </w:rPr>
        <w:t>Record retention schedule:</w:t>
      </w:r>
    </w:p>
    <w:p>
      <w:r>
        <w:t>____________________________________________________________</w:t>
      </w:r>
    </w:p>
    <w:p>
      <w:r>
        <w:rPr>
          <w:sz w:val="22"/>
        </w:rPr>
        <w:t>Next review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