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Retrieval-Augmented Generation: A Practical Guide</w:t>
      </w:r>
    </w:p>
    <w:p>
      <w:pPr>
        <w:pStyle w:val="Heading1"/>
      </w:pPr>
      <w:r>
        <w:t>Introduction</w:t>
      </w:r>
    </w:p>
    <w:p>
      <w:pPr>
        <w:spacing w:after="240"/>
      </w:pPr>
      <w:r>
        <w:t>Retrieval-Augmented Generation (RAG) combines information retrieval with large language models. Instead of relying solely on the model's training data, RAG retrieves relevant passages from an external knowledge base at query time and injects them into the prompt. This approach reduces hallucinations and allows systems to answer questions about private or recently updated documents that the model has never seen during training.</w:t>
      </w:r>
    </w:p>
    <w:p>
      <w:pPr>
        <w:pStyle w:val="Heading1"/>
      </w:pPr>
      <w:r>
        <w:t>Why RAG Matters</w:t>
      </w:r>
    </w:p>
    <w:p>
      <w:pPr>
        <w:spacing w:after="240"/>
      </w:pPr>
      <w:r>
        <w:t>Large language models have knowledge cutoffs and cannot access proprietary company data without fine-tuning. RAG solves this by treating the LLM as a reasoning engine over retrieved evidence. Common use cases include customer support bots grounded in product manuals, legal assistants searching case archives, and internal HR chatbots answering policy questions from employee handbooks.</w:t>
      </w:r>
    </w:p>
    <w:p>
      <w:pPr>
        <w:pStyle w:val="Heading1"/>
      </w:pPr>
      <w:r>
        <w:t>The Ingestion Pipeline</w:t>
      </w:r>
    </w:p>
    <w:p>
      <w:pPr>
        <w:spacing w:after="240"/>
      </w:pPr>
      <w:r>
        <w:t>The first phase is ingestion. Documents are loaded from sources such as PDF, Word, or web pages. A text splitter breaks them into chunks of roughly 300–800 characters with overlap so sentences at chunk boundaries are not lost. Each chunk is converted to a vector embedding using a model like all-MiniLM-L6-v2 or OpenAI text-embedding-3-small. Embeddings are stored in a vector database such as ChromaDB, Pinecone, or FAISS.</w:t>
      </w:r>
    </w:p>
    <w:p>
      <w:pPr>
        <w:pStyle w:val="Heading1"/>
      </w:pPr>
      <w:r>
        <w:t>Chunking Strategies</w:t>
      </w:r>
    </w:p>
    <w:p>
      <w:pPr>
        <w:spacing w:after="240"/>
      </w:pPr>
      <w:r>
        <w:t>RecursiveCharacterTextSplitter is a popular choice because it tries to split on paragraphs first, then sentences, then words. Chunk size trades off precision against context: smaller chunks retrieve more focused passages but may miss broader context; larger chunks preserve narrative flow but can dilute relevance scores. Overlap of 10–20% helps when an answer spans two adjacent chunks.</w:t>
      </w:r>
    </w:p>
    <w:p>
      <w:pPr>
        <w:pStyle w:val="Heading1"/>
      </w:pPr>
      <w:r>
        <w:t>Query-Time Retrieval</w:t>
      </w:r>
    </w:p>
    <w:p>
      <w:pPr>
        <w:spacing w:after="240"/>
      </w:pPr>
      <w:r>
        <w:t>When a user asks a question, the query is embedded with the same model used at ingestion. The vector database returns the top-k nearest chunks by cosine similarity or L2 distance. These chunks are concatenated into a context block and passed to the LLM with instructions to answer only from the provided text. If the context does not contain the answer, the system should say it does not know rather than inventing facts.</w:t>
      </w:r>
    </w:p>
    <w:p>
      <w:pPr>
        <w:pStyle w:val="Heading1"/>
      </w:pPr>
      <w:r>
        <w:t>Embedding Models</w:t>
      </w:r>
    </w:p>
    <w:p>
      <w:pPr>
        <w:spacing w:after="240"/>
      </w:pPr>
      <w:r>
        <w:t>Sentence-transformer models run locally without an API key and work well for English semantic search. Cloud embedding APIs offer higher dimensionality and multilingual support. The critical rule is consistency: the same embedding model must be used for both ingestion and query, otherwise similarity scores become meaningless.</w:t>
      </w:r>
    </w:p>
    <w:p>
      <w:pPr>
        <w:pStyle w:val="Heading1"/>
      </w:pPr>
      <w:r>
        <w:t>Vector Database Options</w:t>
      </w:r>
    </w:p>
    <w:p>
      <w:pPr>
        <w:spacing w:after="240"/>
      </w:pPr>
      <w:r>
        <w:t>ChromaDB is lightweight and ideal for prototypes — it runs in-process with no separate server. FAISS offers high performance for large-scale search. Pinecone and Weaviate provide managed cloud hosting with metadata filtering. For a course project or proof of concept, ChromaDB with a persist_directory is usually sufficient.</w:t>
      </w:r>
    </w:p>
    <w:p>
      <w:pPr>
        <w:pStyle w:val="Heading1"/>
      </w:pPr>
      <w:r>
        <w:t>Evaluation and Limitations</w:t>
      </w:r>
    </w:p>
    <w:p>
      <w:pPr>
        <w:spacing w:after="240"/>
      </w:pPr>
      <w:r>
        <w:t>RAG quality depends on chunk quality, retrieval accuracy, and LLM faithfulness. Poor chunking can split tables or definitions across boundaries. Retrieval may miss relevant passages if the query uses different vocabulary than the source document — query expansion or hybrid keyword+vector search can help. RAG does not replace the need for clean source data: garbage in, garbage out still applies.</w:t>
      </w:r>
    </w:p>
    <w:p>
      <w:pPr>
        <w:pStyle w:val="Heading1"/>
      </w:pPr>
      <w:r>
        <w:t>Key People and Concepts</w:t>
      </w:r>
    </w:p>
    <w:p>
      <w:pPr>
        <w:spacing w:after="240"/>
      </w:pPr>
      <w:r>
        <w:t>Patrick Lewis and colleagues at Meta formalized the RAG architecture in their 2020 paper 'Retrieval-Augmented Generation for Knowledge-Intensive NLP Tasks.' LangChain and LlamaIndex are popular open-source frameworks that orchestrate loaders, splitters, vector stores, and LLM chains. The field continues to evolve with techniques such as reranking, HyDE (Hypothetical Document Embeddings), and agentic RAG where the model decides when to retrieve.</w:t>
      </w:r>
    </w:p>
    <w:p>
      <w:pPr>
        <w:pStyle w:val="Heading1"/>
      </w:pPr>
      <w:r>
        <w:t>Conclusion</w:t>
      </w:r>
    </w:p>
    <w:p>
      <w:pPr>
        <w:spacing w:after="240"/>
      </w:pPr>
      <w:r>
        <w:t>RAG is the standard pattern for building AI applications that must cite real documents. The pipeline — load, chunk, embed, store, retrieve, generate — is modular and each step can be swapped independently. For students and practitioners, mastering RAG means understanding not just LLM prompts but the full data path from raw documents to grounded answers. Start with a small corpus, inspect retrieved chunks, and iterate on chunk size before scaling to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