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COMPREHENSIVE AUDIT REPORT</w:t>
      </w:r>
    </w:p>
    <w:p>
      <w:pPr>
        <w:spacing w:after="100"/>
        <w:jc w:val="center"/>
      </w:pPr>
      <w:r>
        <w:rPr>
          <w:rFonts w:ascii="Arial" w:cs="Arial" w:eastAsia="Arial" w:hAnsi="Arial"/>
          <w:color w:val="2E5A88"/>
          <w:sz w:val="28"/>
          <w:szCs w:val="28"/>
        </w:rPr>
        <w:t xml:space="preserve">Density Field Dynamics: A Complete Unified Theory</w:t>
      </w:r>
    </w:p>
    <w:p>
      <w:pPr>
        <w:spacing w:after="100"/>
        <w:jc w:val="center"/>
      </w:pPr>
      <w:r>
        <w:rPr>
          <w:rFonts w:ascii="Arial" w:cs="Arial" w:eastAsia="Arial" w:hAnsi="Arial"/>
          <w:color w:val="555555"/>
          <w:sz w:val="24"/>
          <w:szCs w:val="24"/>
        </w:rPr>
        <w:t xml:space="preserve">v3.2 — March 2026 — Gary Alcock</w:t>
      </w:r>
    </w:p>
    <w:p>
      <w:pPr>
        <w:pBdr>
          <w:bottom w:val="single" w:color="1B3A5C" w:sz="6" w:space="1"/>
        </w:pBdr>
        <w:spacing w:after="400"/>
        <w:jc w:val="center"/>
      </w:pPr>
    </w:p>
    <w:p>
      <w:pPr>
        <w:spacing w:after="100"/>
        <w:jc w:val="center"/>
      </w:pPr>
      <w:r>
        <w:rPr>
          <w:rFonts w:ascii="Arial" w:cs="Arial" w:eastAsia="Arial" w:hAnsi="Arial"/>
          <w:color w:val="555555"/>
          <w:sz w:val="22"/>
          <w:szCs w:val="22"/>
        </w:rPr>
        <w:t xml:space="preserve">Audit conducted: March 6, 2026</w:t>
      </w:r>
    </w:p>
    <w:p>
      <w:pPr>
        <w:spacing w:after="2000"/>
        <w:jc w:val="center"/>
      </w:pPr>
      <w:r>
        <w:rPr>
          <w:rFonts w:ascii="Arial" w:cs="Arial" w:eastAsia="Arial" w:hAnsi="Arial"/>
          <w:color w:val="777777"/>
          <w:sz w:val="20"/>
          <w:szCs w:val="20"/>
        </w:rPr>
        <w:t xml:space="preserve">15 main sections, 26 appendices, 7 scripts, ~250 pages reviewed</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line="276"/>
      </w:pPr>
      <w:r>
        <w:rPr>
          <w:rFonts w:ascii="Arial" w:cs="Arial" w:eastAsia="Arial" w:hAnsi="Arial"/>
          <w:sz w:val="22"/>
          <w:szCs w:val="22"/>
        </w:rPr>
        <w:t xml:space="preserve">This report is a comprehensive, section-by-section audit of Density Field Dynamics (DFD) v3.2, a proposed unified theory of gravity and particle physics by Gary Alcock. The paper is ambitious in scope: it claims to derive the Standard Model gauge group, all fermion masses, mixing matrices, the fine-structure constant, and MOND-like galactic phenomenology from two postulates on a flat Minkowski background with a scalar refractive field ψ.</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Overall assessment: </w:t>
      </w:r>
      <w:r>
        <w:rPr>
          <w:rFonts w:ascii="Arial" w:cs="Arial" w:eastAsia="Arial" w:hAnsi="Arial"/>
          <w:sz w:val="22"/>
          <w:szCs w:val="22"/>
        </w:rPr>
        <w:t xml:space="preserve">DFD is a serious, technically sophisticated theory with genuine mathematical depth and several impressive quantitative successes. The gravity sector (Sections 1–7) is on solid ground and constitutes a legitimate, falsifiable alternative to GR+ΛCDM at galactic scales. The particle physics sector (Sections 8C, 13, and Appendices K–Z) contains striking numerical agreements but rests on structural choices that are not yet derived from first principles. The cosmological sector is the weakest, relying on speculative reinterpretations that are incomplete.</w:t>
      </w:r>
    </w:p>
    <w:p>
      <w:pPr>
        <w:pStyle w:val="Heading2"/>
        <w:spacing w:after="160" w:before="280"/>
      </w:pPr>
      <w:r>
        <w:rPr>
          <w:rFonts w:ascii="Arial" w:cs="Arial" w:eastAsia="Arial" w:hAnsi="Arial"/>
          <w:b/>
          <w:bCs/>
          <w:color w:val="2E5A88"/>
          <w:sz w:val="26"/>
          <w:szCs w:val="26"/>
        </w:rPr>
        <w:t xml:space="preserve">Bottom-Line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800"/>
        <w:gridCol w:w="1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Core Claim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Verdict</w:t>
            </w:r>
          </w:p>
        </w:tc>
        <w:tc>
          <w:tcPr>
            <w:tcW w:type="dxa" w:w="1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Grade</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Foundations (Secs. 1–3)</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Postulates, action, well-posedness</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SOUND</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PPN / Solar System (Sec. 4)</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γ=β=1, all 10 PPN = GR</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CORRECT</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Gravitational Waves (Sec. 5)</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c_T = c exactly, quadrupole formula</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CORRECT</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Strong Fields / EHT (Sec. 6)</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μ→1 at high accel, shadows = GR</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CORRECT</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Galactic Dynamics (Sec. 7)</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Rotation curves, BTFR, RAR</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STRONG</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SPARC Shape Test (Sec. 7)</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n_opt = 1.15±0.12, DFD n=1 inside CI</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STRONG</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Cluster Resolution (Sec. 7)</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Obs/DFD = 0.98±0.05 via Jensen + baryons</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PLAUSIBLE</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α-Relations (Sec. 8)</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k_a, η_c, k_α, a_0 from SM physics</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MIXED</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α = 1/137.036 (Sec. 8C)</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Microsector spectral action, k_max=60</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CONDITIONAL</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Fermion Masses (App. Y)</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A_f from CP² kernels + A₅ classes</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CONDITIONAL</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Strong CP θ̅=0 (App. L)</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Even-dim mapping torus, spectral symmetry</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RIGOROUS</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Neutrino Masses (App. X)</w:t>
            </w:r>
          </w:p>
        </w:tc>
        <w:tc>
          <w:tcPr>
            <w:tcW w:type="dxa" w:w="36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Branch B: χ²=0.025 vs NuFIT 6.0</w:t>
            </w:r>
          </w:p>
        </w:tc>
        <w:tc>
          <w:tcPr>
            <w:tcW w:type="dxa" w:w="18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 IMPRESSIVE</w:t>
            </w:r>
          </w:p>
        </w:tc>
        <w:tc>
          <w:tcPr>
            <w:tcW w:type="dxa" w:w="116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A</w:t>
            </w:r>
          </w:p>
        </w:tc>
      </w:tr>
      <w:tr>
        <w:tc>
          <w:tcPr>
            <w:tcW w:type="dxa" w:w="2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G–H₀ Invariant (App. O)</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GℏH₀²/c⁵ = α⁵⁷</w:t>
            </w:r>
          </w:p>
        </w:tc>
        <w:tc>
          <w:tcPr>
            <w:tcW w:type="dxa" w:w="1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sz w:val="20"/>
                <w:szCs w:val="20"/>
              </w:rPr>
              <w:t xml:space="preserve">❌ POSTULATED</w:t>
            </w:r>
          </w:p>
        </w:tc>
        <w:tc>
          <w:tcPr>
            <w:tcW w:type="dxa" w:w="11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sz w:val="20"/>
                <w:szCs w:val="20"/>
              </w:rPr>
              <w:t xml:space="preserve">D</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CMB Without DM (Sec. 12)</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R=2.34, ℓ₁=220 semi-analytic</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INCOMPLETE</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Cosmology / ψ-Screen (Sec. 12)</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Δψ replaces dark energy</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SPECULATIVE</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r>
        <w:tc>
          <w:tcPr>
            <w:tcW w:type="dxa" w:w="2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H₀ = 72.09 (Sec. 16)</w:t>
            </w:r>
          </w:p>
        </w:tc>
        <w:tc>
          <w:tcPr>
            <w:tcW w:type="dxa" w:w="36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sz w:val="20"/>
                <w:szCs w:val="20"/>
              </w:rPr>
              <w:t xml:space="preserve">Matches local ladder, 9.4σ off Planck</w:t>
            </w:r>
          </w:p>
        </w:tc>
        <w:tc>
          <w:tcPr>
            <w:tcW w:type="dxa" w:w="18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 TENSION</w:t>
            </w:r>
          </w:p>
        </w:tc>
        <w:tc>
          <w:tcPr>
            <w:tcW w:type="dxa" w:w="116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sz w:val="20"/>
                <w:szCs w:val="20"/>
              </w:rPr>
              <w:t xml:space="preserve">B/C</w:t>
            </w:r>
          </w:p>
        </w:tc>
      </w:tr>
    </w:tbl>
    <w:p>
      <w:r>
        <w:br w:type="page"/>
      </w:r>
    </w:p>
    <w:p>
      <w:pPr>
        <w:pStyle w:val="Heading1"/>
        <w:spacing w:after="200" w:before="360"/>
      </w:pPr>
      <w:r>
        <w:rPr>
          <w:rFonts w:ascii="Arial" w:cs="Arial" w:eastAsia="Arial" w:hAnsi="Arial"/>
          <w:b/>
          <w:bCs/>
          <w:color w:val="1B3A5C"/>
          <w:sz w:val="32"/>
          <w:szCs w:val="32"/>
        </w:rPr>
        <w:t xml:space="preserve">2. What Works Well</w:t>
      </w:r>
    </w:p>
    <w:p>
      <w:pPr>
        <w:pStyle w:val="Heading2"/>
        <w:spacing w:after="160" w:before="280"/>
      </w:pPr>
      <w:r>
        <w:rPr>
          <w:rFonts w:ascii="Arial" w:cs="Arial" w:eastAsia="Arial" w:hAnsi="Arial"/>
          <w:b/>
          <w:bCs/>
          <w:color w:val="2E5A88"/>
          <w:sz w:val="26"/>
          <w:szCs w:val="26"/>
        </w:rPr>
        <w:t xml:space="preserve">2.1 The Gravity Sector Is Legitimate</w:t>
      </w:r>
    </w:p>
    <w:p>
      <w:pPr>
        <w:spacing w:after="120" w:line="276"/>
      </w:pPr>
      <w:r>
        <w:rPr>
          <w:rFonts w:ascii="Arial" w:cs="Arial" w:eastAsia="Arial" w:hAnsi="Arial"/>
          <w:sz w:val="22"/>
          <w:szCs w:val="22"/>
        </w:rPr>
        <w:t xml:space="preserve">The core DFD framework—flat spacetime with n = exp(ψ), matter coupling Φ = –c²ψ/2, and a k-essence action with nonlinear μ(x)—is mathematically well-defined. The well-posedness proofs (Section 3) are rigorous: existence, uniqueness, regularity, and stability are established via standard PDE theory (Sobolev spaces, monotone operator methods, Gronwall estimates). The IBVP treatment for bounded domains is particularly thorough.</w:t>
      </w:r>
    </w:p>
    <w:p>
      <w:pPr>
        <w:spacing w:after="120" w:line="276"/>
      </w:pPr>
      <w:r>
        <w:rPr>
          <w:rFonts w:ascii="Arial" w:cs="Arial" w:eastAsia="Arial" w:hAnsi="Arial"/>
          <w:sz w:val="22"/>
          <w:szCs w:val="22"/>
        </w:rPr>
        <w:t xml:space="preserve">The PPN analysis (Section 4) correctly derives γ = β = 1 from the exponential structure n = exp(ψ). The argument is clean: Taylor-expanding exp(±ψ) immediately gives the GR coefficients at 1PN order, and the conservation parameters vanish by minimal coupling. This is not trivial—many alternative theories fail here.</w:t>
      </w:r>
    </w:p>
    <w:p>
      <w:pPr>
        <w:spacing w:after="120" w:line="276"/>
      </w:pPr>
      <w:r>
        <w:rPr>
          <w:rFonts w:ascii="Arial" w:cs="Arial" w:eastAsia="Arial" w:hAnsi="Arial"/>
          <w:sz w:val="22"/>
          <w:szCs w:val="22"/>
        </w:rPr>
        <w:t xml:space="preserve">The gravitational wave sector (Section 5) is honestly constructed: the TT sector is explicitly stated as an independent degree of freedom added for observational consistency, not derived from ψ. The c_T = c result is structural (no derivative mixing), not fine-tuned. The Horndeski embedding (G4 = const, G5 = 0) confirms this algebraically.</w:t>
      </w:r>
    </w:p>
    <w:p>
      <w:pPr>
        <w:pStyle w:val="Heading2"/>
        <w:spacing w:after="160" w:before="280"/>
      </w:pPr>
      <w:r>
        <w:rPr>
          <w:rFonts w:ascii="Arial" w:cs="Arial" w:eastAsia="Arial" w:hAnsi="Arial"/>
          <w:b/>
          <w:bCs/>
          <w:color w:val="2E5A88"/>
          <w:sz w:val="26"/>
          <w:szCs w:val="26"/>
        </w:rPr>
        <w:t xml:space="preserve">2.2 Galactic Phenomenology Is Strong</w:t>
      </w:r>
    </w:p>
    <w:p>
      <w:pPr>
        <w:spacing w:after="120" w:line="276"/>
      </w:pPr>
      <w:r>
        <w:rPr>
          <w:rFonts w:ascii="Arial" w:cs="Arial" w:eastAsia="Arial" w:hAnsi="Arial"/>
          <w:sz w:val="22"/>
          <w:szCs w:val="22"/>
        </w:rPr>
        <w:t xml:space="preserve">The SPARC validation is the paper’s strongest empirical result. The model-independent shape test finding n_opt = 1.15 ± 0.12 with DFD’s n = 1 inside the 95% CI while Standard MOND’s n = 2 is excluded is genuinely impressive. The 9.2× and 29× penalty ratios in free- and fixed-Υ tests respectively are statistically meaningful.</w:t>
      </w:r>
    </w:p>
    <w:p>
      <w:pPr>
        <w:spacing w:after="120" w:line="276"/>
      </w:pPr>
      <w:r>
        <w:rPr>
          <w:rFonts w:ascii="Arial" w:cs="Arial" w:eastAsia="Arial" w:hAnsi="Arial"/>
          <w:sz w:val="22"/>
          <w:szCs w:val="22"/>
        </w:rPr>
        <w:t xml:space="preserve">The derivation of μ(x) = x/(1+x) from an S³ composition law (Appendix N) is mathematically elegant, though it depends on the saturation-union assumption.</w:t>
      </w:r>
    </w:p>
    <w:p>
      <w:pPr>
        <w:pStyle w:val="Heading2"/>
        <w:spacing w:after="160" w:before="280"/>
      </w:pPr>
      <w:r>
        <w:rPr>
          <w:rFonts w:ascii="Arial" w:cs="Arial" w:eastAsia="Arial" w:hAnsi="Arial"/>
          <w:b/>
          <w:bCs/>
          <w:color w:val="2E5A88"/>
          <w:sz w:val="26"/>
          <w:szCs w:val="26"/>
        </w:rPr>
        <w:t xml:space="preserve">2.3 Particle Physics Numerics Are Striking</w:t>
      </w:r>
    </w:p>
    <w:p>
      <w:pPr>
        <w:spacing w:after="120" w:line="276"/>
      </w:pPr>
      <w:r>
        <w:rPr>
          <w:rFonts w:ascii="Arial" w:cs="Arial" w:eastAsia="Arial" w:hAnsi="Arial"/>
          <w:sz w:val="22"/>
          <w:szCs w:val="22"/>
        </w:rPr>
        <w:t xml:space="preserve">The scripts all execute successfully and reproduce the claimed values. The 9-fermion mass dictionary achieves 1.42% mean error with explicit operator derivations (CP² kernels, QCD factors, generation operator). The neutrino sector achieves χ² = 0.025 against NuFIT 6.0 with zero empirical anchoring. The strong CP solution (θ̅ = 0 to all loop orders via even-dimensional mapping torus) is theorem-grade.</w:t>
      </w:r>
    </w:p>
    <w:p>
      <w:pPr>
        <w:spacing w:after="120" w:line="276"/>
      </w:pPr>
      <w:r>
        <w:rPr>
          <w:rFonts w:ascii="Arial" w:cs="Arial" w:eastAsia="Arial" w:hAnsi="Arial"/>
          <w:sz w:val="22"/>
          <w:szCs w:val="22"/>
        </w:rPr>
        <w:t xml:space="preserve">The α⁻¹ = 137.036 result at sub-ppm precision is remarkable, though its status depends critically on the microsector choices discussed below.</w:t>
      </w:r>
    </w:p>
    <w:p>
      <w:r>
        <w:br w:type="page"/>
      </w:r>
    </w:p>
    <w:p>
      <w:pPr>
        <w:pStyle w:val="Heading1"/>
        <w:spacing w:after="200" w:before="360"/>
      </w:pPr>
      <w:r>
        <w:rPr>
          <w:rFonts w:ascii="Arial" w:cs="Arial" w:eastAsia="Arial" w:hAnsi="Arial"/>
          <w:b/>
          <w:bCs/>
          <w:color w:val="1B3A5C"/>
          <w:sz w:val="32"/>
          <w:szCs w:val="32"/>
        </w:rPr>
        <w:t xml:space="preserve">3. Critical Issues and Weaknesses</w:t>
      </w:r>
    </w:p>
    <w:p>
      <w:pPr>
        <w:pStyle w:val="Heading2"/>
        <w:spacing w:after="160" w:before="280"/>
      </w:pPr>
      <w:r>
        <w:rPr>
          <w:rFonts w:ascii="Arial" w:cs="Arial" w:eastAsia="Arial" w:hAnsi="Arial"/>
          <w:b/>
          <w:bCs/>
          <w:color w:val="2E5A88"/>
          <w:sz w:val="26"/>
          <w:szCs w:val="26"/>
        </w:rPr>
        <w:t xml:space="preserve">3.1 The “Zero Parameters” Claim Is Misleading</w:t>
      </w:r>
    </w:p>
    <w:p>
      <w:pPr>
        <w:spacing w:after="120" w:line="276"/>
      </w:pPr>
      <w:r>
        <w:rPr>
          <w:rFonts w:ascii="Arial" w:cs="Arial" w:eastAsia="Arial" w:hAnsi="Arial"/>
          <w:b/>
          <w:bCs/>
          <w:color w:val="CC0000"/>
          <w:sz w:val="22"/>
          <w:szCs w:val="22"/>
        </w:rPr>
        <w:t xml:space="preserve">Finding: </w:t>
      </w:r>
      <w:r>
        <w:rPr>
          <w:rFonts w:ascii="Arial" w:cs="Arial" w:eastAsia="Arial" w:hAnsi="Arial"/>
          <w:sz w:val="22"/>
          <w:szCs w:val="22"/>
        </w:rPr>
        <w:t xml:space="preserve">The paper repeatedly claims “zero continuous fit parameters.” This is technically true in a narrow sense (no analogs of Ω_m or w are fitted), but misleading in practice. The theory requires: (i) two foundational postulates (n = exp(ψ), Φ = –c²ψ/2), (ii) topological integers k_max = 60 and N_gen = 3, (iii) one measured scale (H₀ or G), and (iv) the microsector Hilbert space choice (ℰ_F = M_d(ℂ) vs ℂᵈ). The last of these is a discrete structural choice that determines whether α is predicted to sub-ppm or misses by 43 ppm. Calling this “zero parameters” obscures the sensitivity to this binary fork.</w:t>
      </w:r>
    </w:p>
    <w:p>
      <w:pPr>
        <w:pStyle w:val="Heading2"/>
        <w:spacing w:after="160" w:before="280"/>
      </w:pPr>
      <w:r>
        <w:rPr>
          <w:rFonts w:ascii="Arial" w:cs="Arial" w:eastAsia="Arial" w:hAnsi="Arial"/>
          <w:b/>
          <w:bCs/>
          <w:color w:val="2E5A88"/>
          <w:sz w:val="26"/>
          <w:szCs w:val="26"/>
        </w:rPr>
        <w:t xml:space="preserve">3.2 The Observer Dictionary Is a Postulate, Not a Derivation</w:t>
      </w:r>
    </w:p>
    <w:p>
      <w:pPr>
        <w:spacing w:after="120" w:line="276"/>
      </w:pPr>
      <w:r>
        <w:rPr>
          <w:rFonts w:ascii="Arial" w:cs="Arial" w:eastAsia="Arial" w:hAnsi="Arial"/>
          <w:b/>
          <w:bCs/>
          <w:color w:val="CC0000"/>
          <w:sz w:val="22"/>
          <w:szCs w:val="22"/>
        </w:rPr>
        <w:t xml:space="preserve">Finding: </w:t>
      </w:r>
      <w:r>
        <w:rPr>
          <w:rFonts w:ascii="Arial" w:cs="Arial" w:eastAsia="Arial" w:hAnsi="Arial"/>
          <w:sz w:val="22"/>
          <w:szCs w:val="22"/>
        </w:rPr>
        <w:t xml:space="preserve">The G–H₀ invariant GℏH₀²/c⁵ = α⁵⁷ is presented as “derived.” In Appendix O, the mathematical content (Lemma O.1) is trivial: if k_max = 60 and N_gen = 3, the primed determinant scales as g⁵⁷. The physical content—identifying this scaling with the observed dimensionless invariant—is Definition O.1, an explicit postulate. The “derivation” is: define the dictionary → read off the exponent. This is circular. The exponent 57 is not explained; it is imposed.</w:t>
      </w:r>
    </w:p>
    <w:p>
      <w:pPr>
        <w:pStyle w:val="Heading2"/>
        <w:spacing w:after="160" w:before="280"/>
      </w:pPr>
      <w:r>
        <w:rPr>
          <w:rFonts w:ascii="Arial" w:cs="Arial" w:eastAsia="Arial" w:hAnsi="Arial"/>
          <w:b/>
          <w:bCs/>
          <w:color w:val="2E5A88"/>
          <w:sz w:val="26"/>
          <w:szCs w:val="26"/>
        </w:rPr>
        <w:t xml:space="preserve">3.3 The Gravity–Microsector Independence Claim Is False</w:t>
      </w:r>
    </w:p>
    <w:p>
      <w:pPr>
        <w:spacing w:after="120" w:line="276"/>
      </w:pPr>
      <w:r>
        <w:rPr>
          <w:rFonts w:ascii="Arial" w:cs="Arial" w:eastAsia="Arial" w:hAnsi="Arial"/>
          <w:b/>
          <w:bCs/>
          <w:color w:val="CC0000"/>
          <w:sz w:val="22"/>
          <w:szCs w:val="22"/>
        </w:rPr>
        <w:t xml:space="preserve">Finding: </w:t>
      </w:r>
      <w:r>
        <w:rPr>
          <w:rFonts w:ascii="Arial" w:cs="Arial" w:eastAsia="Arial" w:hAnsi="Arial"/>
          <w:sz w:val="22"/>
          <w:szCs w:val="22"/>
        </w:rPr>
        <w:t xml:space="preserve">Section 15 claims the gravity sector “stands independently” even if the microsector fails. But: (a) μ(x) = x/(1+x) is derived from S³ topology, (b) a₀ = 2√α cH₀ uses α from the microsector, and (c) k_a = 3/(8α) depends on gauge emergence. If the microsector is wrong, DFD’s galactic predictions lose their “derived” status and revert to being phenomenological MOND with a specific μ-function choice. The theory can survive this—it just becomes less ambitious.</w:t>
      </w:r>
    </w:p>
    <w:p>
      <w:pPr>
        <w:pStyle w:val="Heading2"/>
        <w:spacing w:after="160" w:before="280"/>
      </w:pPr>
      <w:r>
        <w:rPr>
          <w:rFonts w:ascii="Arial" w:cs="Arial" w:eastAsia="Arial" w:hAnsi="Arial"/>
          <w:b/>
          <w:bCs/>
          <w:color w:val="2E5A88"/>
          <w:sz w:val="26"/>
          <w:szCs w:val="26"/>
        </w:rPr>
        <w:t xml:space="preserve">3.4 The Fermion Mass “Derivation” Has a Universality Wall</w:t>
      </w:r>
    </w:p>
    <w:p>
      <w:pPr>
        <w:spacing w:after="120" w:line="276"/>
      </w:pPr>
      <w:r>
        <w:rPr>
          <w:rFonts w:ascii="Arial" w:cs="Arial" w:eastAsia="Arial" w:hAnsi="Arial"/>
          <w:b/>
          <w:bCs/>
          <w:color w:val="CC0000"/>
          <w:sz w:val="22"/>
          <w:szCs w:val="22"/>
        </w:rPr>
        <w:t xml:space="preserve">Finding: </w:t>
      </w:r>
      <w:r>
        <w:rPr>
          <w:rFonts w:ascii="Arial" w:cs="Arial" w:eastAsia="Arial" w:hAnsi="Arial"/>
          <w:sz w:val="22"/>
          <w:szCs w:val="22"/>
        </w:rPr>
        <w:t xml:space="preserve">Appendix Y honestly acknowledges a “universality wall” (Proposition Y.1): the minimal (3,2,1) connector cannot distinguish fermion species within multiplets. The resolution invokes A₅ conjugacy classes as species labels because |A₅| = k_max = 60. While creative, this is post-hoc: (a) the connection between the alternating group and particle species is not derived from the geometry, (b) the bin assignments required explicit numerical scanning to find correct matches, and (c) the paper admits the simple conjugation prediction failed and had to be corrected. The 1.42% mean error is real, but the A₅ structure doing the heavy lifting is conjectural.</w:t>
      </w:r>
    </w:p>
    <w:p>
      <w:pPr>
        <w:pStyle w:val="Heading2"/>
        <w:spacing w:after="160" w:before="280"/>
      </w:pPr>
      <w:r>
        <w:rPr>
          <w:rFonts w:ascii="Arial" w:cs="Arial" w:eastAsia="Arial" w:hAnsi="Arial"/>
          <w:b/>
          <w:bCs/>
          <w:color w:val="2E5A88"/>
          <w:sz w:val="26"/>
          <w:szCs w:val="26"/>
        </w:rPr>
        <w:t xml:space="preserve">3.5 The Cosmological Sector Is Incomplete</w:t>
      </w:r>
    </w:p>
    <w:p>
      <w:pPr>
        <w:spacing w:after="120" w:line="276"/>
      </w:pPr>
      <w:r>
        <w:rPr>
          <w:rFonts w:ascii="Arial" w:cs="Arial" w:eastAsia="Arial" w:hAnsi="Arial"/>
          <w:b/>
          <w:bCs/>
          <w:color w:val="CC0000"/>
          <w:sz w:val="22"/>
          <w:szCs w:val="22"/>
        </w:rPr>
        <w:t xml:space="preserve">Finding: </w:t>
      </w:r>
      <w:r>
        <w:rPr>
          <w:rFonts w:ascii="Arial" w:cs="Arial" w:eastAsia="Arial" w:hAnsi="Arial"/>
          <w:sz w:val="22"/>
          <w:szCs w:val="22"/>
        </w:rPr>
        <w:t xml:space="preserve">The ψ-screen cosmology (Section 12) reinterprets dark energy as an optical bias. While conceptually interesting, the implementation is incomplete: (a) CMB peak structure is derived semi-analytically (R = 2.34, ℓ₁ = 220) but a full angular power spectrum has not been computed—the paper explicitly states CLASS/CAMB are GR-based and DFD doesn’t use them, but provides no equivalent code, (b) the P(k) matter power spectrum is listed as a “program item, not a theorem,” (c) the ψ-screen Δψ(z=1) = 0.27 ± 0.02 is stated but the full reconstruction pipeline is deferred. Without quantitative P(k) and C_ℓ predictions, the cosmological sector cannot be seriously compared to ΛCDM.</w:t>
      </w:r>
    </w:p>
    <w:p>
      <w:pPr>
        <w:pStyle w:val="Heading2"/>
        <w:spacing w:after="160" w:before="280"/>
      </w:pPr>
      <w:r>
        <w:rPr>
          <w:rFonts w:ascii="Arial" w:cs="Arial" w:eastAsia="Arial" w:hAnsi="Arial"/>
          <w:b/>
          <w:bCs/>
          <w:color w:val="2E5A88"/>
          <w:sz w:val="26"/>
          <w:szCs w:val="26"/>
        </w:rPr>
        <w:t xml:space="preserve">3.6 The Cluster Resolution Relies on Generous Corrections</w:t>
      </w:r>
    </w:p>
    <w:p>
      <w:pPr>
        <w:spacing w:after="120" w:line="276"/>
      </w:pPr>
      <w:r>
        <w:rPr>
          <w:rFonts w:ascii="Arial" w:cs="Arial" w:eastAsia="Arial" w:hAnsi="Arial"/>
          <w:b/>
          <w:bCs/>
          <w:color w:val="CC0000"/>
          <w:sz w:val="22"/>
          <w:szCs w:val="22"/>
        </w:rPr>
        <w:t xml:space="preserve">Finding: </w:t>
      </w:r>
      <w:r>
        <w:rPr>
          <w:rFonts w:ascii="Arial" w:cs="Arial" w:eastAsia="Arial" w:hAnsi="Arial"/>
          <w:sz w:val="22"/>
          <w:szCs w:val="22"/>
        </w:rPr>
        <w:t xml:space="preserve">The raw cluster analysis shows Obs/DFD ≈ 1.5–2.1 for relaxed and merging clusters. The “resolution” applies two correction factors: (a) baryonic mass updates (WHIM, ICL, clumping) giving ×1.25–1.45, and (b) multi-scale averaging via Jensen’s inequality giving another ×1.25–1.45. While each correction is individually plausible, stacking them to get exactly Obs/DFD = 0.98 ± 0.05 is suspiciously precise. The Jensen’s inequality argument is correct in principle but requires knowing the subhalo acceleration distribution, which is modeled rather than measured. A skeptic would say this is a two-parameter fit masquerading as a correction.</w:t>
      </w:r>
    </w:p>
    <w:p>
      <w:pPr>
        <w:pStyle w:val="Heading2"/>
        <w:spacing w:after="160" w:before="280"/>
      </w:pPr>
      <w:r>
        <w:rPr>
          <w:rFonts w:ascii="Arial" w:cs="Arial" w:eastAsia="Arial" w:hAnsi="Arial"/>
          <w:b/>
          <w:bCs/>
          <w:color w:val="2E5A88"/>
          <w:sz w:val="26"/>
          <w:szCs w:val="26"/>
        </w:rPr>
        <w:t xml:space="preserve">3.7 H₀ Prediction: Local Win, CMB Loss</w:t>
      </w:r>
    </w:p>
    <w:p>
      <w:pPr>
        <w:spacing w:after="120" w:line="276"/>
      </w:pPr>
      <w:r>
        <w:rPr>
          <w:rFonts w:ascii="Arial" w:cs="Arial" w:eastAsia="Arial" w:hAnsi="Arial"/>
          <w:sz w:val="22"/>
          <w:szCs w:val="22"/>
        </w:rPr>
        <w:t xml:space="preserve">DFD predicts H₀ = 72.09 km/s/Mpc, matching the SH0ES+JWST local ladder (72.6 ± 2.0) at 0.3σ. However, it disagrees with Planck CMB inference (67.4 ± 0.5) at 9.4σ. The paper attributes this to a “ψ-screen optical bias” on CMB distances. This is precisely the kind of claim that needs quantitative demonstration (a full DFD-based CMB analysis), not just assertion.</w:t>
      </w:r>
    </w:p>
    <w:p>
      <w:r>
        <w:br w:type="page"/>
      </w:r>
    </w:p>
    <w:p>
      <w:pPr>
        <w:pStyle w:val="Heading1"/>
        <w:spacing w:after="200" w:before="360"/>
      </w:pPr>
      <w:r>
        <w:rPr>
          <w:rFonts w:ascii="Arial" w:cs="Arial" w:eastAsia="Arial" w:hAnsi="Arial"/>
          <w:b/>
          <w:bCs/>
          <w:color w:val="1B3A5C"/>
          <w:sz w:val="32"/>
          <w:szCs w:val="32"/>
        </w:rPr>
        <w:t xml:space="preserve">4. Mathematical Rigor Audit</w:t>
      </w:r>
    </w:p>
    <w:p>
      <w:pPr>
        <w:pStyle w:val="Heading2"/>
        <w:spacing w:after="160" w:before="280"/>
      </w:pPr>
      <w:r>
        <w:rPr>
          <w:rFonts w:ascii="Arial" w:cs="Arial" w:eastAsia="Arial" w:hAnsi="Arial"/>
          <w:b/>
          <w:bCs/>
          <w:color w:val="2E5A88"/>
          <w:sz w:val="26"/>
          <w:szCs w:val="26"/>
        </w:rPr>
        <w:t xml:space="preserve">4.1 Rigorous Results (Theorem-Grade)</w:t>
      </w:r>
    </w:p>
    <w:p>
      <w:pPr>
        <w:pStyle w:val="ListParagraph"/>
        <w:numPr>
          <w:ilvl w:val="0"/>
          <w:numId w:val="2"/>
        </w:numPr>
        <w:spacing w:after="80" w:line="276"/>
      </w:pPr>
      <w:r>
        <w:rPr>
          <w:rFonts w:ascii="Arial" w:cs="Arial" w:eastAsia="Arial" w:hAnsi="Arial"/>
          <w:sz w:val="22"/>
          <w:szCs w:val="22"/>
        </w:rPr>
        <w:t xml:space="preserve">Well-posedness of the DFD field equation: existence, uniqueness, stability, causality (Section 3)</w:t>
      </w:r>
    </w:p>
    <w:p>
      <w:pPr>
        <w:pStyle w:val="ListParagraph"/>
        <w:numPr>
          <w:ilvl w:val="0"/>
          <w:numId w:val="2"/>
        </w:numPr>
        <w:spacing w:after="80" w:line="276"/>
      </w:pPr>
      <w:r>
        <w:rPr>
          <w:rFonts w:ascii="Arial" w:cs="Arial" w:eastAsia="Arial" w:hAnsi="Arial"/>
          <w:sz w:val="22"/>
          <w:szCs w:val="22"/>
        </w:rPr>
        <w:t xml:space="preserve">PPN parameters γ = β = 1 from n = exp(ψ) (Section 4)</w:t>
      </w:r>
    </w:p>
    <w:p>
      <w:pPr>
        <w:pStyle w:val="ListParagraph"/>
        <w:numPr>
          <w:ilvl w:val="0"/>
          <w:numId w:val="2"/>
        </w:numPr>
        <w:spacing w:after="80" w:line="276"/>
      </w:pPr>
      <w:r>
        <w:rPr>
          <w:rFonts w:ascii="Arial" w:cs="Arial" w:eastAsia="Arial" w:hAnsi="Arial"/>
          <w:sz w:val="22"/>
          <w:szCs w:val="22"/>
        </w:rPr>
        <w:t xml:space="preserve">c_T = c from no derivative mixing / Horndeski embedding (Section 5)</w:t>
      </w:r>
    </w:p>
    <w:p>
      <w:pPr>
        <w:pStyle w:val="ListParagraph"/>
        <w:numPr>
          <w:ilvl w:val="0"/>
          <w:numId w:val="2"/>
        </w:numPr>
        <w:spacing w:after="80" w:line="276"/>
      </w:pPr>
      <w:r>
        <w:rPr>
          <w:rFonts w:ascii="Arial" w:cs="Arial" w:eastAsia="Arial" w:hAnsi="Arial"/>
          <w:sz w:val="22"/>
          <w:szCs w:val="22"/>
        </w:rPr>
        <w:t xml:space="preserve">N_gen = 3 from spinᶜ index theorem on ℂP² × S³ (Section 13)</w:t>
      </w:r>
    </w:p>
    <w:p>
      <w:pPr>
        <w:pStyle w:val="ListParagraph"/>
        <w:numPr>
          <w:ilvl w:val="0"/>
          <w:numId w:val="2"/>
        </w:numPr>
        <w:spacing w:after="80" w:line="276"/>
      </w:pPr>
      <w:r>
        <w:rPr>
          <w:rFonts w:ascii="Arial" w:cs="Arial" w:eastAsia="Arial" w:hAnsi="Arial"/>
          <w:sz w:val="22"/>
          <w:szCs w:val="22"/>
        </w:rPr>
        <w:t xml:space="preserve">θ̅ = 0 to all loop orders via even-dimensional mapping torus (Appendix L)</w:t>
      </w:r>
    </w:p>
    <w:p>
      <w:pPr>
        <w:pStyle w:val="ListParagraph"/>
        <w:numPr>
          <w:ilvl w:val="0"/>
          <w:numId w:val="2"/>
        </w:numPr>
        <w:spacing w:after="80" w:line="276"/>
      </w:pPr>
      <w:r>
        <w:rPr>
          <w:rFonts w:ascii="Arial" w:cs="Arial" w:eastAsia="Arial" w:hAnsi="Arial"/>
          <w:sz w:val="22"/>
          <w:szCs w:val="22"/>
        </w:rPr>
        <w:t xml:space="preserve">μ(x) = x/(1+x) from saturation-union composition law, given the assumptions (Appendix N)</w:t>
      </w:r>
    </w:p>
    <w:p>
      <w:pPr>
        <w:pStyle w:val="ListParagraph"/>
        <w:numPr>
          <w:ilvl w:val="0"/>
          <w:numId w:val="2"/>
        </w:numPr>
        <w:spacing w:after="80" w:line="276"/>
      </w:pPr>
      <w:r>
        <w:rPr>
          <w:rFonts w:ascii="Arial" w:cs="Arial" w:eastAsia="Arial" w:hAnsi="Arial"/>
          <w:sz w:val="22"/>
          <w:szCs w:val="22"/>
        </w:rPr>
        <w:t xml:space="preserve">Bin-overlap lemma for A₅ conjugacy classes (verified by script)</w:t>
      </w:r>
    </w:p>
    <w:p>
      <w:pPr>
        <w:pStyle w:val="ListParagraph"/>
        <w:numPr>
          <w:ilvl w:val="0"/>
          <w:numId w:val="2"/>
        </w:numPr>
        <w:spacing w:after="80" w:line="276"/>
      </w:pPr>
      <w:r>
        <w:rPr>
          <w:rFonts w:ascii="Arial" w:cs="Arial" w:eastAsia="Arial" w:hAnsi="Arial"/>
          <w:sz w:val="22"/>
          <w:szCs w:val="22"/>
        </w:rPr>
        <w:t xml:space="preserve">All Pauli matrix identities for strong CP (verified by script)</w:t>
      </w:r>
    </w:p>
    <w:p>
      <w:pPr>
        <w:pStyle w:val="Heading2"/>
        <w:spacing w:after="160" w:before="280"/>
      </w:pPr>
      <w:r>
        <w:rPr>
          <w:rFonts w:ascii="Arial" w:cs="Arial" w:eastAsia="Arial" w:hAnsi="Arial"/>
          <w:b/>
          <w:bCs/>
          <w:color w:val="2E5A88"/>
          <w:sz w:val="26"/>
          <w:szCs w:val="26"/>
        </w:rPr>
        <w:t xml:space="preserve">4.2 Mathematically Sound but Physically Unjustified</w:t>
      </w:r>
    </w:p>
    <w:p>
      <w:pPr>
        <w:pStyle w:val="ListParagraph"/>
        <w:numPr>
          <w:ilvl w:val="0"/>
          <w:numId w:val="2"/>
        </w:numPr>
        <w:spacing w:after="80" w:line="276"/>
      </w:pPr>
      <w:r>
        <w:rPr>
          <w:rFonts w:ascii="Arial" w:cs="Arial" w:eastAsia="Arial" w:hAnsi="Arial"/>
          <w:sz w:val="22"/>
          <w:szCs w:val="22"/>
        </w:rPr>
        <w:t xml:space="preserve">The spacetime functional S[ψ] = ∫(Ξ – (3/2)logΞ) d³x: why this functional?</w:t>
      </w:r>
    </w:p>
    <w:p>
      <w:pPr>
        <w:pStyle w:val="ListParagraph"/>
        <w:numPr>
          <w:ilvl w:val="0"/>
          <w:numId w:val="2"/>
        </w:numPr>
        <w:spacing w:after="80" w:line="276"/>
      </w:pPr>
      <w:r>
        <w:rPr>
          <w:rFonts w:ascii="Arial" w:cs="Arial" w:eastAsia="Arial" w:hAnsi="Arial"/>
          <w:sz w:val="22"/>
          <w:szCs w:val="22"/>
        </w:rPr>
        <w:t xml:space="preserve">The saturation-union composition law for ψ responses: asserted without physical justification</w:t>
      </w:r>
    </w:p>
    <w:p>
      <w:pPr>
        <w:pStyle w:val="ListParagraph"/>
        <w:numPr>
          <w:ilvl w:val="0"/>
          <w:numId w:val="2"/>
        </w:numPr>
        <w:spacing w:after="80" w:line="276"/>
      </w:pPr>
      <w:r>
        <w:rPr>
          <w:rFonts w:ascii="Arial" w:cs="Arial" w:eastAsia="Arial" w:hAnsi="Arial"/>
          <w:sz w:val="22"/>
          <w:szCs w:val="22"/>
        </w:rPr>
        <w:t xml:space="preserve">The observer dictionary identification GℏH₀²/c⁵ = α⁵⁷: a definition, not a theorem</w:t>
      </w:r>
    </w:p>
    <w:p>
      <w:pPr>
        <w:pStyle w:val="ListParagraph"/>
        <w:numPr>
          <w:ilvl w:val="0"/>
          <w:numId w:val="2"/>
        </w:numPr>
        <w:spacing w:after="80" w:line="276"/>
      </w:pPr>
      <w:r>
        <w:rPr>
          <w:rFonts w:ascii="Arial" w:cs="Arial" w:eastAsia="Arial" w:hAnsi="Arial"/>
          <w:sz w:val="22"/>
          <w:szCs w:val="22"/>
        </w:rPr>
        <w:t xml:space="preserve">C_loop = 1/8 in k_a = 3/(8α): claimed from heat kernel but not explicitly computed</w:t>
      </w:r>
    </w:p>
    <w:p>
      <w:pPr>
        <w:pStyle w:val="ListParagraph"/>
        <w:numPr>
          <w:ilvl w:val="0"/>
          <w:numId w:val="2"/>
        </w:numPr>
        <w:spacing w:after="80" w:line="276"/>
      </w:pPr>
      <w:r>
        <w:rPr>
          <w:rFonts w:ascii="Arial" w:cs="Arial" w:eastAsia="Arial" w:hAnsi="Arial"/>
          <w:sz w:val="22"/>
          <w:szCs w:val="22"/>
        </w:rPr>
        <w:t xml:space="preserve">A₅ conjugacy class structure for fermion species: creative but post-hoc</w:t>
      </w:r>
    </w:p>
    <w:p>
      <w:pPr>
        <w:pStyle w:val="Heading2"/>
        <w:spacing w:after="160" w:before="280"/>
      </w:pPr>
      <w:r>
        <w:rPr>
          <w:rFonts w:ascii="Arial" w:cs="Arial" w:eastAsia="Arial" w:hAnsi="Arial"/>
          <w:b/>
          <w:bCs/>
          <w:color w:val="2E5A88"/>
          <w:sz w:val="26"/>
          <w:szCs w:val="26"/>
        </w:rPr>
        <w:t xml:space="preserve">4.3 Explicitly Conjectural</w:t>
      </w:r>
    </w:p>
    <w:p>
      <w:pPr>
        <w:pStyle w:val="ListParagraph"/>
        <w:numPr>
          <w:ilvl w:val="0"/>
          <w:numId w:val="2"/>
        </w:numPr>
        <w:spacing w:after="80" w:line="276"/>
      </w:pPr>
      <w:r>
        <w:rPr>
          <w:rFonts w:ascii="Arial" w:cs="Arial" w:eastAsia="Arial" w:hAnsi="Arial"/>
          <w:sz w:val="22"/>
          <w:szCs w:val="22"/>
        </w:rPr>
        <w:t xml:space="preserve">Higgs quartic λ_H = 1/8 from dimension counting</w:t>
      </w:r>
    </w:p>
    <w:p>
      <w:pPr>
        <w:pStyle w:val="ListParagraph"/>
        <w:numPr>
          <w:ilvl w:val="0"/>
          <w:numId w:val="2"/>
        </w:numPr>
        <w:spacing w:after="80" w:line="276"/>
      </w:pPr>
      <w:r>
        <w:rPr>
          <w:rFonts w:ascii="Arial" w:cs="Arial" w:eastAsia="Arial" w:hAnsi="Arial"/>
          <w:sz w:val="22"/>
          <w:szCs w:val="22"/>
        </w:rPr>
        <w:t xml:space="preserve">CKM selection rule: integers (31, 108, 19, 49) from bundle cohomology, but selection rule is missing</w:t>
      </w:r>
    </w:p>
    <w:p>
      <w:pPr>
        <w:pStyle w:val="ListParagraph"/>
        <w:numPr>
          <w:ilvl w:val="0"/>
          <w:numId w:val="2"/>
        </w:numPr>
        <w:spacing w:after="80" w:line="276"/>
      </w:pPr>
      <w:r>
        <w:rPr>
          <w:rFonts w:ascii="Arial" w:cs="Arial" w:eastAsia="Arial" w:hAnsi="Arial"/>
          <w:sz w:val="22"/>
          <w:szCs w:val="22"/>
        </w:rPr>
        <w:t xml:space="preserve">Λ_QCD = M_P α¹⁹/²: exponent 19/2 claimed topological but not derived</w:t>
      </w:r>
    </w:p>
    <w:p>
      <w:pPr>
        <w:pStyle w:val="ListParagraph"/>
        <w:numPr>
          <w:ilvl w:val="0"/>
          <w:numId w:val="2"/>
        </w:numPr>
        <w:spacing w:after="80" w:line="276"/>
      </w:pPr>
      <w:r>
        <w:rPr>
          <w:rFonts w:ascii="Arial" w:cs="Arial" w:eastAsia="Arial" w:hAnsi="Arial"/>
          <w:sz w:val="22"/>
          <w:szCs w:val="22"/>
        </w:rPr>
        <w:t xml:space="preserve">Light fermion mass patterns via walk-sum kernels (not computed)</w:t>
      </w:r>
    </w:p>
    <w:p>
      <w:r>
        <w:br w:type="page"/>
      </w:r>
    </w:p>
    <w:p>
      <w:pPr>
        <w:pStyle w:val="Heading1"/>
        <w:spacing w:after="200" w:before="360"/>
      </w:pPr>
      <w:r>
        <w:rPr>
          <w:rFonts w:ascii="Arial" w:cs="Arial" w:eastAsia="Arial" w:hAnsi="Arial"/>
          <w:b/>
          <w:bCs/>
          <w:color w:val="1B3A5C"/>
          <w:sz w:val="32"/>
          <w:szCs w:val="32"/>
        </w:rPr>
        <w:t xml:space="preserve">5. Computational Script Verification</w:t>
      </w:r>
    </w:p>
    <w:p>
      <w:pPr>
        <w:spacing w:after="120" w:line="276"/>
      </w:pPr>
      <w:r>
        <w:rPr>
          <w:rFonts w:ascii="Arial" w:cs="Arial" w:eastAsia="Arial" w:hAnsi="Arial"/>
          <w:sz w:val="22"/>
          <w:szCs w:val="22"/>
        </w:rPr>
        <w:t xml:space="preserve">All seven Python scripts in the repository were executed independently. Every script ran without errors and reproduced the paper’s claimed numerical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180"/>
        <w:gridCol w:w="118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1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Match</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dfd_mass_dictionary_verify</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Verify 9 fermion masses</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1.42% err</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strong_cp_pauli_checks</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Pauli matrix identities for θ̅=0</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All pass</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nufit_chi2_eval</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NuFIT Δχ² interpolation</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Works</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bin_overlap_lemma</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Z₃×Z₃ bin overlap for A₅</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Exact</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nufit_table1_gaussian</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Neutrino χ² vs NuFIT 6.0</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p=0.987</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a5_class_state_matrix</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A₅ class-state matrix</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1/√5 confirmed</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r>
        <w:tc>
          <w:tcPr>
            <w:tcW w:type="dxa" w:w="3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Af_EXPLICIT_YUKAWA</w:t>
            </w:r>
          </w:p>
        </w:tc>
        <w:tc>
          <w:tcPr>
            <w:tcW w:type="dxa" w:w="400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All 9 A_f from operators</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sz w:val="20"/>
                <w:szCs w:val="20"/>
              </w:rPr>
              <w:t xml:space="preserve">9/9 exact</w:t>
            </w:r>
          </w:p>
        </w:tc>
        <w:tc>
          <w:tcPr>
            <w:tcW w:type="dxa" w:w="1180"/>
            <w:tcBorders>
              <w:top w:val="single" w:color="CCCCCC" w:sz="1"/>
              <w:left w:val="single" w:color="CCCCCC" w:sz="1"/>
              <w:bottom w:val="single" w:color="CCCCCC" w:sz="1"/>
              <w:right w:val="single" w:color="CCCCCC" w:sz="1"/>
            </w:tcBorders>
            <w:shd w:fill="F0FFE0" w:val="clear"/>
            <w:tcMar>
              <w:top w:type="dxa" w:w="60"/>
              <w:left w:type="dxa" w:w="100"/>
              <w:bottom w:type="dxa" w:w="60"/>
              <w:right w:type="dxa" w:w="100"/>
            </w:tcMar>
          </w:tcPr>
          <w:p>
            <w:r>
              <w:rPr>
                <w:rFonts w:ascii="Arial" w:cs="Arial" w:eastAsia="Arial" w:hAnsi="Arial"/>
                <w:b/>
                <w:bCs/>
                <w:sz w:val="20"/>
                <w:szCs w:val="20"/>
              </w:rPr>
              <w:t xml:space="preserve">✅</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Assessment: </w:t>
      </w:r>
      <w:r>
        <w:rPr>
          <w:rFonts w:ascii="Arial" w:cs="Arial" w:eastAsia="Arial" w:hAnsi="Arial"/>
          <w:sz w:val="22"/>
          <w:szCs w:val="22"/>
        </w:rPr>
        <w:t xml:space="preserve">The computational infrastructure is solid. The scripts are well-written, internally consistent, and verifiable. However, the scripts verify the arithmetic, not the physics. The A_f values being “exact matches” means the operator definitions reproduce the target—it does not independently validate the operator choices themselves.</w:t>
      </w:r>
    </w:p>
    <w:p>
      <w:r>
        <w:br w:type="page"/>
      </w:r>
    </w:p>
    <w:p>
      <w:pPr>
        <w:pStyle w:val="Heading1"/>
        <w:spacing w:after="200" w:before="360"/>
      </w:pPr>
      <w:r>
        <w:rPr>
          <w:rFonts w:ascii="Arial" w:cs="Arial" w:eastAsia="Arial" w:hAnsi="Arial"/>
          <w:b/>
          <w:bCs/>
          <w:color w:val="1B3A5C"/>
          <w:sz w:val="32"/>
          <w:szCs w:val="32"/>
        </w:rPr>
        <w:t xml:space="preserve">6. Internal Consistency Check</w:t>
      </w:r>
    </w:p>
    <w:p>
      <w:pPr>
        <w:pStyle w:val="Heading2"/>
        <w:spacing w:after="160" w:before="280"/>
      </w:pPr>
      <w:r>
        <w:rPr>
          <w:rFonts w:ascii="Arial" w:cs="Arial" w:eastAsia="Arial" w:hAnsi="Arial"/>
          <w:b/>
          <w:bCs/>
          <w:color w:val="2E5A88"/>
          <w:sz w:val="26"/>
          <w:szCs w:val="26"/>
        </w:rPr>
        <w:t xml:space="preserve">6.1 Notation</w:t>
      </w:r>
    </w:p>
    <w:p>
      <w:pPr>
        <w:spacing w:after="120" w:line="276"/>
      </w:pPr>
      <w:r>
        <w:rPr>
          <w:rFonts w:ascii="Arial" w:cs="Arial" w:eastAsia="Arial" w:hAnsi="Arial"/>
          <w:sz w:val="22"/>
          <w:szCs w:val="22"/>
        </w:rPr>
        <w:t xml:space="preserve">Notation is generally consistent across the 250+ pages. The a★ vs a₀ distinction (gradient scale vs acceleration scale, related by a★ = 2a₀/c²) is maintained correctly. The ψ-field sign convention (ψ &gt; 0 in potential wells) is used consistently. One minor issue: the paper uses both k_a and k_α for different quantities, which could confuse readers.</w:t>
      </w:r>
    </w:p>
    <w:p>
      <w:pPr>
        <w:pStyle w:val="Heading2"/>
        <w:spacing w:after="160" w:before="280"/>
      </w:pPr>
      <w:r>
        <w:rPr>
          <w:rFonts w:ascii="Arial" w:cs="Arial" w:eastAsia="Arial" w:hAnsi="Arial"/>
          <w:b/>
          <w:bCs/>
          <w:color w:val="2E5A88"/>
          <w:sz w:val="26"/>
          <w:szCs w:val="26"/>
        </w:rPr>
        <w:t xml:space="preserve">6.2 Dimensional Analysis</w:t>
      </w:r>
    </w:p>
    <w:p>
      <w:pPr>
        <w:spacing w:after="120" w:line="276"/>
      </w:pPr>
      <w:r>
        <w:rPr>
          <w:rFonts w:ascii="Arial" w:cs="Arial" w:eastAsia="Arial" w:hAnsi="Arial"/>
          <w:sz w:val="22"/>
          <w:szCs w:val="22"/>
        </w:rPr>
        <w:t xml:space="preserve">Dimensional analysis is explicitly verified in multiple places (Sections 2, 4). The action has correct dimensions [J·s]. The field equation terms all have dimensions [s⁻²]. The α-relations are dimensionally consistent.</w:t>
      </w:r>
    </w:p>
    <w:p>
      <w:pPr>
        <w:pStyle w:val="Heading2"/>
        <w:spacing w:after="160" w:before="280"/>
      </w:pPr>
      <w:r>
        <w:rPr>
          <w:rFonts w:ascii="Arial" w:cs="Arial" w:eastAsia="Arial" w:hAnsi="Arial"/>
          <w:b/>
          <w:bCs/>
          <w:color w:val="2E5A88"/>
          <w:sz w:val="26"/>
          <w:szCs w:val="26"/>
        </w:rPr>
        <w:t xml:space="preserve">6.3 Logical Dependencies</w:t>
      </w:r>
    </w:p>
    <w:p>
      <w:pPr>
        <w:spacing w:after="120" w:line="276"/>
      </w:pPr>
      <w:r>
        <w:rPr>
          <w:rFonts w:ascii="Arial" w:cs="Arial" w:eastAsia="Arial" w:hAnsi="Arial"/>
          <w:b/>
          <w:bCs/>
          <w:color w:val="CC0000"/>
          <w:sz w:val="22"/>
          <w:szCs w:val="22"/>
        </w:rPr>
        <w:t xml:space="preserve">Issue: </w:t>
      </w:r>
      <w:r>
        <w:rPr>
          <w:rFonts w:ascii="Arial" w:cs="Arial" w:eastAsia="Arial" w:hAnsi="Arial"/>
          <w:sz w:val="22"/>
          <w:szCs w:val="22"/>
        </w:rPr>
        <w:t xml:space="preserve">The paper claims the gravity sector is independent of the microsector, but the derivation chain is: S³ topology → μ(x) form → a₀ scale → galactic predictions. If the microsector is removed, the μ-function becomes phenomenological and a₀ must be fitted. This is still a viable theory, but a less ambitious one. The paper should be clearer about this dependency.</w:t>
      </w:r>
    </w:p>
    <w:p>
      <w:pPr>
        <w:pStyle w:val="Heading2"/>
        <w:spacing w:after="160" w:before="280"/>
      </w:pPr>
      <w:r>
        <w:rPr>
          <w:rFonts w:ascii="Arial" w:cs="Arial" w:eastAsia="Arial" w:hAnsi="Arial"/>
          <w:b/>
          <w:bCs/>
          <w:color w:val="2E5A88"/>
          <w:sz w:val="26"/>
          <w:szCs w:val="26"/>
        </w:rPr>
        <w:t xml:space="preserve">6.4 The “Convention-Locked” α Derivation</w:t>
      </w:r>
    </w:p>
    <w:p>
      <w:pPr>
        <w:spacing w:after="120" w:line="276"/>
      </w:pPr>
      <w:r>
        <w:rPr>
          <w:rFonts w:ascii="Arial" w:cs="Arial" w:eastAsia="Arial" w:hAnsi="Arial"/>
          <w:sz w:val="22"/>
          <w:szCs w:val="22"/>
        </w:rPr>
        <w:t xml:space="preserve">The microsector derivation of α (Section 8C) is internally consistent given its starting assumptions. The forced binary fork (Branch A vs B) is a clean falsification structure. However, the starting point—k_max = 60 from |A₅| = 60, the bundle choice E = O(9) ⊕ O⁵, and the plateau cutoff—are ansatz choices that the paper acknowledges are not derived from first principles. The “no hidden knobs” policy is a discipline choice, not a theorem.</w:t>
      </w:r>
    </w:p>
    <w:p>
      <w:r>
        <w:br w:type="page"/>
      </w:r>
    </w:p>
    <w:p>
      <w:pPr>
        <w:pStyle w:val="Heading1"/>
        <w:spacing w:after="200" w:before="360"/>
      </w:pPr>
      <w:r>
        <w:rPr>
          <w:rFonts w:ascii="Arial" w:cs="Arial" w:eastAsia="Arial" w:hAnsi="Arial"/>
          <w:b/>
          <w:bCs/>
          <w:color w:val="1B3A5C"/>
          <w:sz w:val="32"/>
          <w:szCs w:val="32"/>
        </w:rPr>
        <w:t xml:space="preserve">7. Falsifiability Assessment</w:t>
      </w:r>
    </w:p>
    <w:p>
      <w:pPr>
        <w:spacing w:after="120" w:line="276"/>
      </w:pPr>
      <w:r>
        <w:rPr>
          <w:rFonts w:ascii="Arial" w:cs="Arial" w:eastAsia="Arial" w:hAnsi="Arial"/>
          <w:sz w:val="22"/>
          <w:szCs w:val="22"/>
        </w:rPr>
        <w:t xml:space="preserve">DFD is genuinely falsifiable, which is commendable. The paper provides explicit, quantitative falsification criteria:</w:t>
      </w:r>
    </w:p>
    <w:p>
      <w:pPr>
        <w:pStyle w:val="ListParagraph"/>
        <w:numPr>
          <w:ilvl w:val="0"/>
          <w:numId w:val="2"/>
        </w:numPr>
        <w:spacing w:after="80" w:line="276"/>
      </w:pPr>
      <w:r>
        <w:rPr>
          <w:rFonts w:ascii="Arial" w:cs="Arial" w:eastAsia="Arial" w:hAnsi="Arial"/>
          <w:sz w:val="22"/>
          <w:szCs w:val="22"/>
        </w:rPr>
        <w:t xml:space="preserve">Clock sector: Channel-resolved structure (same-ion, cross-species, nuclear) must match Eq. (K-general). A null in all live channels would kill the theory’s distinctive predictions.</w:t>
      </w:r>
    </w:p>
    <w:p>
      <w:pPr>
        <w:pStyle w:val="ListParagraph"/>
        <w:numPr>
          <w:ilvl w:val="0"/>
          <w:numId w:val="2"/>
        </w:numPr>
        <w:spacing w:after="80" w:line="276"/>
      </w:pPr>
      <w:r>
        <w:rPr>
          <w:rFonts w:ascii="Arial" w:cs="Arial" w:eastAsia="Arial" w:hAnsi="Arial"/>
          <w:sz w:val="22"/>
          <w:szCs w:val="22"/>
        </w:rPr>
        <w:t xml:space="preserve">Cavity-atom: Screened residual at specific sensitivity target. A null at that level constrains but doesn’t kill.</w:t>
      </w:r>
    </w:p>
    <w:p>
      <w:pPr>
        <w:pStyle w:val="ListParagraph"/>
        <w:numPr>
          <w:ilvl w:val="0"/>
          <w:numId w:val="2"/>
        </w:numPr>
        <w:spacing w:after="80" w:line="276"/>
      </w:pPr>
      <w:r>
        <w:rPr>
          <w:rFonts w:ascii="Arial" w:cs="Arial" w:eastAsia="Arial" w:hAnsi="Arial"/>
          <w:sz w:val="22"/>
          <w:szCs w:val="22"/>
        </w:rPr>
        <w:t xml:space="preserve">Gravitational waves: ppE parameters must be zero in compact binary regime (already confirmed at current precision).</w:t>
      </w:r>
    </w:p>
    <w:p>
      <w:pPr>
        <w:pStyle w:val="ListParagraph"/>
        <w:numPr>
          <w:ilvl w:val="0"/>
          <w:numId w:val="2"/>
        </w:numPr>
        <w:spacing w:after="80" w:line="276"/>
      </w:pPr>
      <w:r>
        <w:rPr>
          <w:rFonts w:ascii="Arial" w:cs="Arial" w:eastAsia="Arial" w:hAnsi="Arial"/>
          <w:sz w:val="22"/>
          <w:szCs w:val="22"/>
        </w:rPr>
        <w:t xml:space="preserve">Galactic: RAR must hold at 3σ level with a₀ = 2√α cH₀ (currently holds).</w:t>
      </w:r>
    </w:p>
    <w:p>
      <w:pPr>
        <w:pStyle w:val="ListParagraph"/>
        <w:numPr>
          <w:ilvl w:val="0"/>
          <w:numId w:val="2"/>
        </w:numPr>
        <w:spacing w:after="80" w:line="276"/>
      </w:pPr>
      <w:r>
        <w:rPr>
          <w:rFonts w:ascii="Arial" w:cs="Arial" w:eastAsia="Arial" w:hAnsi="Arial"/>
          <w:sz w:val="22"/>
          <w:szCs w:val="22"/>
        </w:rPr>
        <w:t xml:space="preserve">α from microsector: If ℰ_F = ℂᵈ is derived from first principles, DFD fails by 43 ppm.</w:t>
      </w:r>
    </w:p>
    <w:p>
      <w:pPr>
        <w:pStyle w:val="ListParagraph"/>
        <w:numPr>
          <w:ilvl w:val="0"/>
          <w:numId w:val="2"/>
        </w:numPr>
        <w:spacing w:after="80" w:line="276"/>
      </w:pPr>
      <w:r>
        <w:rPr>
          <w:rFonts w:ascii="Arial" w:cs="Arial" w:eastAsia="Arial" w:hAnsi="Arial"/>
          <w:sz w:val="22"/>
          <w:szCs w:val="22"/>
        </w:rPr>
        <w:t xml:space="preserve">4th generation: Would falsify N_gen = 3.</w:t>
      </w:r>
    </w:p>
    <w:p>
      <w:pPr>
        <w:pStyle w:val="ListParagraph"/>
        <w:numPr>
          <w:ilvl w:val="0"/>
          <w:numId w:val="2"/>
        </w:numPr>
        <w:spacing w:after="80" w:line="276"/>
      </w:pPr>
      <w:r>
        <w:rPr>
          <w:rFonts w:ascii="Arial" w:cs="Arial" w:eastAsia="Arial" w:hAnsi="Arial"/>
          <w:sz w:val="22"/>
          <w:szCs w:val="22"/>
        </w:rPr>
        <w:t xml:space="preserve">QCD axion detection: Would falsify θ̅ = 0 mechanism.</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The nearest-term decisive test </w:t>
      </w:r>
      <w:r>
        <w:rPr>
          <w:rFonts w:ascii="Arial" w:cs="Arial" w:eastAsia="Arial" w:hAnsi="Arial"/>
          <w:sz w:val="22"/>
          <w:szCs w:val="22"/>
        </w:rPr>
        <w:t xml:space="preserve">is the ²²⁹Th nuclear clock campaign. The paper predicts a signal in the 26 Hz to ~1 kHz window. The 2026 reproducibility result already excludes the unscreened strong-sector amplitude. If future measurements show a complete null in all DFD-predicted channels, the laboratory phenomenology is dead.</w:t>
      </w:r>
    </w:p>
    <w:p>
      <w:r>
        <w:br w:type="page"/>
      </w:r>
    </w:p>
    <w:p>
      <w:pPr>
        <w:pStyle w:val="Heading1"/>
        <w:spacing w:after="200" w:before="360"/>
      </w:pPr>
      <w:r>
        <w:rPr>
          <w:rFonts w:ascii="Arial" w:cs="Arial" w:eastAsia="Arial" w:hAnsi="Arial"/>
          <w:b/>
          <w:bCs/>
          <w:color w:val="1B3A5C"/>
          <w:sz w:val="32"/>
          <w:szCs w:val="32"/>
        </w:rPr>
        <w:t xml:space="preserve">8. Comparison to Existing Theories</w:t>
      </w:r>
    </w:p>
    <w:p>
      <w:pPr>
        <w:pStyle w:val="Heading2"/>
        <w:spacing w:after="160" w:before="280"/>
      </w:pPr>
      <w:r>
        <w:rPr>
          <w:rFonts w:ascii="Arial" w:cs="Arial" w:eastAsia="Arial" w:hAnsi="Arial"/>
          <w:b/>
          <w:bCs/>
          <w:color w:val="2E5A88"/>
          <w:sz w:val="26"/>
          <w:szCs w:val="26"/>
        </w:rPr>
        <w:t xml:space="preserve">8.1 DFD vs. GR + ΛCDM</w:t>
      </w:r>
    </w:p>
    <w:p>
      <w:pPr>
        <w:spacing w:after="120" w:line="276"/>
      </w:pPr>
      <w:r>
        <w:rPr>
          <w:rFonts w:ascii="Arial" w:cs="Arial" w:eastAsia="Arial" w:hAnsi="Arial"/>
          <w:sz w:val="22"/>
          <w:szCs w:val="22"/>
        </w:rPr>
        <w:t xml:space="preserve">DFD matches GR in all tested regimes (solar system, GW, strong field) by construction. It adds MOND phenomenology at galactic scales without dark matter particles. However, DFD currently cannot reproduce the full ΛCDM cosmological success (CMB power spectrum, BAO, large-scale structure) because the P(k) and C_ℓ computations are incomplete.</w:t>
      </w:r>
    </w:p>
    <w:p>
      <w:pPr>
        <w:pStyle w:val="Heading2"/>
        <w:spacing w:after="160" w:before="280"/>
      </w:pPr>
      <w:r>
        <w:rPr>
          <w:rFonts w:ascii="Arial" w:cs="Arial" w:eastAsia="Arial" w:hAnsi="Arial"/>
          <w:b/>
          <w:bCs/>
          <w:color w:val="2E5A88"/>
          <w:sz w:val="26"/>
          <w:szCs w:val="26"/>
        </w:rPr>
        <w:t xml:space="preserve">8.2 DFD vs. MOND/TeVeS/AQUAL</w:t>
      </w:r>
    </w:p>
    <w:p>
      <w:pPr>
        <w:spacing w:after="120" w:line="276"/>
      </w:pPr>
      <w:r>
        <w:rPr>
          <w:rFonts w:ascii="Arial" w:cs="Arial" w:eastAsia="Arial" w:hAnsi="Arial"/>
          <w:sz w:val="22"/>
          <w:szCs w:val="22"/>
        </w:rPr>
        <w:t xml:space="preserve">DFD is structurally an AQUAL-type theory with a specific μ-function and the additional claim that μ(x) is topologically derived rather than phenomenological. The key advantage over TeVeS is that c_T = c by construction (TeVeS was falsified by GW170817). The key advantage over standard MOND is the laboratory predictions (clock anomalies, matter-wave T³ terms) that MOND does not make.</w:t>
      </w:r>
    </w:p>
    <w:p>
      <w:pPr>
        <w:pStyle w:val="Heading2"/>
        <w:spacing w:after="160" w:before="280"/>
      </w:pPr>
      <w:r>
        <w:rPr>
          <w:rFonts w:ascii="Arial" w:cs="Arial" w:eastAsia="Arial" w:hAnsi="Arial"/>
          <w:b/>
          <w:bCs/>
          <w:color w:val="2E5A88"/>
          <w:sz w:val="26"/>
          <w:szCs w:val="26"/>
        </w:rPr>
        <w:t xml:space="preserve">8.3 DFD vs. Other Unification Attempts</w:t>
      </w:r>
    </w:p>
    <w:p>
      <w:pPr>
        <w:spacing w:after="120" w:line="276"/>
      </w:pPr>
      <w:r>
        <w:rPr>
          <w:rFonts w:ascii="Arial" w:cs="Arial" w:eastAsia="Arial" w:hAnsi="Arial"/>
          <w:sz w:val="22"/>
          <w:szCs w:val="22"/>
        </w:rPr>
        <w:t xml:space="preserve">The particle physics sector, if correct, would be unprecedented: no other theory derives α to sub-ppm precision from geometry alone. However, the comparison is complicated by the structural choices (k_max = 60, A₅ conjugacy, regular-module microsector) that are not yet motivated from first principles. String theory, by comparison, has a landscape problem; DFD has a selection problem.</w:t>
      </w:r>
    </w:p>
    <w:p>
      <w:r>
        <w:br w:type="page"/>
      </w:r>
    </w:p>
    <w:p>
      <w:pPr>
        <w:pStyle w:val="Heading1"/>
        <w:spacing w:after="200" w:before="360"/>
      </w:pPr>
      <w:r>
        <w:rPr>
          <w:rFonts w:ascii="Arial" w:cs="Arial" w:eastAsia="Arial" w:hAnsi="Arial"/>
          <w:b/>
          <w:bCs/>
          <w:color w:val="1B3A5C"/>
          <w:sz w:val="32"/>
          <w:szCs w:val="32"/>
        </w:rPr>
        <w:t xml:space="preserve">9. Recommendations</w:t>
      </w:r>
    </w:p>
    <w:p>
      <w:pPr>
        <w:pStyle w:val="Heading2"/>
        <w:spacing w:after="160" w:before="280"/>
      </w:pPr>
      <w:r>
        <w:rPr>
          <w:rFonts w:ascii="Arial" w:cs="Arial" w:eastAsia="Arial" w:hAnsi="Arial"/>
          <w:b/>
          <w:bCs/>
          <w:color w:val="2E5A88"/>
          <w:sz w:val="26"/>
          <w:szCs w:val="26"/>
        </w:rPr>
        <w:t xml:space="preserve">9.1 For the Author</w:t>
      </w:r>
    </w:p>
    <w:p>
      <w:pPr>
        <w:pStyle w:val="ListParagraph"/>
        <w:numPr>
          <w:ilvl w:val="0"/>
          <w:numId w:val="2"/>
        </w:numPr>
        <w:spacing w:after="80" w:line="276"/>
      </w:pPr>
      <w:r>
        <w:rPr>
          <w:rFonts w:ascii="Arial" w:cs="Arial" w:eastAsia="Arial" w:hAnsi="Arial"/>
          <w:sz w:val="22"/>
          <w:szCs w:val="22"/>
        </w:rPr>
        <w:t xml:space="preserve">Soften the “zero parameters” language. Say “one scale input plus discrete topological data” instead.</w:t>
      </w:r>
    </w:p>
    <w:p>
      <w:pPr>
        <w:pStyle w:val="ListParagraph"/>
        <w:numPr>
          <w:ilvl w:val="0"/>
          <w:numId w:val="2"/>
        </w:numPr>
        <w:spacing w:after="80" w:line="276"/>
      </w:pPr>
      <w:r>
        <w:rPr>
          <w:rFonts w:ascii="Arial" w:cs="Arial" w:eastAsia="Arial" w:hAnsi="Arial"/>
          <w:sz w:val="22"/>
          <w:szCs w:val="22"/>
        </w:rPr>
        <w:t xml:space="preserve">Clearly distinguish “derived” from “postulated” throughout. The observer dictionary (App. O) is a postulate, not a derivation.</w:t>
      </w:r>
    </w:p>
    <w:p>
      <w:pPr>
        <w:pStyle w:val="ListParagraph"/>
        <w:numPr>
          <w:ilvl w:val="0"/>
          <w:numId w:val="2"/>
        </w:numPr>
        <w:spacing w:after="80" w:line="276"/>
      </w:pPr>
      <w:r>
        <w:rPr>
          <w:rFonts w:ascii="Arial" w:cs="Arial" w:eastAsia="Arial" w:hAnsi="Arial"/>
          <w:sz w:val="22"/>
          <w:szCs w:val="22"/>
        </w:rPr>
        <w:t xml:space="preserve">Acknowledge the gravity–microsector dependency explicitly. The independence claim is misleading.</w:t>
      </w:r>
    </w:p>
    <w:p>
      <w:pPr>
        <w:pStyle w:val="ListParagraph"/>
        <w:numPr>
          <w:ilvl w:val="0"/>
          <w:numId w:val="2"/>
        </w:numPr>
        <w:spacing w:after="80" w:line="276"/>
      </w:pPr>
      <w:r>
        <w:rPr>
          <w:rFonts w:ascii="Arial" w:cs="Arial" w:eastAsia="Arial" w:hAnsi="Arial"/>
          <w:sz w:val="22"/>
          <w:szCs w:val="22"/>
        </w:rPr>
        <w:t xml:space="preserve">Prioritize a quantitative P(k) and C_ℓ computation. Until this exists, the cosmological sector cannot be taken seriously by the community.</w:t>
      </w:r>
    </w:p>
    <w:p>
      <w:pPr>
        <w:pStyle w:val="ListParagraph"/>
        <w:numPr>
          <w:ilvl w:val="0"/>
          <w:numId w:val="2"/>
        </w:numPr>
        <w:spacing w:after="80" w:line="276"/>
      </w:pPr>
      <w:r>
        <w:rPr>
          <w:rFonts w:ascii="Arial" w:cs="Arial" w:eastAsia="Arial" w:hAnsi="Arial"/>
          <w:sz w:val="22"/>
          <w:szCs w:val="22"/>
        </w:rPr>
        <w:t xml:space="preserve">Provide the CKM selection rule or demote the claim. “Remains an open problem” is honest but weakens the “complete unified theory” title.</w:t>
      </w:r>
    </w:p>
    <w:p>
      <w:pPr>
        <w:pStyle w:val="ListParagraph"/>
        <w:numPr>
          <w:ilvl w:val="0"/>
          <w:numId w:val="2"/>
        </w:numPr>
        <w:spacing w:after="80" w:line="276"/>
      </w:pPr>
      <w:r>
        <w:rPr>
          <w:rFonts w:ascii="Arial" w:cs="Arial" w:eastAsia="Arial" w:hAnsi="Arial"/>
          <w:sz w:val="22"/>
          <w:szCs w:val="22"/>
        </w:rPr>
        <w:t xml:space="preserve">Consider splitting the paper: a gravity-only paper (Secs. 1–7) would be publishable in a strong GR journal. The microsector paper (Secs. 8C, 13, Apps. K–Z) could follow as a companion.</w:t>
      </w:r>
    </w:p>
    <w:p>
      <w:pPr>
        <w:pStyle w:val="Heading2"/>
        <w:spacing w:after="160" w:before="280"/>
      </w:pPr>
      <w:r>
        <w:rPr>
          <w:rFonts w:ascii="Arial" w:cs="Arial" w:eastAsia="Arial" w:hAnsi="Arial"/>
          <w:b/>
          <w:bCs/>
          <w:color w:val="2E5A88"/>
          <w:sz w:val="26"/>
          <w:szCs w:val="26"/>
        </w:rPr>
        <w:t xml:space="preserve">9.2 For Reviewers / Readers</w:t>
      </w:r>
    </w:p>
    <w:p>
      <w:pPr>
        <w:pStyle w:val="ListParagraph"/>
        <w:numPr>
          <w:ilvl w:val="0"/>
          <w:numId w:val="2"/>
        </w:numPr>
        <w:spacing w:after="80" w:line="276"/>
      </w:pPr>
      <w:r>
        <w:rPr>
          <w:rFonts w:ascii="Arial" w:cs="Arial" w:eastAsia="Arial" w:hAnsi="Arial"/>
          <w:sz w:val="22"/>
          <w:szCs w:val="22"/>
        </w:rPr>
        <w:t xml:space="preserve">Take the gravity sector seriously. The PPN analysis, GW sector, and SPARC validation are solid work.</w:t>
      </w:r>
    </w:p>
    <w:p>
      <w:pPr>
        <w:pStyle w:val="ListParagraph"/>
        <w:numPr>
          <w:ilvl w:val="0"/>
          <w:numId w:val="2"/>
        </w:numPr>
        <w:spacing w:after="80" w:line="276"/>
      </w:pPr>
      <w:r>
        <w:rPr>
          <w:rFonts w:ascii="Arial" w:cs="Arial" w:eastAsia="Arial" w:hAnsi="Arial"/>
          <w:sz w:val="22"/>
          <w:szCs w:val="22"/>
        </w:rPr>
        <w:t xml:space="preserve">The α = 1/137.036 result is impressive but should be evaluated as conditional on k_max = 60 and the regular-module choice.</w:t>
      </w:r>
    </w:p>
    <w:p>
      <w:pPr>
        <w:pStyle w:val="ListParagraph"/>
        <w:numPr>
          <w:ilvl w:val="0"/>
          <w:numId w:val="2"/>
        </w:numPr>
        <w:spacing w:after="80" w:line="276"/>
      </w:pPr>
      <w:r>
        <w:rPr>
          <w:rFonts w:ascii="Arial" w:cs="Arial" w:eastAsia="Arial" w:hAnsi="Arial"/>
          <w:sz w:val="22"/>
          <w:szCs w:val="22"/>
        </w:rPr>
        <w:t xml:space="preserve">The cluster resolution should be evaluated critically: the correction factors are plausible individually but their stacking deserves independent verification.</w:t>
      </w:r>
    </w:p>
    <w:p>
      <w:pPr>
        <w:pStyle w:val="ListParagraph"/>
        <w:numPr>
          <w:ilvl w:val="0"/>
          <w:numId w:val="2"/>
        </w:numPr>
        <w:spacing w:after="80" w:line="276"/>
      </w:pPr>
      <w:r>
        <w:rPr>
          <w:rFonts w:ascii="Arial" w:cs="Arial" w:eastAsia="Arial" w:hAnsi="Arial"/>
          <w:sz w:val="22"/>
          <w:szCs w:val="22"/>
        </w:rPr>
        <w:t xml:space="preserve">The neutrino predictions (χ² = 0.025) are a clear testable target as oscillation data improves.</w:t>
      </w:r>
    </w:p>
    <w:p>
      <w:r>
        <w:br w:type="page"/>
      </w:r>
    </w:p>
    <w:p>
      <w:pPr>
        <w:pStyle w:val="Heading1"/>
        <w:spacing w:after="200" w:before="360"/>
      </w:pPr>
      <w:r>
        <w:rPr>
          <w:rFonts w:ascii="Arial" w:cs="Arial" w:eastAsia="Arial" w:hAnsi="Arial"/>
          <w:b/>
          <w:bCs/>
          <w:color w:val="1B3A5C"/>
          <w:sz w:val="32"/>
          <w:szCs w:val="32"/>
        </w:rPr>
        <w:t xml:space="preserve">10. Final Verdict</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DFD v3.2 is a remarkable piece of theoretical physics</w:t>
      </w:r>
      <w:r>
        <w:rPr>
          <w:rFonts w:ascii="Arial" w:cs="Arial" w:eastAsia="Arial" w:hAnsi="Arial"/>
          <w:sz w:val="22"/>
          <w:szCs w:val="22"/>
        </w:rPr>
        <w:t xml:space="preserve"> that deserves serious attention, not dismissal. The gravity sector is mathematically rigorous, experimentally consistent, and makes falsifiable predictions. The galactic phenomenology is among the best available for a dark-matter-free theory. The particle physics sector contains striking numerical successes that, if the structural foundations hold, would represent a breakthrough.</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However, the paper oversells in several places.</w:t>
      </w:r>
      <w:r>
        <w:rPr>
          <w:rFonts w:ascii="Arial" w:cs="Arial" w:eastAsia="Arial" w:hAnsi="Arial"/>
          <w:sz w:val="22"/>
          <w:szCs w:val="22"/>
        </w:rPr>
        <w:t xml:space="preserve"> The “zero parameters” framing obscures real structural choices. The “complete unified theory” title implies a level of closure that the cosmological sector does not yet achieve. The gravity–microsector independence claim is contradicted by the derivation chain. And several “derivations” (observer dictionary, A₅ species structure, cluster corrections) are better described as motivated postulates.</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The theory’s greatest strength is its falsifiability. The nuclear clock, cross-species atomic clock, and matter-wave predictions are concrete, quantitative, and testable with current or near-future technology. If these predictions hold up, DFD will demand a fundamental rethinking of gravity and its connection to the Standard Model. If they fail, the theory’s distinctive predictions are cleanly eliminated.</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color w:val="1B3A5C"/>
          <w:sz w:val="22"/>
          <w:szCs w:val="22"/>
        </w:rPr>
        <w:t xml:space="preserve">Overall grade: B+ to A–. </w:t>
      </w:r>
      <w:r>
        <w:rPr>
          <w:rFonts w:ascii="Arial" w:cs="Arial" w:eastAsia="Arial" w:hAnsi="Arial"/>
          <w:sz w:val="22"/>
          <w:szCs w:val="22"/>
        </w:rPr>
        <w:t xml:space="preserve">A serious theory with genuine insights, impressive numerics, and honest falsification criteria—but with foundational gaps in the cosmological sector and overselling in the particle physics claims that need to be addressed before it can achieve the level of credibility it aspires 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DFD v3.2 Comprehensive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2026-03-06T10:07:54.510Z</dcterms:created>
  <dcterms:modified xsi:type="dcterms:W3CDTF">2026-03-06T10:07:54.511Z</dcterms:modified>
</cp:coreProperties>
</file>

<file path=docProps/custom.xml><?xml version="1.0" encoding="utf-8"?>
<Properties xmlns="http://schemas.openxmlformats.org/officeDocument/2006/custom-properties" xmlns:vt="http://schemas.openxmlformats.org/officeDocument/2006/docPropsVTypes"/>
</file>