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4A1EB" w14:textId="77777777" w:rsidR="00A32880" w:rsidRPr="00A32880" w:rsidRDefault="00A32880" w:rsidP="00CE18DB">
      <w:pPr>
        <w:spacing w:after="0" w:line="480" w:lineRule="auto"/>
        <w:ind w:firstLine="1531"/>
        <w:contextualSpacing/>
        <w:rPr>
          <w:rFonts w:ascii="Arial" w:hAnsi="Arial" w:cs="Arial"/>
          <w:b/>
          <w:bCs/>
          <w:i/>
          <w:iCs/>
        </w:rPr>
      </w:pPr>
      <w:r w:rsidRPr="00A32880">
        <w:rPr>
          <w:rFonts w:ascii="Arial" w:hAnsi="Arial" w:cs="Arial"/>
          <w:b/>
          <w:bCs/>
          <w:i/>
          <w:iCs/>
        </w:rPr>
        <w:t>Caracterización de Procesos Organizacionales: InnovaTech Digital</w:t>
      </w:r>
    </w:p>
    <w:p w14:paraId="27D4B0AE" w14:textId="77777777" w:rsidR="00A32880" w:rsidRPr="00A32880" w:rsidRDefault="00A32880" w:rsidP="00CE18DB">
      <w:pPr>
        <w:spacing w:after="0" w:line="480" w:lineRule="auto"/>
        <w:ind w:firstLine="1531"/>
        <w:contextualSpacing/>
        <w:rPr>
          <w:rFonts w:ascii="Arial" w:hAnsi="Arial" w:cs="Arial"/>
          <w:b/>
          <w:bCs/>
          <w:i/>
          <w:iCs/>
        </w:rPr>
      </w:pPr>
      <w:r w:rsidRPr="00A32880">
        <w:rPr>
          <w:rFonts w:ascii="Arial" w:hAnsi="Arial" w:cs="Arial"/>
          <w:b/>
          <w:bCs/>
          <w:i/>
          <w:iCs/>
        </w:rPr>
        <w:t>InnovaTech Digital Departamento de Planeación y Calidad 26 de febrero de 2026</w:t>
      </w:r>
    </w:p>
    <w:p w14:paraId="258AC3E0" w14:textId="77777777" w:rsidR="00A32880" w:rsidRPr="00A32880" w:rsidRDefault="00A32880" w:rsidP="00CE18DB">
      <w:pPr>
        <w:spacing w:after="0" w:line="480" w:lineRule="auto"/>
        <w:ind w:firstLine="1531"/>
        <w:contextualSpacing/>
        <w:rPr>
          <w:rFonts w:ascii="Arial" w:hAnsi="Arial" w:cs="Arial"/>
          <w:b/>
          <w:bCs/>
          <w:i/>
          <w:iCs/>
        </w:rPr>
      </w:pPr>
      <w:r w:rsidRPr="00A32880">
        <w:rPr>
          <w:rFonts w:ascii="Arial" w:hAnsi="Arial" w:cs="Arial"/>
          <w:b/>
          <w:bCs/>
          <w:i/>
          <w:iCs/>
        </w:rPr>
        <w:t>Resumen Organizacional</w:t>
      </w:r>
    </w:p>
    <w:p w14:paraId="578938D9" w14:textId="77777777" w:rsidR="00A32880" w:rsidRPr="00A32880" w:rsidRDefault="00A32880" w:rsidP="00CE18DB">
      <w:pPr>
        <w:spacing w:after="0" w:line="480" w:lineRule="auto"/>
        <w:ind w:firstLine="1531"/>
        <w:contextualSpacing/>
        <w:rPr>
          <w:rFonts w:ascii="Arial" w:hAnsi="Arial" w:cs="Arial"/>
          <w:b/>
          <w:bCs/>
          <w:i/>
          <w:iCs/>
        </w:rPr>
      </w:pPr>
      <w:r w:rsidRPr="00A32880">
        <w:rPr>
          <w:rFonts w:ascii="Arial" w:hAnsi="Arial" w:cs="Arial"/>
          <w:b/>
          <w:bCs/>
          <w:i/>
          <w:iCs/>
        </w:rPr>
        <w:t xml:space="preserve">InnovaTech Digital se identifica como una </w:t>
      </w:r>
      <w:proofErr w:type="gramStart"/>
      <w:r w:rsidRPr="00A32880">
        <w:rPr>
          <w:rFonts w:ascii="Arial" w:hAnsi="Arial" w:cs="Arial"/>
          <w:b/>
          <w:bCs/>
          <w:i/>
          <w:iCs/>
        </w:rPr>
        <w:t>startup orientada</w:t>
      </w:r>
      <w:proofErr w:type="gramEnd"/>
      <w:r w:rsidRPr="00A32880">
        <w:rPr>
          <w:rFonts w:ascii="Arial" w:hAnsi="Arial" w:cs="Arial"/>
          <w:b/>
          <w:bCs/>
          <w:i/>
          <w:iCs/>
        </w:rPr>
        <w:t xml:space="preserve"> al diseño y comercialización de sistemas de Planificación de Recursos Empresariales (ERP) para el sector de las pequeñas y medianas empresas (pymes). La gestión de sus operaciones se estructura a través de procesos misionales y de apoyo que garantizan la entrega de valor al usuario final.</w:t>
      </w:r>
    </w:p>
    <w:p w14:paraId="4656B9D1" w14:textId="77777777" w:rsidR="00A32880" w:rsidRPr="00A32880" w:rsidRDefault="00A32880" w:rsidP="00CE18DB">
      <w:pPr>
        <w:spacing w:after="0" w:line="480" w:lineRule="auto"/>
        <w:ind w:firstLine="1531"/>
        <w:contextualSpacing/>
        <w:rPr>
          <w:rFonts w:ascii="Arial" w:hAnsi="Arial" w:cs="Arial"/>
          <w:b/>
          <w:bCs/>
          <w:i/>
          <w:iCs/>
        </w:rPr>
      </w:pPr>
      <w:r w:rsidRPr="00A32880">
        <w:rPr>
          <w:rFonts w:ascii="Arial" w:hAnsi="Arial" w:cs="Arial"/>
          <w:b/>
          <w:bCs/>
          <w:i/>
          <w:iCs/>
        </w:rPr>
        <w:t>Proceso de Venta</w:t>
      </w:r>
    </w:p>
    <w:p w14:paraId="082370BA" w14:textId="77777777" w:rsidR="00A32880" w:rsidRPr="00A32880" w:rsidRDefault="00A32880" w:rsidP="00CE18DB">
      <w:pPr>
        <w:spacing w:after="0" w:line="480" w:lineRule="auto"/>
        <w:ind w:firstLine="1531"/>
        <w:contextualSpacing/>
        <w:rPr>
          <w:rFonts w:ascii="Arial" w:hAnsi="Arial" w:cs="Arial"/>
          <w:b/>
          <w:bCs/>
          <w:i/>
          <w:iCs/>
        </w:rPr>
      </w:pPr>
      <w:r w:rsidRPr="00A32880">
        <w:rPr>
          <w:rFonts w:ascii="Arial" w:hAnsi="Arial" w:cs="Arial"/>
          <w:b/>
          <w:bCs/>
          <w:i/>
          <w:iCs/>
        </w:rPr>
        <w:t>El proceso de venta se clasifica como de tipo misional dentro de la cadena de valor de InnovaTech Digital. El objetivo central de este proceso es la gestión efectiva de la comercialización de servicios ERP. Su alcance es integral, iniciando desde la captación primaria de clientes potenciales hasta la culminación técnica con la formalización legal de la venta.</w:t>
      </w:r>
    </w:p>
    <w:p w14:paraId="52A85554" w14:textId="77777777" w:rsidR="00A32880" w:rsidRPr="00A32880" w:rsidRDefault="00A32880" w:rsidP="00CE18DB">
      <w:pPr>
        <w:spacing w:after="0" w:line="480" w:lineRule="auto"/>
        <w:ind w:firstLine="1531"/>
        <w:contextualSpacing/>
        <w:rPr>
          <w:rFonts w:ascii="Arial" w:hAnsi="Arial" w:cs="Arial"/>
          <w:b/>
          <w:bCs/>
          <w:i/>
          <w:iCs/>
        </w:rPr>
      </w:pPr>
      <w:r w:rsidRPr="00A32880">
        <w:rPr>
          <w:rFonts w:ascii="Arial" w:hAnsi="Arial" w:cs="Arial"/>
          <w:b/>
          <w:bCs/>
          <w:i/>
          <w:iCs/>
        </w:rPr>
        <w:t>El equipo comercial actúa como el responsable directo de la ejecución de las tareas. Las entradas del proceso incluyen solicitudes de clientes y la información detallada de los servicios, suministradas por el equipo de marketing y las bases de datos institucionales.</w:t>
      </w:r>
    </w:p>
    <w:p w14:paraId="1EDE557A" w14:textId="77777777" w:rsidR="00A32880" w:rsidRPr="00A32880" w:rsidRDefault="00A32880" w:rsidP="00CE18DB">
      <w:pPr>
        <w:spacing w:after="0" w:line="480" w:lineRule="auto"/>
        <w:ind w:firstLine="1531"/>
        <w:contextualSpacing/>
        <w:rPr>
          <w:rFonts w:ascii="Arial" w:hAnsi="Arial" w:cs="Arial"/>
          <w:b/>
          <w:bCs/>
          <w:i/>
          <w:iCs/>
        </w:rPr>
      </w:pPr>
      <w:r w:rsidRPr="00A32880">
        <w:rPr>
          <w:rFonts w:ascii="Arial" w:hAnsi="Arial" w:cs="Arial"/>
          <w:b/>
          <w:bCs/>
          <w:i/>
          <w:iCs/>
        </w:rPr>
        <w:t xml:space="preserve">Las actividades principales se dividen en tres etapas críticas: la captación de clientes, la presentación de soluciones y la negociación para el cierre comercial. Como resultados o salidas, se obtienen contratos debidamente firmados y el registro oficial de los clientes en el sistema. Para medir el </w:t>
      </w:r>
      <w:r w:rsidRPr="00A32880">
        <w:rPr>
          <w:rFonts w:ascii="Arial" w:hAnsi="Arial" w:cs="Arial"/>
          <w:b/>
          <w:bCs/>
          <w:i/>
          <w:iCs/>
        </w:rPr>
        <w:lastRenderedPageBreak/>
        <w:t>desempeño, se utilizan indicadores de número de ventas y tiempo de cierre. Los riesgos identificados incluyen la deserción de prospectos y errores humanos en la negociación, bajo el cumplimiento de las leyes comerciales y de protección al consumidor.</w:t>
      </w:r>
    </w:p>
    <w:p w14:paraId="5281FA9E" w14:textId="77777777" w:rsidR="00A32880" w:rsidRPr="00A32880" w:rsidRDefault="00A32880" w:rsidP="00CE18DB">
      <w:pPr>
        <w:spacing w:after="0" w:line="480" w:lineRule="auto"/>
        <w:ind w:firstLine="1531"/>
        <w:contextualSpacing/>
        <w:rPr>
          <w:rFonts w:ascii="Arial" w:hAnsi="Arial" w:cs="Arial"/>
          <w:b/>
          <w:bCs/>
          <w:i/>
          <w:iCs/>
        </w:rPr>
      </w:pPr>
      <w:r w:rsidRPr="00A32880">
        <w:rPr>
          <w:rFonts w:ascii="Arial" w:hAnsi="Arial" w:cs="Arial"/>
          <w:b/>
          <w:bCs/>
          <w:i/>
          <w:iCs/>
        </w:rPr>
        <w:t>Proceso de Desarrollo de Software</w:t>
      </w:r>
    </w:p>
    <w:p w14:paraId="5F785C4F" w14:textId="77777777" w:rsidR="00A32880" w:rsidRPr="00A32880" w:rsidRDefault="00A32880" w:rsidP="00CE18DB">
      <w:pPr>
        <w:spacing w:after="0" w:line="480" w:lineRule="auto"/>
        <w:ind w:firstLine="1531"/>
        <w:contextualSpacing/>
        <w:rPr>
          <w:rFonts w:ascii="Arial" w:hAnsi="Arial" w:cs="Arial"/>
          <w:b/>
          <w:bCs/>
          <w:i/>
          <w:iCs/>
        </w:rPr>
      </w:pPr>
      <w:r w:rsidRPr="00A32880">
        <w:rPr>
          <w:rFonts w:ascii="Arial" w:hAnsi="Arial" w:cs="Arial"/>
          <w:b/>
          <w:bCs/>
          <w:i/>
          <w:iCs/>
        </w:rPr>
        <w:t>Este proceso, también de carácter misional, se enfoca en el diseño y creación de las soluciones tecnológicas personalizadas. Su alcance comprende el ciclo de vida del desarrollo, desde la recepción inicial de requisitos técnicos hasta la entrega final del producto al usuario. El responsable de la gestión y ejecución es el equipo de desarrollo.</w:t>
      </w:r>
    </w:p>
    <w:p w14:paraId="277A2588" w14:textId="77777777" w:rsidR="00A32880" w:rsidRPr="00A32880" w:rsidRDefault="00A32880" w:rsidP="00CE18DB">
      <w:pPr>
        <w:spacing w:after="0" w:line="480" w:lineRule="auto"/>
        <w:ind w:firstLine="1531"/>
        <w:contextualSpacing/>
        <w:rPr>
          <w:rFonts w:ascii="Arial" w:hAnsi="Arial" w:cs="Arial"/>
          <w:b/>
          <w:bCs/>
          <w:i/>
          <w:iCs/>
        </w:rPr>
      </w:pPr>
      <w:r w:rsidRPr="00A32880">
        <w:rPr>
          <w:rFonts w:ascii="Arial" w:hAnsi="Arial" w:cs="Arial"/>
          <w:b/>
          <w:bCs/>
          <w:i/>
          <w:iCs/>
        </w:rPr>
        <w:t>Las entradas requeridas son los requisitos específicos del cliente y la documentación técnica, cuyos proveedores principales son el equipo comercial y los mismos clientes. El flujo de actividades principales se compone de cuatro fases: análisis de requisitos, diseño de la arquitectura del sistema, desarrollo de los módulos de software y, finalmente, las pruebas de validación.</w:t>
      </w:r>
    </w:p>
    <w:p w14:paraId="13FE9C4A" w14:textId="77777777" w:rsidR="00A32880" w:rsidRPr="00A32880" w:rsidRDefault="00A32880" w:rsidP="00CE18DB">
      <w:pPr>
        <w:spacing w:after="0" w:line="480" w:lineRule="auto"/>
        <w:ind w:firstLine="1531"/>
        <w:contextualSpacing/>
        <w:rPr>
          <w:rFonts w:ascii="Arial" w:hAnsi="Arial" w:cs="Arial"/>
          <w:b/>
          <w:bCs/>
          <w:i/>
          <w:iCs/>
        </w:rPr>
      </w:pPr>
      <w:r w:rsidRPr="00A32880">
        <w:rPr>
          <w:rFonts w:ascii="Arial" w:hAnsi="Arial" w:cs="Arial"/>
          <w:b/>
          <w:bCs/>
          <w:i/>
          <w:iCs/>
        </w:rPr>
        <w:t>La salida de este proceso es el software ERP funcional. Se evalúa mediante indicadores de tiempo de desarrollo, calidad del código y niveles de satisfacción. Los riesgos asociados son los posibles retrasos en los cronogramas y errores de programación, rigiéndose por los estándares internacionales de ingeniería de software.</w:t>
      </w:r>
    </w:p>
    <w:p w14:paraId="29BE7A1B" w14:textId="77777777" w:rsidR="00A32880" w:rsidRPr="00A32880" w:rsidRDefault="00A32880" w:rsidP="00CE18DB">
      <w:pPr>
        <w:spacing w:after="0" w:line="480" w:lineRule="auto"/>
        <w:ind w:firstLine="1531"/>
        <w:contextualSpacing/>
        <w:rPr>
          <w:rFonts w:ascii="Arial" w:hAnsi="Arial" w:cs="Arial"/>
          <w:b/>
          <w:bCs/>
          <w:i/>
          <w:iCs/>
        </w:rPr>
      </w:pPr>
      <w:r w:rsidRPr="00A32880">
        <w:rPr>
          <w:rFonts w:ascii="Arial" w:hAnsi="Arial" w:cs="Arial"/>
          <w:b/>
          <w:bCs/>
          <w:i/>
          <w:iCs/>
        </w:rPr>
        <w:t>Proceso de Soporte Técnico</w:t>
      </w:r>
    </w:p>
    <w:p w14:paraId="0B5F32A2" w14:textId="77777777" w:rsidR="00A32880" w:rsidRPr="00A32880" w:rsidRDefault="00A32880" w:rsidP="00CE18DB">
      <w:pPr>
        <w:spacing w:after="0" w:line="480" w:lineRule="auto"/>
        <w:ind w:firstLine="1531"/>
        <w:contextualSpacing/>
        <w:rPr>
          <w:rFonts w:ascii="Arial" w:hAnsi="Arial" w:cs="Arial"/>
          <w:b/>
          <w:bCs/>
          <w:i/>
          <w:iCs/>
        </w:rPr>
      </w:pPr>
      <w:r w:rsidRPr="00A32880">
        <w:rPr>
          <w:rFonts w:ascii="Arial" w:hAnsi="Arial" w:cs="Arial"/>
          <w:b/>
          <w:bCs/>
          <w:i/>
          <w:iCs/>
        </w:rPr>
        <w:t xml:space="preserve">A diferencia de los anteriores, el proceso de soporte técnico se define como un proceso de apoyo, fundamental para la retención y fidelización. </w:t>
      </w:r>
      <w:r w:rsidRPr="00A32880">
        <w:rPr>
          <w:rFonts w:ascii="Arial" w:hAnsi="Arial" w:cs="Arial"/>
          <w:b/>
          <w:bCs/>
          <w:i/>
          <w:iCs/>
        </w:rPr>
        <w:lastRenderedPageBreak/>
        <w:t>Su objetivo es proporcionar asistencia técnica continua a los usuarios del ERP. El alcance del proceso va desde la recepción de la incidencia hasta la resolución definitiva de la misma.</w:t>
      </w:r>
    </w:p>
    <w:p w14:paraId="5E2615A4" w14:textId="77777777" w:rsidR="00A32880" w:rsidRPr="00A32880" w:rsidRDefault="00A32880" w:rsidP="00CE18DB">
      <w:pPr>
        <w:spacing w:after="0" w:line="480" w:lineRule="auto"/>
        <w:ind w:firstLine="1531"/>
        <w:contextualSpacing/>
        <w:rPr>
          <w:rFonts w:ascii="Arial" w:hAnsi="Arial" w:cs="Arial"/>
          <w:b/>
          <w:bCs/>
          <w:i/>
          <w:iCs/>
        </w:rPr>
      </w:pPr>
      <w:r w:rsidRPr="00A32880">
        <w:rPr>
          <w:rFonts w:ascii="Arial" w:hAnsi="Arial" w:cs="Arial"/>
          <w:b/>
          <w:bCs/>
          <w:i/>
          <w:iCs/>
        </w:rPr>
        <w:t>El equipo de soporte técnico es el responsable de atender las entradas, que consisten en reportes de fallos o solicitudes de asistencia. Los proveedores de esta información son los clientes y, en casos de errores de código, el equipo de desarrollo. Las actividades clave se resumen en la recepción de incidencias, el diagnóstico técnico, la aplicación de soluciones y el seguimiento para el cierre de casos.</w:t>
      </w:r>
    </w:p>
    <w:p w14:paraId="76191588" w14:textId="77777777" w:rsidR="00A32880" w:rsidRPr="00A32880" w:rsidRDefault="00A32880" w:rsidP="00CE18DB">
      <w:pPr>
        <w:spacing w:after="0" w:line="480" w:lineRule="auto"/>
        <w:ind w:firstLine="1531"/>
        <w:contextualSpacing/>
        <w:rPr>
          <w:rFonts w:ascii="Arial" w:hAnsi="Arial" w:cs="Arial"/>
          <w:b/>
          <w:bCs/>
          <w:i/>
          <w:iCs/>
        </w:rPr>
      </w:pPr>
      <w:r w:rsidRPr="00A32880">
        <w:rPr>
          <w:rFonts w:ascii="Arial" w:hAnsi="Arial" w:cs="Arial"/>
          <w:b/>
          <w:bCs/>
          <w:i/>
          <w:iCs/>
        </w:rPr>
        <w:t>Las salidas se traducen en problemas resueltos e informes detallados de gestión. Los indicadores clave son el tiempo de respuesta y el porcentaje de resolución de casos. Los riesgos principales son la insatisfacción del usuario por demoras o fallos no resueltos, operando bajo la normativa de los Acuerdos de Nivel de Servicio (SLA).</w:t>
      </w:r>
    </w:p>
    <w:p w14:paraId="4A05ECED" w14:textId="77777777" w:rsidR="005404FD" w:rsidRDefault="005404FD" w:rsidP="00CE18DB">
      <w:pPr>
        <w:spacing w:line="480" w:lineRule="auto"/>
      </w:pPr>
    </w:p>
    <w:p w14:paraId="39A132D0" w14:textId="77777777" w:rsidR="005404FD" w:rsidRDefault="005404FD" w:rsidP="00CE18DB">
      <w:pPr>
        <w:spacing w:line="480" w:lineRule="auto"/>
      </w:pPr>
    </w:p>
    <w:p w14:paraId="0ED17C71" w14:textId="77777777" w:rsidR="005404FD" w:rsidRPr="005404FD" w:rsidRDefault="005404FD" w:rsidP="00CE18DB">
      <w:pPr>
        <w:spacing w:line="480" w:lineRule="auto"/>
      </w:pPr>
    </w:p>
    <w:p w14:paraId="2B110D45" w14:textId="77777777" w:rsidR="005404FD" w:rsidRPr="00CE18DB" w:rsidRDefault="005404FD" w:rsidP="00CE18DB">
      <w:pPr>
        <w:spacing w:after="0" w:line="480" w:lineRule="auto"/>
        <w:contextualSpacing/>
      </w:pPr>
    </w:p>
    <w:sectPr w:rsidR="005404FD" w:rsidRPr="00CE18DB" w:rsidSect="00CE18DB">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4A69"/>
    <w:multiLevelType w:val="multilevel"/>
    <w:tmpl w:val="BAF0F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22791"/>
    <w:multiLevelType w:val="multilevel"/>
    <w:tmpl w:val="33406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4377A"/>
    <w:multiLevelType w:val="multilevel"/>
    <w:tmpl w:val="F77E2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25005"/>
    <w:multiLevelType w:val="multilevel"/>
    <w:tmpl w:val="148E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501A4"/>
    <w:multiLevelType w:val="multilevel"/>
    <w:tmpl w:val="5F0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114D7"/>
    <w:multiLevelType w:val="multilevel"/>
    <w:tmpl w:val="67047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25E58"/>
    <w:multiLevelType w:val="multilevel"/>
    <w:tmpl w:val="3944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3733B"/>
    <w:multiLevelType w:val="multilevel"/>
    <w:tmpl w:val="F44E1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468B5"/>
    <w:multiLevelType w:val="multilevel"/>
    <w:tmpl w:val="46EAD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F7440"/>
    <w:multiLevelType w:val="multilevel"/>
    <w:tmpl w:val="29AAA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A6F35"/>
    <w:multiLevelType w:val="multilevel"/>
    <w:tmpl w:val="0216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E4000"/>
    <w:multiLevelType w:val="multilevel"/>
    <w:tmpl w:val="15F6E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835B0D"/>
    <w:multiLevelType w:val="multilevel"/>
    <w:tmpl w:val="A52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129466">
    <w:abstractNumId w:val="9"/>
  </w:num>
  <w:num w:numId="2" w16cid:durableId="1837114236">
    <w:abstractNumId w:val="7"/>
  </w:num>
  <w:num w:numId="3" w16cid:durableId="1156266006">
    <w:abstractNumId w:val="2"/>
  </w:num>
  <w:num w:numId="4" w16cid:durableId="954408481">
    <w:abstractNumId w:val="10"/>
  </w:num>
  <w:num w:numId="5" w16cid:durableId="1759786520">
    <w:abstractNumId w:val="4"/>
  </w:num>
  <w:num w:numId="6" w16cid:durableId="70277082">
    <w:abstractNumId w:val="1"/>
  </w:num>
  <w:num w:numId="7" w16cid:durableId="1714959672">
    <w:abstractNumId w:val="3"/>
  </w:num>
  <w:num w:numId="8" w16cid:durableId="1268733832">
    <w:abstractNumId w:val="5"/>
  </w:num>
  <w:num w:numId="9" w16cid:durableId="1377388221">
    <w:abstractNumId w:val="8"/>
  </w:num>
  <w:num w:numId="10" w16cid:durableId="48041530">
    <w:abstractNumId w:val="0"/>
  </w:num>
  <w:num w:numId="11" w16cid:durableId="1225336534">
    <w:abstractNumId w:val="12"/>
  </w:num>
  <w:num w:numId="12" w16cid:durableId="809902534">
    <w:abstractNumId w:val="6"/>
  </w:num>
  <w:num w:numId="13" w16cid:durableId="3338457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DD"/>
    <w:rsid w:val="005404FD"/>
    <w:rsid w:val="008D6E4F"/>
    <w:rsid w:val="00A32880"/>
    <w:rsid w:val="00CE18DB"/>
    <w:rsid w:val="00E611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CD6AF"/>
  <w15:chartTrackingRefBased/>
  <w15:docId w15:val="{A5177D4A-05FE-464C-95C0-56832B8A8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1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1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11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11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11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11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11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11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11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11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11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11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11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11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11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11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11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11DD"/>
    <w:rPr>
      <w:rFonts w:eastAsiaTheme="majorEastAsia" w:cstheme="majorBidi"/>
      <w:color w:val="272727" w:themeColor="text1" w:themeTint="D8"/>
    </w:rPr>
  </w:style>
  <w:style w:type="paragraph" w:styleId="Ttulo">
    <w:name w:val="Title"/>
    <w:basedOn w:val="Normal"/>
    <w:next w:val="Normal"/>
    <w:link w:val="TtuloCar"/>
    <w:uiPriority w:val="10"/>
    <w:qFormat/>
    <w:rsid w:val="00E61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11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11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11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11DD"/>
    <w:pPr>
      <w:spacing w:before="160"/>
      <w:jc w:val="center"/>
    </w:pPr>
    <w:rPr>
      <w:i/>
      <w:iCs/>
      <w:color w:val="404040" w:themeColor="text1" w:themeTint="BF"/>
    </w:rPr>
  </w:style>
  <w:style w:type="character" w:customStyle="1" w:styleId="CitaCar">
    <w:name w:val="Cita Car"/>
    <w:basedOn w:val="Fuentedeprrafopredeter"/>
    <w:link w:val="Cita"/>
    <w:uiPriority w:val="29"/>
    <w:rsid w:val="00E611DD"/>
    <w:rPr>
      <w:i/>
      <w:iCs/>
      <w:color w:val="404040" w:themeColor="text1" w:themeTint="BF"/>
    </w:rPr>
  </w:style>
  <w:style w:type="paragraph" w:styleId="Prrafodelista">
    <w:name w:val="List Paragraph"/>
    <w:basedOn w:val="Normal"/>
    <w:uiPriority w:val="34"/>
    <w:qFormat/>
    <w:rsid w:val="00E611DD"/>
    <w:pPr>
      <w:ind w:left="720"/>
      <w:contextualSpacing/>
    </w:pPr>
  </w:style>
  <w:style w:type="character" w:styleId="nfasisintenso">
    <w:name w:val="Intense Emphasis"/>
    <w:basedOn w:val="Fuentedeprrafopredeter"/>
    <w:uiPriority w:val="21"/>
    <w:qFormat/>
    <w:rsid w:val="00E611DD"/>
    <w:rPr>
      <w:i/>
      <w:iCs/>
      <w:color w:val="0F4761" w:themeColor="accent1" w:themeShade="BF"/>
    </w:rPr>
  </w:style>
  <w:style w:type="paragraph" w:styleId="Citadestacada">
    <w:name w:val="Intense Quote"/>
    <w:basedOn w:val="Normal"/>
    <w:next w:val="Normal"/>
    <w:link w:val="CitadestacadaCar"/>
    <w:uiPriority w:val="30"/>
    <w:qFormat/>
    <w:rsid w:val="00E61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11DD"/>
    <w:rPr>
      <w:i/>
      <w:iCs/>
      <w:color w:val="0F4761" w:themeColor="accent1" w:themeShade="BF"/>
    </w:rPr>
  </w:style>
  <w:style w:type="character" w:styleId="Referenciaintensa">
    <w:name w:val="Intense Reference"/>
    <w:basedOn w:val="Fuentedeprrafopredeter"/>
    <w:uiPriority w:val="32"/>
    <w:qFormat/>
    <w:rsid w:val="00E611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600</Words>
  <Characters>3300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 Narvaez</dc:creator>
  <cp:keywords/>
  <dc:description/>
  <cp:lastModifiedBy>Marti Narvaez</cp:lastModifiedBy>
  <cp:revision>1</cp:revision>
  <dcterms:created xsi:type="dcterms:W3CDTF">2026-02-27T02:18:00Z</dcterms:created>
  <dcterms:modified xsi:type="dcterms:W3CDTF">2026-02-27T02:58:00Z</dcterms:modified>
</cp:coreProperties>
</file>