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122.png" ContentType="image/png"/>
  <Override PartName="/word/media/rId126.png" ContentType="image/png"/>
  <Override PartName="/word/media/rId130.png" ContentType="image/png"/>
  <Override PartName="/word/media/rId134.png" ContentType="image/png"/>
  <Override PartName="/word/media/rId30.png" ContentType="image/png"/>
  <Override PartName="/word/media/rId138.png" ContentType="image/png"/>
  <Override PartName="/word/media/rId142.png" ContentType="image/png"/>
  <Override PartName="/word/media/rId146.png" ContentType="image/png"/>
  <Override PartName="/word/media/rId15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Управляющие</w:t>
      </w:r>
      <w:r>
        <w:t xml:space="preserve"> </w:t>
      </w:r>
      <w:r>
        <w:t xml:space="preserve">структуры</w:t>
      </w:r>
    </w:p>
    <w:p>
      <w:pPr>
        <w:pStyle w:val="Author"/>
      </w:pPr>
      <w:r>
        <w:t xml:space="preserve">Легиньких</w:t>
      </w:r>
      <w:r>
        <w:t xml:space="preserve"> </w:t>
      </w:r>
      <w:r>
        <w:t xml:space="preserve">Галина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Основная цель работы — освоить применение циклов функций и сторонних для Julia пакетов для решения задач линейной алгебры и работы с матрицами.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Используя Jupyter Lab, повторите примеры из раздела 2.2.</w:t>
      </w:r>
    </w:p>
    <w:p>
      <w:pPr>
        <w:numPr>
          <w:ilvl w:val="0"/>
          <w:numId w:val="1001"/>
        </w:numPr>
        <w:pStyle w:val="Compact"/>
      </w:pPr>
      <w:r>
        <w:t xml:space="preserve">Выполните задания для самостоятельной работы (раздел 2.4).</w:t>
      </w:r>
    </w:p>
    <w:bookmarkEnd w:id="21"/>
    <w:bookmarkStart w:id="1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</w:t>
      </w:r>
      <w:r>
        <w:t xml:space="preserve"> </w:t>
      </w:r>
      <w:r>
        <w:t xml:space="preserve">Для начала я изучила видеоматериал к лекции и повторила примеры из раздела 3.2. Сначало это были циклы while и for. Для различных операций, связанных с перебором индексируемых элементов структур данных, традиционно используются циклы while и for. (рис. 1) (рис. 2) (рис. 3)</w:t>
      </w:r>
    </w:p>
    <w:p>
      <w:pPr>
        <w:pStyle w:val="CaptionedFigure"/>
      </w:pPr>
      <w:bookmarkStart w:id="25" w:name="fig:001"/>
      <w:r>
        <w:drawing>
          <wp:inline>
            <wp:extent cx="5334000" cy="3981814"/>
            <wp:effectExtent b="0" l="0" r="0" t="0"/>
            <wp:docPr descr="Рис. 1: while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1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while</w:t>
      </w:r>
    </w:p>
    <w:p>
      <w:pPr>
        <w:pStyle w:val="CaptionedFigure"/>
      </w:pPr>
      <w:bookmarkStart w:id="29" w:name="fig:002"/>
      <w:r>
        <w:drawing>
          <wp:inline>
            <wp:extent cx="5334000" cy="3242636"/>
            <wp:effectExtent b="0" l="0" r="0" t="0"/>
            <wp:docPr descr="Рис. 2: for вналогично while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2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for вналогично while</w:t>
      </w:r>
    </w:p>
    <w:p>
      <w:pPr>
        <w:pStyle w:val="CaptionedFigure"/>
      </w:pPr>
      <w:bookmarkStart w:id="33" w:name="fig:003"/>
      <w:r>
        <w:drawing>
          <wp:inline>
            <wp:extent cx="5334000" cy="5082908"/>
            <wp:effectExtent b="0" l="0" r="0" t="0"/>
            <wp:docPr descr="Рис. 3: for массивы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2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for массивы</w:t>
      </w:r>
    </w:p>
    <w:p>
      <w:pPr>
        <w:pStyle w:val="BodyText"/>
      </w:pPr>
      <w:r>
        <w:rPr>
          <w:bCs/>
          <w:b/>
        </w:rPr>
        <w:t xml:space="preserve">2.</w:t>
      </w:r>
      <w:r>
        <w:t xml:space="preserve"> </w:t>
      </w:r>
      <w:r>
        <w:t xml:space="preserve">Условные выражения. Довольно часто при решении задач требуется проверить выполнение тех или иных условий. Для этого используют условные выражения. Повторила синтаксис условных выражений с тернарными операторами. (рис. 4)</w:t>
      </w:r>
    </w:p>
    <w:p>
      <w:pPr>
        <w:pStyle w:val="CaptionedFigure"/>
      </w:pPr>
      <w:bookmarkStart w:id="37" w:name="fig:004"/>
      <w:r>
        <w:drawing>
          <wp:inline>
            <wp:extent cx="5334000" cy="2898475"/>
            <wp:effectExtent b="0" l="0" r="0" t="0"/>
            <wp:docPr descr="Рис. 4: Условные выражения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8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Условные выражения</w:t>
      </w:r>
    </w:p>
    <w:p>
      <w:pPr>
        <w:pStyle w:val="BodyText"/>
      </w:pPr>
      <w:r>
        <w:rPr>
          <w:bCs/>
          <w:b/>
        </w:rPr>
        <w:t xml:space="preserve">3.</w:t>
      </w:r>
      <w:r>
        <w:t xml:space="preserve"> </w:t>
      </w:r>
      <w:r>
        <w:t xml:space="preserve">Далее перешла к функциям. Julia дает нам несколько разных способов написать функцию. Первый требует ключевых</w:t>
      </w:r>
      <w:r>
        <w:t xml:space="preserve"> </w:t>
      </w:r>
      <w:r>
        <w:t xml:space="preserve">слов function и end. (рис. 5)</w:t>
      </w:r>
    </w:p>
    <w:p>
      <w:pPr>
        <w:pStyle w:val="CaptionedFigure"/>
      </w:pPr>
      <w:bookmarkStart w:id="41" w:name="fig:005"/>
      <w:r>
        <w:drawing>
          <wp:inline>
            <wp:extent cx="5334000" cy="1878641"/>
            <wp:effectExtent b="0" l="0" r="0" t="0"/>
            <wp:docPr descr="Рис. 5: Функции 1-ый способ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8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Функции 1-ый способ</w:t>
      </w:r>
    </w:p>
    <w:p>
      <w:pPr>
        <w:pStyle w:val="BodyText"/>
      </w:pPr>
      <w:r>
        <w:t xml:space="preserve">В качестве альтернативы, можно объявить любую из выше определённых функций</w:t>
      </w:r>
      <w:r>
        <w:t xml:space="preserve"> </w:t>
      </w:r>
      <w:r>
        <w:t xml:space="preserve">в одной строке. (рис. 6)</w:t>
      </w:r>
    </w:p>
    <w:p>
      <w:pPr>
        <w:pStyle w:val="CaptionedFigure"/>
      </w:pPr>
      <w:bookmarkStart w:id="45" w:name="fig:006"/>
      <w:r>
        <w:drawing>
          <wp:inline>
            <wp:extent cx="5334000" cy="1209219"/>
            <wp:effectExtent b="0" l="0" r="0" t="0"/>
            <wp:docPr descr="Рис. 6: Функции 2-ой способ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9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Функции 2-ой способ</w:t>
      </w:r>
    </w:p>
    <w:p>
      <w:pPr>
        <w:pStyle w:val="BodyText"/>
      </w:pPr>
      <w:r>
        <w:t xml:space="preserve">Наконец, можно объявить выше определённые функции как</w:t>
      </w:r>
      <w:r>
        <w:t xml:space="preserve"> </w:t>
      </w:r>
      <w:r>
        <w:t xml:space="preserve">“</w:t>
      </w:r>
      <w:r>
        <w:t xml:space="preserve">анонимные</w:t>
      </w:r>
      <w:r>
        <w:t xml:space="preserve">”</w:t>
      </w:r>
      <w:r>
        <w:t xml:space="preserve">. (рис. 7)</w:t>
      </w:r>
    </w:p>
    <w:p>
      <w:pPr>
        <w:pStyle w:val="CaptionedFigure"/>
      </w:pPr>
      <w:bookmarkStart w:id="49" w:name="fig:007"/>
      <w:r>
        <w:drawing>
          <wp:inline>
            <wp:extent cx="5334000" cy="1179308"/>
            <wp:effectExtent b="0" l="0" r="0" t="0"/>
            <wp:docPr descr="Рис. 7: Функции 3-ий способ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9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Функции 3-ий способ</w:t>
      </w:r>
    </w:p>
    <w:p>
      <w:pPr>
        <w:pStyle w:val="BodyText"/>
      </w:pPr>
      <w:r>
        <w:t xml:space="preserve">По соглашению в Julia функции, сопровождаемые восклицательным знаком, изменяют свое содержимое, а функции без восклицательного знака не делают этого. (рис. 8)</w:t>
      </w:r>
    </w:p>
    <w:p>
      <w:pPr>
        <w:pStyle w:val="CaptionedFigure"/>
      </w:pPr>
      <w:bookmarkStart w:id="53" w:name="fig:008"/>
      <w:r>
        <w:drawing>
          <wp:inline>
            <wp:extent cx="5334000" cy="2143064"/>
            <wp:effectExtent b="0" l="0" r="0" t="0"/>
            <wp:docPr descr="Рис. 8: sort as !sort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3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sort as !sort</w:t>
      </w:r>
    </w:p>
    <w:p>
      <w:pPr>
        <w:pStyle w:val="BodyText"/>
      </w:pPr>
      <w:r>
        <w:t xml:space="preserve">В Julia функция map является функцией высшего порядка, которая принимает функцию в качестве одного из своих входных аргументов и применяет эту функцию к каждому элементу структуры данных, которая ей передаётся также в качестве аргумента. (рис. 9)</w:t>
      </w:r>
    </w:p>
    <w:p>
      <w:pPr>
        <w:pStyle w:val="CaptionedFigure"/>
      </w:pPr>
      <w:bookmarkStart w:id="57" w:name="fig:009"/>
      <w:r>
        <w:drawing>
          <wp:inline>
            <wp:extent cx="5334000" cy="1881007"/>
            <wp:effectExtent b="0" l="0" r="0" t="0"/>
            <wp:docPr descr="Рис. 9: map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1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map</w:t>
      </w:r>
    </w:p>
    <w:p>
      <w:pPr>
        <w:pStyle w:val="BodyText"/>
      </w:pPr>
      <w:r>
        <w:t xml:space="preserve">Функция broadcast — ещё одна функция высшего порядка в Julia, представляющая собой обобщение функции map.Функция broadcast() будет пытаться привести все объекты к общему измерению, map() будет напрямую применять данную функцию поэлементно. (рис. 10)</w:t>
      </w:r>
    </w:p>
    <w:p>
      <w:pPr>
        <w:pStyle w:val="CaptionedFigure"/>
      </w:pPr>
      <w:bookmarkStart w:id="61" w:name="fig:010"/>
      <w:r>
        <w:drawing>
          <wp:inline>
            <wp:extent cx="5334000" cy="4779475"/>
            <wp:effectExtent b="0" l="0" r="0" t="0"/>
            <wp:docPr descr="Рис. 10: broadcast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9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broadcast</w:t>
      </w:r>
    </w:p>
    <w:p>
      <w:pPr>
        <w:pStyle w:val="BodyText"/>
      </w:pPr>
      <w:r>
        <w:rPr>
          <w:bCs/>
          <w:b/>
        </w:rPr>
        <w:t xml:space="preserve">4.</w:t>
      </w:r>
      <w:r>
        <w:t xml:space="preserve"> </w:t>
      </w:r>
      <w:r>
        <w:t xml:space="preserve">Julia имеет более 2000 зарегистрированных пакетов, что делает их огромной частью экосистемы Julia. Научилась загружать пакеты. (рис. 11)</w:t>
      </w:r>
    </w:p>
    <w:p>
      <w:pPr>
        <w:pStyle w:val="CaptionedFigure"/>
      </w:pPr>
      <w:bookmarkStart w:id="65" w:name="fig:011"/>
      <w:r>
        <w:drawing>
          <wp:inline>
            <wp:extent cx="5334000" cy="3226579"/>
            <wp:effectExtent b="0" l="0" r="0" t="0"/>
            <wp:docPr descr="Рис. 11: Загрузка пакетов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6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Загрузка пакетов</w:t>
      </w:r>
    </w:p>
    <w:p>
      <w:pPr>
        <w:pStyle w:val="BodyText"/>
      </w:pPr>
      <w:r>
        <w:t xml:space="preserve">И использовать их. (рис. 12)</w:t>
      </w:r>
    </w:p>
    <w:p>
      <w:pPr>
        <w:pStyle w:val="CaptionedFigure"/>
      </w:pPr>
      <w:bookmarkStart w:id="69" w:name="fig:012"/>
      <w:r>
        <w:drawing>
          <wp:inline>
            <wp:extent cx="5334000" cy="3286007"/>
            <wp:effectExtent b="0" l="0" r="0" t="0"/>
            <wp:docPr descr="Рис. 12: Использование пакетов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6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Использование пакетов</w:t>
      </w:r>
    </w:p>
    <w:p>
      <w:pPr>
        <w:pStyle w:val="BodyText"/>
      </w:pPr>
      <w:r>
        <w:rPr>
          <w:bCs/>
          <w:b/>
        </w:rPr>
        <w:t xml:space="preserve">5.</w:t>
      </w:r>
      <w:r>
        <w:t xml:space="preserve"> </w:t>
      </w:r>
      <w:r>
        <w:t xml:space="preserve">Перешла к заданиям для самостоятельной работы. Дублировать задания не буду, они слишком большие. Нумерация соответствует нумерации в файле задания.</w:t>
      </w:r>
    </w:p>
    <w:p>
      <w:pPr>
        <w:numPr>
          <w:ilvl w:val="0"/>
          <w:numId w:val="1002"/>
        </w:numPr>
        <w:pStyle w:val="Compact"/>
      </w:pPr>
      <w:r>
        <w:t xml:space="preserve">Задание 1.1 с помощью while (рис. 13)</w:t>
      </w:r>
    </w:p>
    <w:p>
      <w:pPr>
        <w:pStyle w:val="CaptionedFigure"/>
      </w:pPr>
      <w:bookmarkStart w:id="73" w:name="fig:013"/>
      <w:r>
        <w:drawing>
          <wp:inline>
            <wp:extent cx="5334000" cy="3457102"/>
            <wp:effectExtent b="0" l="0" r="0" t="0"/>
            <wp:docPr descr="Рис. 13: Задание 1.1 while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7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Задание 1.1 while</w:t>
      </w:r>
    </w:p>
    <w:p>
      <w:pPr>
        <w:numPr>
          <w:ilvl w:val="0"/>
          <w:numId w:val="1003"/>
        </w:numPr>
        <w:pStyle w:val="Compact"/>
      </w:pPr>
      <w:r>
        <w:t xml:space="preserve">Задание 1.1 с помощью for (рис. 14)</w:t>
      </w:r>
    </w:p>
    <w:p>
      <w:pPr>
        <w:pStyle w:val="CaptionedFigure"/>
      </w:pPr>
      <w:bookmarkStart w:id="77" w:name="fig:014"/>
      <w:r>
        <w:drawing>
          <wp:inline>
            <wp:extent cx="5334000" cy="2852615"/>
            <wp:effectExtent b="0" l="0" r="0" t="0"/>
            <wp:docPr descr="Рис. 14: Задание 1.1 for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2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Задание 1.1 for</w:t>
      </w:r>
    </w:p>
    <w:p>
      <w:pPr>
        <w:numPr>
          <w:ilvl w:val="0"/>
          <w:numId w:val="1004"/>
        </w:numPr>
        <w:pStyle w:val="Compact"/>
      </w:pPr>
      <w:r>
        <w:t xml:space="preserve">Задание 1.2 (рис. 15)</w:t>
      </w:r>
    </w:p>
    <w:p>
      <w:pPr>
        <w:pStyle w:val="CaptionedFigure"/>
      </w:pPr>
      <w:bookmarkStart w:id="81" w:name="fig:015"/>
      <w:r>
        <w:drawing>
          <wp:inline>
            <wp:extent cx="5334000" cy="3252758"/>
            <wp:effectExtent b="0" l="0" r="0" t="0"/>
            <wp:docPr descr="Рис. 15: Задание 1.2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2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Задание 1.2</w:t>
      </w:r>
    </w:p>
    <w:p>
      <w:pPr>
        <w:numPr>
          <w:ilvl w:val="0"/>
          <w:numId w:val="1005"/>
        </w:numPr>
        <w:pStyle w:val="Compact"/>
      </w:pPr>
      <w:r>
        <w:t xml:space="preserve">Задание 1.3 (рис. 16)</w:t>
      </w:r>
    </w:p>
    <w:p>
      <w:pPr>
        <w:pStyle w:val="CaptionedFigure"/>
      </w:pPr>
      <w:bookmarkStart w:id="85" w:name="fig:016"/>
      <w:r>
        <w:drawing>
          <wp:inline>
            <wp:extent cx="5334000" cy="2696094"/>
            <wp:effectExtent b="0" l="0" r="0" t="0"/>
            <wp:docPr descr="Рис. 16: Задание 1.3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6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Задание 1.3</w:t>
      </w:r>
    </w:p>
    <w:p>
      <w:pPr>
        <w:numPr>
          <w:ilvl w:val="0"/>
          <w:numId w:val="1006"/>
        </w:numPr>
        <w:pStyle w:val="Compact"/>
      </w:pPr>
      <w:r>
        <w:t xml:space="preserve">Задание 2 (рис. 17)</w:t>
      </w:r>
    </w:p>
    <w:p>
      <w:pPr>
        <w:pStyle w:val="CaptionedFigure"/>
      </w:pPr>
      <w:bookmarkStart w:id="89" w:name="fig:017"/>
      <w:r>
        <w:drawing>
          <wp:inline>
            <wp:extent cx="5334000" cy="3485057"/>
            <wp:effectExtent b="0" l="0" r="0" t="0"/>
            <wp:docPr descr="Рис. 17: Задание 2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5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17: Задание 2</w:t>
      </w:r>
    </w:p>
    <w:p>
      <w:pPr>
        <w:numPr>
          <w:ilvl w:val="0"/>
          <w:numId w:val="1007"/>
        </w:numPr>
        <w:pStyle w:val="Compact"/>
      </w:pPr>
      <w:r>
        <w:t xml:space="preserve">Задание 3 (рис. 18)</w:t>
      </w:r>
    </w:p>
    <w:p>
      <w:pPr>
        <w:pStyle w:val="CaptionedFigure"/>
      </w:pPr>
      <w:bookmarkStart w:id="93" w:name="fig:018"/>
      <w:r>
        <w:drawing>
          <wp:inline>
            <wp:extent cx="5334000" cy="1977775"/>
            <wp:effectExtent b="0" l="0" r="0" t="0"/>
            <wp:docPr descr="Рис. 18: Задание 3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7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18: Задание 3</w:t>
      </w:r>
    </w:p>
    <w:p>
      <w:pPr>
        <w:numPr>
          <w:ilvl w:val="0"/>
          <w:numId w:val="1008"/>
        </w:numPr>
        <w:pStyle w:val="Compact"/>
      </w:pPr>
      <w:r>
        <w:t xml:space="preserve">Задание 4 (рис. 19)</w:t>
      </w:r>
    </w:p>
    <w:p>
      <w:pPr>
        <w:pStyle w:val="CaptionedFigure"/>
      </w:pPr>
      <w:bookmarkStart w:id="97" w:name="fig:019"/>
      <w:r>
        <w:drawing>
          <wp:inline>
            <wp:extent cx="5334000" cy="2257460"/>
            <wp:effectExtent b="0" l="0" r="0" t="0"/>
            <wp:docPr descr="Рис. 19: Задание 4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7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Рис. 19: Задание 4</w:t>
      </w:r>
    </w:p>
    <w:p>
      <w:pPr>
        <w:numPr>
          <w:ilvl w:val="0"/>
          <w:numId w:val="1009"/>
        </w:numPr>
        <w:pStyle w:val="Compact"/>
      </w:pPr>
      <w:r>
        <w:t xml:space="preserve">Задание 5 (рис. 20)</w:t>
      </w:r>
    </w:p>
    <w:p>
      <w:pPr>
        <w:pStyle w:val="CaptionedFigure"/>
      </w:pPr>
      <w:bookmarkStart w:id="101" w:name="fig:020"/>
      <w:r>
        <w:drawing>
          <wp:inline>
            <wp:extent cx="5334000" cy="2726266"/>
            <wp:effectExtent b="0" l="0" r="0" t="0"/>
            <wp:docPr descr="Рис. 20: Задание 5" title="" id="99" name="Picture"/>
            <a:graphic>
              <a:graphicData uri="http://schemas.openxmlformats.org/drawingml/2006/picture">
                <pic:pic>
                  <pic:nvPicPr>
                    <pic:cNvPr descr="image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6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Рис. 20: Задание 5</w:t>
      </w:r>
    </w:p>
    <w:p>
      <w:pPr>
        <w:numPr>
          <w:ilvl w:val="0"/>
          <w:numId w:val="1010"/>
        </w:numPr>
        <w:pStyle w:val="Compact"/>
      </w:pPr>
      <w:r>
        <w:t xml:space="preserve">Задание 6 (рис. 21)</w:t>
      </w:r>
    </w:p>
    <w:p>
      <w:pPr>
        <w:pStyle w:val="CaptionedFigure"/>
      </w:pPr>
      <w:bookmarkStart w:id="105" w:name="fig:021"/>
      <w:r>
        <w:drawing>
          <wp:inline>
            <wp:extent cx="5334000" cy="1123643"/>
            <wp:effectExtent b="0" l="0" r="0" t="0"/>
            <wp:docPr descr="Рис. 21: Задание 6" title="" id="103" name="Picture"/>
            <a:graphic>
              <a:graphicData uri="http://schemas.openxmlformats.org/drawingml/2006/picture">
                <pic:pic>
                  <pic:nvPicPr>
                    <pic:cNvPr descr="image/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3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Рис. 21: Задание 6</w:t>
      </w:r>
    </w:p>
    <w:p>
      <w:pPr>
        <w:numPr>
          <w:ilvl w:val="0"/>
          <w:numId w:val="1011"/>
        </w:numPr>
        <w:pStyle w:val="Compact"/>
      </w:pPr>
      <w:r>
        <w:t xml:space="preserve">Задание 7.0 (рис. 22)</w:t>
      </w:r>
    </w:p>
    <w:p>
      <w:pPr>
        <w:pStyle w:val="CaptionedFigure"/>
      </w:pPr>
      <w:bookmarkStart w:id="109" w:name="fig:022"/>
      <w:r>
        <w:drawing>
          <wp:inline>
            <wp:extent cx="5334000" cy="2551901"/>
            <wp:effectExtent b="0" l="0" r="0" t="0"/>
            <wp:docPr descr="Рис. 22: Задание 7.0" title="" id="107" name="Picture"/>
            <a:graphic>
              <a:graphicData uri="http://schemas.openxmlformats.org/drawingml/2006/picture">
                <pic:pic>
                  <pic:nvPicPr>
                    <pic:cNvPr descr="image/22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1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Рис. 22: Задание 7.0</w:t>
      </w:r>
    </w:p>
    <w:p>
      <w:pPr>
        <w:numPr>
          <w:ilvl w:val="0"/>
          <w:numId w:val="1012"/>
        </w:numPr>
        <w:pStyle w:val="Compact"/>
      </w:pPr>
      <w:r>
        <w:t xml:space="preserve">Задание 7.1 (рис. 23)</w:t>
      </w:r>
    </w:p>
    <w:p>
      <w:pPr>
        <w:pStyle w:val="CaptionedFigure"/>
      </w:pPr>
      <w:bookmarkStart w:id="113" w:name="fig:023"/>
      <w:r>
        <w:drawing>
          <wp:inline>
            <wp:extent cx="5334000" cy="2492707"/>
            <wp:effectExtent b="0" l="0" r="0" t="0"/>
            <wp:docPr descr="Рис. 23: Задание 7.1" title="" id="111" name="Picture"/>
            <a:graphic>
              <a:graphicData uri="http://schemas.openxmlformats.org/drawingml/2006/picture">
                <pic:pic>
                  <pic:nvPicPr>
                    <pic:cNvPr descr="image/23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2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t xml:space="preserve">Рис. 23: Задание 7.1</w:t>
      </w:r>
    </w:p>
    <w:p>
      <w:pPr>
        <w:numPr>
          <w:ilvl w:val="0"/>
          <w:numId w:val="1013"/>
        </w:numPr>
        <w:pStyle w:val="Compact"/>
      </w:pPr>
      <w:r>
        <w:t xml:space="preserve">Задание 7.2 (рис. 24)</w:t>
      </w:r>
    </w:p>
    <w:p>
      <w:pPr>
        <w:pStyle w:val="CaptionedFigure"/>
      </w:pPr>
      <w:bookmarkStart w:id="117" w:name="fig:024"/>
      <w:r>
        <w:drawing>
          <wp:inline>
            <wp:extent cx="5334000" cy="2292568"/>
            <wp:effectExtent b="0" l="0" r="0" t="0"/>
            <wp:docPr descr="Рис. 24: Задание 7.2" title="" id="115" name="Picture"/>
            <a:graphic>
              <a:graphicData uri="http://schemas.openxmlformats.org/drawingml/2006/picture">
                <pic:pic>
                  <pic:nvPicPr>
                    <pic:cNvPr descr="image/24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2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pStyle w:val="ImageCaption"/>
      </w:pPr>
      <w:r>
        <w:t xml:space="preserve">Рис. 24: Задание 7.2</w:t>
      </w:r>
    </w:p>
    <w:p>
      <w:pPr>
        <w:numPr>
          <w:ilvl w:val="0"/>
          <w:numId w:val="1014"/>
        </w:numPr>
        <w:pStyle w:val="Compact"/>
      </w:pPr>
      <w:r>
        <w:t xml:space="preserve">Задание 7.3 (рис. 25)</w:t>
      </w:r>
    </w:p>
    <w:p>
      <w:pPr>
        <w:pStyle w:val="CaptionedFigure"/>
      </w:pPr>
      <w:bookmarkStart w:id="121" w:name="fig:025"/>
      <w:r>
        <w:drawing>
          <wp:inline>
            <wp:extent cx="5334000" cy="3195118"/>
            <wp:effectExtent b="0" l="0" r="0" t="0"/>
            <wp:docPr descr="Рис. 25: Задание 7.3" title="" id="119" name="Picture"/>
            <a:graphic>
              <a:graphicData uri="http://schemas.openxmlformats.org/drawingml/2006/picture">
                <pic:pic>
                  <pic:nvPicPr>
                    <pic:cNvPr descr="image/25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5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1"/>
    </w:p>
    <w:p>
      <w:pPr>
        <w:pStyle w:val="ImageCaption"/>
      </w:pPr>
      <w:r>
        <w:t xml:space="preserve">Рис. 25: Задание 7.3</w:t>
      </w:r>
    </w:p>
    <w:p>
      <w:pPr>
        <w:numPr>
          <w:ilvl w:val="0"/>
          <w:numId w:val="1015"/>
        </w:numPr>
        <w:pStyle w:val="Compact"/>
      </w:pPr>
      <w:r>
        <w:t xml:space="preserve">Задание 7.4 (рис. 26)</w:t>
      </w:r>
    </w:p>
    <w:p>
      <w:pPr>
        <w:pStyle w:val="CaptionedFigure"/>
      </w:pPr>
      <w:bookmarkStart w:id="125" w:name="fig:026"/>
      <w:r>
        <w:drawing>
          <wp:inline>
            <wp:extent cx="5334000" cy="2355960"/>
            <wp:effectExtent b="0" l="0" r="0" t="0"/>
            <wp:docPr descr="Рис. 26: Задание 7.4" title="" id="123" name="Picture"/>
            <a:graphic>
              <a:graphicData uri="http://schemas.openxmlformats.org/drawingml/2006/picture">
                <pic:pic>
                  <pic:nvPicPr>
                    <pic:cNvPr descr="image/26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5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5"/>
    </w:p>
    <w:p>
      <w:pPr>
        <w:pStyle w:val="ImageCaption"/>
      </w:pPr>
      <w:r>
        <w:t xml:space="preserve">Рис. 26: Задание 7.4</w:t>
      </w:r>
    </w:p>
    <w:p>
      <w:pPr>
        <w:numPr>
          <w:ilvl w:val="0"/>
          <w:numId w:val="1016"/>
        </w:numPr>
        <w:pStyle w:val="Compact"/>
      </w:pPr>
      <w:r>
        <w:t xml:space="preserve">Задание 8.1 - 8.2 (рис. 27)</w:t>
      </w:r>
    </w:p>
    <w:p>
      <w:pPr>
        <w:pStyle w:val="CaptionedFigure"/>
      </w:pPr>
      <w:bookmarkStart w:id="129" w:name="fig:027"/>
      <w:r>
        <w:drawing>
          <wp:inline>
            <wp:extent cx="5334000" cy="4399721"/>
            <wp:effectExtent b="0" l="0" r="0" t="0"/>
            <wp:docPr descr="Рис. 27: Задание 8.1 - 8.2" title="" id="127" name="Picture"/>
            <a:graphic>
              <a:graphicData uri="http://schemas.openxmlformats.org/drawingml/2006/picture">
                <pic:pic>
                  <pic:nvPicPr>
                    <pic:cNvPr descr="image/27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9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9"/>
    </w:p>
    <w:p>
      <w:pPr>
        <w:pStyle w:val="ImageCaption"/>
      </w:pPr>
      <w:r>
        <w:t xml:space="preserve">Рис. 27: Задание 8.1 - 8.2</w:t>
      </w:r>
    </w:p>
    <w:p>
      <w:pPr>
        <w:numPr>
          <w:ilvl w:val="0"/>
          <w:numId w:val="1017"/>
        </w:numPr>
        <w:pStyle w:val="Compact"/>
      </w:pPr>
      <w:r>
        <w:t xml:space="preserve">Задание 8.3 - 8.4 (рис. 28)</w:t>
      </w:r>
    </w:p>
    <w:p>
      <w:pPr>
        <w:pStyle w:val="CaptionedFigure"/>
      </w:pPr>
      <w:bookmarkStart w:id="133" w:name="fig:028"/>
      <w:r>
        <w:drawing>
          <wp:inline>
            <wp:extent cx="5334000" cy="3103779"/>
            <wp:effectExtent b="0" l="0" r="0" t="0"/>
            <wp:docPr descr="Рис. 28: Задание 8.3 - 8.4" title="" id="131" name="Picture"/>
            <a:graphic>
              <a:graphicData uri="http://schemas.openxmlformats.org/drawingml/2006/picture">
                <pic:pic>
                  <pic:nvPicPr>
                    <pic:cNvPr descr="image/28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3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3"/>
    </w:p>
    <w:p>
      <w:pPr>
        <w:pStyle w:val="ImageCaption"/>
      </w:pPr>
      <w:r>
        <w:t xml:space="preserve">Рис. 28: Задание 8.3 - 8.4</w:t>
      </w:r>
    </w:p>
    <w:p>
      <w:pPr>
        <w:numPr>
          <w:ilvl w:val="0"/>
          <w:numId w:val="1018"/>
        </w:numPr>
        <w:pStyle w:val="Compact"/>
      </w:pPr>
      <w:r>
        <w:t xml:space="preserve">Задание 8.5 (рис. 29)</w:t>
      </w:r>
    </w:p>
    <w:p>
      <w:pPr>
        <w:pStyle w:val="CaptionedFigure"/>
      </w:pPr>
      <w:bookmarkStart w:id="137" w:name="fig:029"/>
      <w:r>
        <w:drawing>
          <wp:inline>
            <wp:extent cx="5334000" cy="1773571"/>
            <wp:effectExtent b="0" l="0" r="0" t="0"/>
            <wp:docPr descr="Рис. 29: Задание 8.5" title="" id="135" name="Picture"/>
            <a:graphic>
              <a:graphicData uri="http://schemas.openxmlformats.org/drawingml/2006/picture">
                <pic:pic>
                  <pic:nvPicPr>
                    <pic:cNvPr descr="image/29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3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7"/>
    </w:p>
    <w:p>
      <w:pPr>
        <w:pStyle w:val="ImageCaption"/>
      </w:pPr>
      <w:r>
        <w:t xml:space="preserve">Рис. 29: Задание 8.5</w:t>
      </w:r>
    </w:p>
    <w:p>
      <w:pPr>
        <w:numPr>
          <w:ilvl w:val="0"/>
          <w:numId w:val="1019"/>
        </w:numPr>
        <w:pStyle w:val="Compact"/>
      </w:pPr>
      <w:r>
        <w:t xml:space="preserve">Задание 9 (рис. 30)</w:t>
      </w:r>
    </w:p>
    <w:p>
      <w:pPr>
        <w:pStyle w:val="CaptionedFigure"/>
      </w:pPr>
      <w:bookmarkStart w:id="141" w:name="fig:030"/>
      <w:r>
        <w:drawing>
          <wp:inline>
            <wp:extent cx="5334000" cy="1152407"/>
            <wp:effectExtent b="0" l="0" r="0" t="0"/>
            <wp:docPr descr="Рис. 30: Задание 9" title="" id="139" name="Picture"/>
            <a:graphic>
              <a:graphicData uri="http://schemas.openxmlformats.org/drawingml/2006/picture">
                <pic:pic>
                  <pic:nvPicPr>
                    <pic:cNvPr descr="image/30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2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1"/>
    </w:p>
    <w:p>
      <w:pPr>
        <w:pStyle w:val="ImageCaption"/>
      </w:pPr>
      <w:r>
        <w:t xml:space="preserve">Рис. 30: Задание 9</w:t>
      </w:r>
    </w:p>
    <w:p>
      <w:pPr>
        <w:numPr>
          <w:ilvl w:val="0"/>
          <w:numId w:val="1020"/>
        </w:numPr>
        <w:pStyle w:val="Compact"/>
      </w:pPr>
      <w:r>
        <w:t xml:space="preserve">Задание 10.1 - 10.2 (рис. 31)</w:t>
      </w:r>
    </w:p>
    <w:p>
      <w:pPr>
        <w:pStyle w:val="CaptionedFigure"/>
      </w:pPr>
      <w:bookmarkStart w:id="145" w:name="fig:031"/>
      <w:r>
        <w:drawing>
          <wp:inline>
            <wp:extent cx="5334000" cy="4523441"/>
            <wp:effectExtent b="0" l="0" r="0" t="0"/>
            <wp:docPr descr="Рис. 31: Задание 10.1 - 10.2" title="" id="143" name="Picture"/>
            <a:graphic>
              <a:graphicData uri="http://schemas.openxmlformats.org/drawingml/2006/picture">
                <pic:pic>
                  <pic:nvPicPr>
                    <pic:cNvPr descr="image/31.pn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3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5"/>
    </w:p>
    <w:p>
      <w:pPr>
        <w:pStyle w:val="ImageCaption"/>
      </w:pPr>
      <w:r>
        <w:t xml:space="preserve">Рис. 31: Задание 10.1 - 10.2</w:t>
      </w:r>
    </w:p>
    <w:p>
      <w:pPr>
        <w:numPr>
          <w:ilvl w:val="0"/>
          <w:numId w:val="1021"/>
        </w:numPr>
        <w:pStyle w:val="Compact"/>
      </w:pPr>
      <w:r>
        <w:t xml:space="preserve">Задание 10.3 (рис. 32)</w:t>
      </w:r>
    </w:p>
    <w:p>
      <w:pPr>
        <w:pStyle w:val="CaptionedFigure"/>
      </w:pPr>
      <w:bookmarkStart w:id="149" w:name="fig:032"/>
      <w:r>
        <w:drawing>
          <wp:inline>
            <wp:extent cx="5334000" cy="2676721"/>
            <wp:effectExtent b="0" l="0" r="0" t="0"/>
            <wp:docPr descr="Рис. 32: Задание 10.3" title="" id="147" name="Picture"/>
            <a:graphic>
              <a:graphicData uri="http://schemas.openxmlformats.org/drawingml/2006/picture">
                <pic:pic>
                  <pic:nvPicPr>
                    <pic:cNvPr descr="image/32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6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9"/>
    </w:p>
    <w:p>
      <w:pPr>
        <w:pStyle w:val="ImageCaption"/>
      </w:pPr>
      <w:r>
        <w:t xml:space="preserve">Рис. 32: Задание 10.3</w:t>
      </w:r>
    </w:p>
    <w:p>
      <w:pPr>
        <w:numPr>
          <w:ilvl w:val="0"/>
          <w:numId w:val="1022"/>
        </w:numPr>
        <w:pStyle w:val="Compact"/>
      </w:pPr>
      <w:r>
        <w:t xml:space="preserve">Задание 11 (рис. 33)</w:t>
      </w:r>
    </w:p>
    <w:p>
      <w:pPr>
        <w:pStyle w:val="CaptionedFigure"/>
      </w:pPr>
      <w:bookmarkStart w:id="153" w:name="fig:033"/>
      <w:r>
        <w:drawing>
          <wp:inline>
            <wp:extent cx="5334000" cy="1693022"/>
            <wp:effectExtent b="0" l="0" r="0" t="0"/>
            <wp:docPr descr="Рис. 33: Задание 11" title="" id="151" name="Picture"/>
            <a:graphic>
              <a:graphicData uri="http://schemas.openxmlformats.org/drawingml/2006/picture">
                <pic:pic>
                  <pic:nvPicPr>
                    <pic:cNvPr descr="image/33.png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3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3"/>
    </w:p>
    <w:p>
      <w:pPr>
        <w:pStyle w:val="ImageCaption"/>
      </w:pPr>
      <w:r>
        <w:t xml:space="preserve">Рис. 33: Задание 11</w:t>
      </w:r>
    </w:p>
    <w:bookmarkEnd w:id="154"/>
    <w:bookmarkStart w:id="15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Освоила применение циклов функций и сторонних для Julia пакетов для решения задач линейной алгебры и работы с матрицами.</w:t>
      </w:r>
    </w:p>
    <w:bookmarkEnd w:id="1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126" Target="media/rId126.png" /><Relationship Type="http://schemas.openxmlformats.org/officeDocument/2006/relationships/image" Id="rId130" Target="media/rId130.png" /><Relationship Type="http://schemas.openxmlformats.org/officeDocument/2006/relationships/image" Id="rId134" Target="media/rId134.png" /><Relationship Type="http://schemas.openxmlformats.org/officeDocument/2006/relationships/image" Id="rId30" Target="media/rId30.png" /><Relationship Type="http://schemas.openxmlformats.org/officeDocument/2006/relationships/image" Id="rId138" Target="media/rId138.png" /><Relationship Type="http://schemas.openxmlformats.org/officeDocument/2006/relationships/image" Id="rId142" Target="media/rId142.png" /><Relationship Type="http://schemas.openxmlformats.org/officeDocument/2006/relationships/image" Id="rId146" Target="media/rId146.png" /><Relationship Type="http://schemas.openxmlformats.org/officeDocument/2006/relationships/image" Id="rId150" Target="media/rId15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Легиньких Галина Андреевна</dc:creator>
  <dc:language>ru-RU</dc:language>
  <cp:keywords/>
  <dcterms:created xsi:type="dcterms:W3CDTF">2024-11-30T12:52:31Z</dcterms:created>
  <dcterms:modified xsi:type="dcterms:W3CDTF">2024-11-30T12:52:31Z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Рис.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Листинг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Список иллюстраций</vt:lpwstr>
  </property>
  <property fmtid="{D5CDD505-2E9C-101B-9397-08002B2CF9AE}" pid="38" name="lolTitle">
    <vt:lpwstr>Листинги</vt:lpwstr>
  </property>
  <property fmtid="{D5CDD505-2E9C-101B-9397-08002B2CF9AE}" pid="39" name="lot">
    <vt:lpwstr>True</vt:lpwstr>
  </property>
  <property fmtid="{D5CDD505-2E9C-101B-9397-08002B2CF9AE}" pid="40" name="lotTitle">
    <vt:lpwstr>Список таблиц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Управляющие структуры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Таблица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depth">
    <vt:lpwstr>2</vt:lpwstr>
  </property>
  <property fmtid="{D5CDD505-2E9C-101B-9397-08002B2CF9AE}" pid="82" name="toc-title">
    <vt:lpwstr>Содержание</vt:lpwstr>
  </property>
</Properties>
</file>