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Julia.Установка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настройка.Основные</w:t>
      </w:r>
      <w:r>
        <w:t xml:space="preserve"> </w:t>
      </w:r>
      <w:r>
        <w:t xml:space="preserve">принципы.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под свою операционную систему Julia,Jupyter.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Lab,повторите примеры из раздела 1.3.3.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заданиядля самостоятельной работы:</w:t>
      </w:r>
    </w:p>
    <w:p>
      <w:pPr>
        <w:numPr>
          <w:ilvl w:val="0"/>
          <w:numId w:val="1002"/>
        </w:numPr>
        <w:pStyle w:val="Compact"/>
      </w:pPr>
      <w:r>
        <w:t xml:space="preserve">Изучите документацию по основным функциям Julia для чтения / записи / вывода информации на экран: read(), readline(), readlines(), readdlm(), print(),</w:t>
      </w:r>
      <w:r>
        <w:t xml:space="preserve"> </w:t>
      </w:r>
      <w:r>
        <w:t xml:space="preserve">println(), show(), write(). Приведите свои примеры их использования, поясняя особенности их применения.</w:t>
      </w:r>
    </w:p>
    <w:p>
      <w:pPr>
        <w:numPr>
          <w:ilvl w:val="0"/>
          <w:numId w:val="1002"/>
        </w:numPr>
        <w:pStyle w:val="Compact"/>
      </w:pPr>
      <w:r>
        <w:t xml:space="preserve">Изучитедокументацию пофункцииparse().Приведите свои примерыеёиспользо вания,поясняя особенности её применения.</w:t>
      </w:r>
    </w:p>
    <w:p>
      <w:pPr>
        <w:numPr>
          <w:ilvl w:val="0"/>
          <w:numId w:val="1002"/>
        </w:numPr>
        <w:pStyle w:val="Compact"/>
      </w:pPr>
      <w:r>
        <w:t xml:space="preserve">Изучите синтаксис Julia для базовых математических операций с разнымтипом переменных:сложение,вычитание,умножение,деление,возведениевстепень,извлечение</w:t>
      </w:r>
      <w:r>
        <w:t xml:space="preserve"> </w:t>
      </w:r>
      <w:r>
        <w:t xml:space="preserve">корня,сравнение,логические операции.Приведите свои примеры с пояснениями по особенностям их применения.</w:t>
      </w:r>
    </w:p>
    <w:p>
      <w:pPr>
        <w:numPr>
          <w:ilvl w:val="0"/>
          <w:numId w:val="1002"/>
        </w:numPr>
        <w:pStyle w:val="Compact"/>
      </w:pPr>
      <w:r>
        <w:t xml:space="preserve">Приведите несколько своих примеров с пояснениями с операциями над матрицами и векторами: сложение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Для начала нужно было скачать менеджер пакетов Chocolatey. Как оказалось у меня это уже скачено.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Через Administrative Shell я скачала Far Manager (рис. 1), Notepad++ (рис. 2), Julia (рис. 3). Anaconda пришлось скачать с официального сайта.</w:t>
      </w:r>
    </w:p>
    <w:p>
      <w:pPr>
        <w:pStyle w:val="CaptionedFigure"/>
      </w:pPr>
      <w:bookmarkStart w:id="25" w:name="fig:001"/>
      <w:r>
        <w:drawing>
          <wp:inline>
            <wp:extent cx="5334000" cy="2280407"/>
            <wp:effectExtent b="0" l="0" r="0" t="0"/>
            <wp:docPr descr="Рис. 1: Загрузка Far Manag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Загрузка Far Manager</w:t>
      </w:r>
    </w:p>
    <w:p>
      <w:pPr>
        <w:pStyle w:val="CaptionedFigure"/>
      </w:pPr>
      <w:bookmarkStart w:id="29" w:name="fig:002"/>
      <w:r>
        <w:drawing>
          <wp:inline>
            <wp:extent cx="5334000" cy="3254539"/>
            <wp:effectExtent b="0" l="0" r="0" t="0"/>
            <wp:docPr descr="Рис. 2: Загрузка Notepad++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Загрузка Notepad++</w:t>
      </w:r>
    </w:p>
    <w:p>
      <w:pPr>
        <w:pStyle w:val="CaptionedFigure"/>
      </w:pPr>
      <w:bookmarkStart w:id="33" w:name="fig:003"/>
      <w:r>
        <w:drawing>
          <wp:inline>
            <wp:extent cx="5334000" cy="2351632"/>
            <wp:effectExtent b="0" l="0" r="0" t="0"/>
            <wp:docPr descr="Рис. 3: Загрузка Julia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Загрузка Julia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После установки запуститила Julia врежиме REPL. Перешла в пакетный режим Julia и ввела add IJulia для установки пакета для работы с Jupyter. (рис. 4)</w:t>
      </w:r>
    </w:p>
    <w:p>
      <w:pPr>
        <w:pStyle w:val="CaptionedFigure"/>
      </w:pPr>
      <w:bookmarkStart w:id="37" w:name="fig:004"/>
      <w:r>
        <w:drawing>
          <wp:inline>
            <wp:extent cx="5334000" cy="2451543"/>
            <wp:effectExtent b="0" l="0" r="0" t="0"/>
            <wp:docPr descr="Рис. 4: Установка пакетов для работы с Jupyter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Установка пакетов для работы с Jupyter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Я буду использовать Jupyter Lab. Перешла через Anaconda в Jupyter Lab и создала новый блокнот.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Перешла к следующему пункту задания. Нужно было повторить ппримеры осно синтаксиса Julia. (Некоторые комментарии есть на скриншотах в блокноте)</w:t>
      </w:r>
    </w:p>
    <w:p>
      <w:pPr>
        <w:numPr>
          <w:ilvl w:val="0"/>
          <w:numId w:val="1003"/>
        </w:numPr>
        <w:pStyle w:val="Compact"/>
      </w:pPr>
      <w:r>
        <w:t xml:space="preserve">Определение типа числовой величины. (рис. 5)</w:t>
      </w:r>
    </w:p>
    <w:p>
      <w:pPr>
        <w:pStyle w:val="CaptionedFigure"/>
      </w:pPr>
      <w:bookmarkStart w:id="41" w:name="fig:005"/>
      <w:r>
        <w:drawing>
          <wp:inline>
            <wp:extent cx="5334000" cy="2453504"/>
            <wp:effectExtent b="0" l="0" r="0" t="0"/>
            <wp:docPr descr="Рис. 5: Тип велечин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Тип велечины</w:t>
      </w:r>
    </w:p>
    <w:p>
      <w:pPr>
        <w:numPr>
          <w:ilvl w:val="0"/>
          <w:numId w:val="1004"/>
        </w:numPr>
        <w:pStyle w:val="Compact"/>
      </w:pPr>
      <w:r>
        <w:t xml:space="preserve">Определение крайних значений диапазонов целочисленных числовых величин. (рис. 6)</w:t>
      </w:r>
    </w:p>
    <w:p>
      <w:pPr>
        <w:pStyle w:val="CaptionedFigure"/>
      </w:pPr>
      <w:bookmarkStart w:id="45" w:name="fig:006"/>
      <w:r>
        <w:drawing>
          <wp:inline>
            <wp:extent cx="5334000" cy="2366107"/>
            <wp:effectExtent b="0" l="0" r="0" t="0"/>
            <wp:docPr descr="Рис. 6: Диапазон величин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Диапазон величин</w:t>
      </w:r>
    </w:p>
    <w:p>
      <w:pPr>
        <w:numPr>
          <w:ilvl w:val="0"/>
          <w:numId w:val="1005"/>
        </w:numPr>
        <w:pStyle w:val="Compact"/>
      </w:pPr>
      <w:r>
        <w:t xml:space="preserve">Преобразование типов. (рис. 7)</w:t>
      </w:r>
    </w:p>
    <w:p>
      <w:pPr>
        <w:pStyle w:val="CaptionedFigure"/>
      </w:pPr>
      <w:bookmarkStart w:id="49" w:name="fig:007"/>
      <w:r>
        <w:drawing>
          <wp:inline>
            <wp:extent cx="5334000" cy="4309544"/>
            <wp:effectExtent b="0" l="0" r="0" t="0"/>
            <wp:docPr descr="Рис. 7: Преобразование тип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Преобразование типов</w:t>
      </w:r>
    </w:p>
    <w:p>
      <w:pPr>
        <w:numPr>
          <w:ilvl w:val="0"/>
          <w:numId w:val="1006"/>
        </w:numPr>
        <w:pStyle w:val="Compact"/>
      </w:pPr>
      <w:r>
        <w:t xml:space="preserve">Синтаксис определения функций. (рис. 8)</w:t>
      </w:r>
    </w:p>
    <w:p>
      <w:pPr>
        <w:pStyle w:val="CaptionedFigure"/>
      </w:pPr>
      <w:bookmarkStart w:id="53" w:name="fig:008"/>
      <w:r>
        <w:drawing>
          <wp:inline>
            <wp:extent cx="5334000" cy="1834841"/>
            <wp:effectExtent b="0" l="0" r="0" t="0"/>
            <wp:docPr descr="Рис. 8: Функци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Функции</w:t>
      </w:r>
    </w:p>
    <w:p>
      <w:pPr>
        <w:numPr>
          <w:ilvl w:val="0"/>
          <w:numId w:val="1007"/>
        </w:numPr>
        <w:pStyle w:val="Compact"/>
      </w:pPr>
      <w:r>
        <w:t xml:space="preserve">Одномерные массивы. (рис. 9)</w:t>
      </w:r>
    </w:p>
    <w:p>
      <w:pPr>
        <w:pStyle w:val="CaptionedFigure"/>
      </w:pPr>
      <w:bookmarkStart w:id="57" w:name="fig:009"/>
      <w:r>
        <w:drawing>
          <wp:inline>
            <wp:extent cx="5334000" cy="900368"/>
            <wp:effectExtent b="0" l="0" r="0" t="0"/>
            <wp:docPr descr="Рис. 9: Одномерные массив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Одномерные массивы</w:t>
      </w:r>
    </w:p>
    <w:p>
      <w:pPr>
        <w:numPr>
          <w:ilvl w:val="0"/>
          <w:numId w:val="1008"/>
        </w:numPr>
        <w:pStyle w:val="Compact"/>
      </w:pPr>
      <w:r>
        <w:t xml:space="preserve">Двумерные массивы. (рис. 10)</w:t>
      </w:r>
    </w:p>
    <w:p>
      <w:pPr>
        <w:pStyle w:val="CaptionedFigure"/>
      </w:pPr>
      <w:bookmarkStart w:id="61" w:name="fig:010"/>
      <w:r>
        <w:drawing>
          <wp:inline>
            <wp:extent cx="5334000" cy="1908937"/>
            <wp:effectExtent b="0" l="0" r="0" t="0"/>
            <wp:docPr descr="Рис. 10: Двумерные массив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Двумерные массивы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Перешла к заданиям для самостоятельной работы. Нужно было изучить документацию по некторорым функциям. Нижу будет функция и пример к ней.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Функции для чтения/записи/вывода информации:</w:t>
      </w:r>
    </w:p>
    <w:p>
      <w:pPr>
        <w:numPr>
          <w:ilvl w:val="0"/>
          <w:numId w:val="1009"/>
        </w:numPr>
        <w:pStyle w:val="Compact"/>
      </w:pPr>
      <w:r>
        <w:t xml:space="preserve">write() (рис. 11)</w:t>
      </w:r>
    </w:p>
    <w:p>
      <w:pPr>
        <w:pStyle w:val="CaptionedFigure"/>
      </w:pPr>
      <w:bookmarkStart w:id="65" w:name="fig:011"/>
      <w:r>
        <w:drawing>
          <wp:inline>
            <wp:extent cx="5334000" cy="794279"/>
            <wp:effectExtent b="0" l="0" r="0" t="0"/>
            <wp:docPr descr="Рис. 11: Функция запис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Функция записи</w:t>
      </w:r>
    </w:p>
    <w:p>
      <w:pPr>
        <w:numPr>
          <w:ilvl w:val="0"/>
          <w:numId w:val="1010"/>
        </w:numPr>
      </w:pPr>
      <w:r>
        <w:t xml:space="preserve">read()</w:t>
      </w:r>
    </w:p>
    <w:p>
      <w:pPr>
        <w:numPr>
          <w:ilvl w:val="0"/>
          <w:numId w:val="1010"/>
        </w:numPr>
      </w:pPr>
      <w:r>
        <w:t xml:space="preserve">readline()</w:t>
      </w:r>
    </w:p>
    <w:p>
      <w:pPr>
        <w:numPr>
          <w:ilvl w:val="0"/>
          <w:numId w:val="1010"/>
        </w:numPr>
      </w:pPr>
      <w:r>
        <w:t xml:space="preserve">readdlm() (рис. 11)</w:t>
      </w:r>
    </w:p>
    <w:p>
      <w:pPr>
        <w:pStyle w:val="CaptionedFigure"/>
      </w:pPr>
      <w:bookmarkStart w:id="69" w:name="fig:012"/>
      <w:r>
        <w:drawing>
          <wp:inline>
            <wp:extent cx="5334000" cy="2154115"/>
            <wp:effectExtent b="0" l="0" r="0" t="0"/>
            <wp:docPr descr="Рис. 12: Разные функции чтения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Разные функции чтения</w:t>
      </w:r>
    </w:p>
    <w:p>
      <w:pPr>
        <w:numPr>
          <w:ilvl w:val="0"/>
          <w:numId w:val="1011"/>
        </w:numPr>
      </w:pPr>
      <w:r>
        <w:t xml:space="preserve">print()</w:t>
      </w:r>
    </w:p>
    <w:p>
      <w:pPr>
        <w:numPr>
          <w:ilvl w:val="0"/>
          <w:numId w:val="1011"/>
        </w:numPr>
      </w:pPr>
      <w:r>
        <w:t xml:space="preserve">println()</w:t>
      </w:r>
    </w:p>
    <w:p>
      <w:pPr>
        <w:numPr>
          <w:ilvl w:val="0"/>
          <w:numId w:val="1011"/>
        </w:numPr>
      </w:pPr>
      <w:r>
        <w:t xml:space="preserve">show() (рис. 13)</w:t>
      </w:r>
    </w:p>
    <w:p>
      <w:pPr>
        <w:pStyle w:val="CaptionedFigure"/>
      </w:pPr>
      <w:bookmarkStart w:id="73" w:name="fig:013"/>
      <w:r>
        <w:drawing>
          <wp:inline>
            <wp:extent cx="5334000" cy="1967623"/>
            <wp:effectExtent b="0" l="0" r="0" t="0"/>
            <wp:docPr descr="Рис. 13: Разные функции вывод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Разные функции вывода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Изучила и придумала пример к функции parse(). Эта функция преобразует строковое представление числа в число. (рис. 14)</w:t>
      </w:r>
    </w:p>
    <w:p>
      <w:pPr>
        <w:pStyle w:val="CaptionedFigure"/>
      </w:pPr>
      <w:bookmarkStart w:id="77" w:name="fig:014"/>
      <w:r>
        <w:drawing>
          <wp:inline>
            <wp:extent cx="5334000" cy="2957331"/>
            <wp:effectExtent b="0" l="0" r="0" t="0"/>
            <wp:docPr descr="Рис. 14: Функция parse()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Функция parse()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Попробовала базовые математические операций с разным типом переменных:сложение,вычитание,умножение,деление,возведение в степень,извлечение корня,сравнение,логические операции. Подробно нет смысла описывать, некоторые комментарии будут на скриншоте. Привела свои примеры. (рис. 15) (рис. 16)</w:t>
      </w:r>
    </w:p>
    <w:p>
      <w:pPr>
        <w:pStyle w:val="CaptionedFigure"/>
      </w:pPr>
      <w:bookmarkStart w:id="81" w:name="fig:015"/>
      <w:r>
        <w:drawing>
          <wp:inline>
            <wp:extent cx="5334000" cy="4850946"/>
            <wp:effectExtent b="0" l="0" r="0" t="0"/>
            <wp:docPr descr="Рис. 15: Математические операции 1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Математические операции 1</w:t>
      </w:r>
    </w:p>
    <w:p>
      <w:pPr>
        <w:pStyle w:val="CaptionedFigure"/>
      </w:pPr>
      <w:bookmarkStart w:id="85" w:name="fig:016"/>
      <w:r>
        <w:drawing>
          <wp:inline>
            <wp:extent cx="5334000" cy="4852787"/>
            <wp:effectExtent b="0" l="0" r="0" t="0"/>
            <wp:docPr descr="Рис. 16: Математические операции 2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Математические операции 2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Привела примеры операций над матрицами и векторами: сложение, вычитание, скалярное произведение, транспонирование, умножение наскаляр. (рис. 17) (рис. 18)</w:t>
      </w:r>
    </w:p>
    <w:p>
      <w:pPr>
        <w:pStyle w:val="CaptionedFigure"/>
      </w:pPr>
      <w:bookmarkStart w:id="89" w:name="fig:017"/>
      <w:r>
        <w:drawing>
          <wp:inline>
            <wp:extent cx="5334000" cy="1513990"/>
            <wp:effectExtent b="0" l="0" r="0" t="0"/>
            <wp:docPr descr="Рис. 17: Операции над матрицами 1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Операции над матрицами 1</w:t>
      </w:r>
    </w:p>
    <w:p>
      <w:pPr>
        <w:pStyle w:val="CaptionedFigure"/>
      </w:pPr>
      <w:bookmarkStart w:id="93" w:name="fig:018"/>
      <w:r>
        <w:drawing>
          <wp:inline>
            <wp:extent cx="5334000" cy="1330469"/>
            <wp:effectExtent b="0" l="0" r="0" t="0"/>
            <wp:docPr descr="Рис. 18: Операции над матрицами 2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Операции над матрицами 2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Подготовила рабочее пространство и инструментарий для работы с языком программирования Julia, на простейших примерах познакомилась с основами синтаксиса Julia.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Легиньких Галина Андреевна</dc:creator>
  <dc:language>ru-RU</dc:language>
  <cp:keywords/>
  <dcterms:created xsi:type="dcterms:W3CDTF">2024-11-16T14:07:55Z</dcterms:created>
  <dcterms:modified xsi:type="dcterms:W3CDTF">2024-11-16T14:07:55Z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Julia.Установка и настройка.Основные принципы.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