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130.png" ContentType="image/png"/>
  <Override PartName="/word/media/rId134.png" ContentType="image/png"/>
  <Override PartName="/word/media/rId30.png" ContentType="image/png"/>
  <Override PartName="/word/media/rId138.png" ContentType="image/png"/>
  <Override PartName="/word/media/rId142.png" ContentType="image/png"/>
  <Override PartName="/word/media/rId146.png" ContentType="image/png"/>
  <Override PartName="/word/media/rId15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Линейная</w:t>
      </w:r>
      <w:r>
        <w:t xml:space="preserve"> </w:t>
      </w:r>
      <w:r>
        <w:t xml:space="preserve">алгебра</w:t>
      </w:r>
    </w:p>
    <w:p>
      <w:pPr>
        <w:pStyle w:val="Author"/>
      </w:pPr>
      <w:r>
        <w:t xml:space="preserve">Легиньких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Основной целью работы является изучение возможностей специализированных пакетов Julia для выполнения и оценки эффективности операций над объектами линейной алгебры.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Jupyter Lab, повторите примеры из раздела 4.2.</w:t>
      </w:r>
    </w:p>
    <w:p>
      <w:pPr>
        <w:numPr>
          <w:ilvl w:val="0"/>
          <w:numId w:val="1001"/>
        </w:numPr>
        <w:pStyle w:val="Compact"/>
      </w:pPr>
      <w:r>
        <w:t xml:space="preserve">Выполните задания для самостоятельной работы (раздел 4.4).</w:t>
      </w:r>
    </w:p>
    <w:bookmarkEnd w:id="21"/>
    <w:bookmarkStart w:id="1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Для начала рассмотрела тему</w:t>
      </w:r>
      <w:r>
        <w:t xml:space="preserve"> </w:t>
      </w:r>
      <w:r>
        <w:t xml:space="preserve">“</w:t>
      </w:r>
      <w:r>
        <w:t xml:space="preserve">Поэлементные операции над многомерными массивами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Примеры поэлементной суммы. (рис. 1)</w:t>
      </w:r>
    </w:p>
    <w:p>
      <w:pPr>
        <w:pStyle w:val="CaptionedFigure"/>
      </w:pPr>
      <w:bookmarkStart w:id="25" w:name="fig:001"/>
      <w:r>
        <w:drawing>
          <wp:inline>
            <wp:extent cx="5334000" cy="3541603"/>
            <wp:effectExtent b="0" l="0" r="0" t="0"/>
            <wp:docPr descr="Рис. 1: Поэлементная сумм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1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Поэлементная сумма</w:t>
      </w:r>
    </w:p>
    <w:p>
      <w:pPr>
        <w:pStyle w:val="BodyText"/>
      </w:pPr>
      <w:r>
        <w:t xml:space="preserve">Так же повторила примеры поэлементного произведения. (рис. 2)</w:t>
      </w:r>
    </w:p>
    <w:p>
      <w:pPr>
        <w:pStyle w:val="CaptionedFigure"/>
      </w:pPr>
      <w:bookmarkStart w:id="29" w:name="fig:002"/>
      <w:r>
        <w:drawing>
          <wp:inline>
            <wp:extent cx="5334000" cy="2509274"/>
            <wp:effectExtent b="0" l="0" r="0" t="0"/>
            <wp:docPr descr="Рис. 2: Поэлементное произведение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9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Поэлементное произведение</w:t>
      </w:r>
    </w:p>
    <w:p>
      <w:pPr>
        <w:pStyle w:val="BodyText"/>
      </w:pPr>
      <w:r>
        <w:t xml:space="preserve">Для работы со средними значениями можно воспользоваться возможностями пакета Statistics: (рис. 3)</w:t>
      </w:r>
    </w:p>
    <w:p>
      <w:pPr>
        <w:pStyle w:val="CaptionedFigure"/>
      </w:pPr>
      <w:bookmarkStart w:id="33" w:name="fig:003"/>
      <w:r>
        <w:drawing>
          <wp:inline>
            <wp:extent cx="5334000" cy="3908289"/>
            <wp:effectExtent b="0" l="0" r="0" t="0"/>
            <wp:docPr descr="Рис. 3: mean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8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mean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Далее перешла к рассмотрению примеров по теме</w:t>
      </w:r>
      <w:r>
        <w:t xml:space="preserve"> </w:t>
      </w:r>
      <w:r>
        <w:t xml:space="preserve">“</w:t>
      </w:r>
      <w:r>
        <w:t xml:space="preserve">Транспонирование, след, ранг, определитель и инверсия матрицы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Для выполнения таких операций над матрицами, как транспонирование, диагонализация, определение следа, ранга, определителя матрицы и т.п. можно воспользоваться библиотекой (пакетом) LinearAlgebra: (рис. 4) (рис. 5)</w:t>
      </w:r>
    </w:p>
    <w:p>
      <w:pPr>
        <w:pStyle w:val="CaptionedFigure"/>
      </w:pPr>
      <w:bookmarkStart w:id="37" w:name="fig:004"/>
      <w:r>
        <w:drawing>
          <wp:inline>
            <wp:extent cx="5334000" cy="5126646"/>
            <wp:effectExtent b="0" l="0" r="0" t="0"/>
            <wp:docPr descr="Рис. 4: Транспонирование, след матрицы, извлечение диагональных элементов как массив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6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Транспонирование, след матрицы, извлечение диагональных элементов как массив</w:t>
      </w:r>
    </w:p>
    <w:p>
      <w:pPr>
        <w:pStyle w:val="CaptionedFigure"/>
      </w:pPr>
      <w:bookmarkStart w:id="41" w:name="fig:005"/>
      <w:r>
        <w:drawing>
          <wp:inline>
            <wp:extent cx="5334000" cy="3296610"/>
            <wp:effectExtent b="0" l="0" r="0" t="0"/>
            <wp:docPr descr="Рис. 5: Ранг, инверсия, определитель, псевдобратная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6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Ранг, инверсия, определитель, псевдобратная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Перешла к разделу</w:t>
      </w:r>
      <w:r>
        <w:t xml:space="preserve"> </w:t>
      </w:r>
      <w:r>
        <w:t xml:space="preserve">“</w:t>
      </w:r>
      <w:r>
        <w:t xml:space="preserve">Вычисление нормы векторов и матриц, повороты, вращения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Вычисление евклидовой нормы и p-нормы. (рис. 6)</w:t>
      </w:r>
    </w:p>
    <w:p>
      <w:pPr>
        <w:pStyle w:val="CaptionedFigure"/>
      </w:pPr>
      <w:bookmarkStart w:id="45" w:name="fig:006"/>
      <w:r>
        <w:drawing>
          <wp:inline>
            <wp:extent cx="5334000" cy="2291066"/>
            <wp:effectExtent b="0" l="0" r="0" t="0"/>
            <wp:docPr descr="Рис. 6: Нормы для векторов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1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Нормы для векторов</w:t>
      </w:r>
    </w:p>
    <w:p>
      <w:pPr>
        <w:pStyle w:val="BodyText"/>
      </w:pPr>
      <w:r>
        <w:t xml:space="preserve">Расстояние и угол между двумя векторами X и Y. (рис. 7)</w:t>
      </w:r>
    </w:p>
    <w:p>
      <w:pPr>
        <w:pStyle w:val="CaptionedFigure"/>
      </w:pPr>
      <w:bookmarkStart w:id="49" w:name="fig:007"/>
      <w:r>
        <w:drawing>
          <wp:inline>
            <wp:extent cx="5334000" cy="2173374"/>
            <wp:effectExtent b="0" l="0" r="0" t="0"/>
            <wp:docPr descr="Рис. 7: Два вектор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3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Два вектора</w:t>
      </w:r>
    </w:p>
    <w:p>
      <w:pPr>
        <w:pStyle w:val="BodyText"/>
      </w:pPr>
      <w:r>
        <w:t xml:space="preserve">Вычисление нормы для двумерной матрицы: (рис. 8)</w:t>
      </w:r>
    </w:p>
    <w:p>
      <w:pPr>
        <w:pStyle w:val="CaptionedFigure"/>
      </w:pPr>
      <w:bookmarkStart w:id="53" w:name="fig:008"/>
      <w:r>
        <w:drawing>
          <wp:inline>
            <wp:extent cx="5334000" cy="2362806"/>
            <wp:effectExtent b="0" l="0" r="0" t="0"/>
            <wp:docPr descr="Рис. 8: Нормы для матрицы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Нормы для матрицы</w:t>
      </w:r>
    </w:p>
    <w:p>
      <w:pPr>
        <w:pStyle w:val="BodyText"/>
      </w:pPr>
      <w:r>
        <w:t xml:space="preserve">Повороты матриц. (рис. 9)</w:t>
      </w:r>
    </w:p>
    <w:p>
      <w:pPr>
        <w:pStyle w:val="CaptionedFigure"/>
      </w:pPr>
      <w:bookmarkStart w:id="57" w:name="fig:009"/>
      <w:r>
        <w:drawing>
          <wp:inline>
            <wp:extent cx="5334000" cy="2837234"/>
            <wp:effectExtent b="0" l="0" r="0" t="0"/>
            <wp:docPr descr="Рис. 9: Поворот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7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Поворот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Разобрала примеры раздела ” Матричное умножение, единичная матрица, скалярное произведение”.</w:t>
      </w:r>
    </w:p>
    <w:p>
      <w:pPr>
        <w:pStyle w:val="BodyText"/>
      </w:pPr>
      <w:r>
        <w:t xml:space="preserve">Произведение матриц A и B: (рис. 10)</w:t>
      </w:r>
    </w:p>
    <w:p>
      <w:pPr>
        <w:pStyle w:val="CaptionedFigure"/>
      </w:pPr>
      <w:bookmarkStart w:id="61" w:name="fig:010"/>
      <w:r>
        <w:drawing>
          <wp:inline>
            <wp:extent cx="5334000" cy="3637471"/>
            <wp:effectExtent b="0" l="0" r="0" t="0"/>
            <wp:docPr descr="Рис. 10: Произведение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7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Произведение</w:t>
      </w:r>
    </w:p>
    <w:p>
      <w:pPr>
        <w:pStyle w:val="BodyText"/>
      </w:pPr>
      <w:r>
        <w:t xml:space="preserve">Скалярное произведение векторов X и Y: (рис. 11)</w:t>
      </w:r>
    </w:p>
    <w:p>
      <w:pPr>
        <w:pStyle w:val="CaptionedFigure"/>
      </w:pPr>
      <w:bookmarkStart w:id="65" w:name="fig:011"/>
      <w:r>
        <w:drawing>
          <wp:inline>
            <wp:extent cx="5334000" cy="1462434"/>
            <wp:effectExtent b="0" l="0" r="0" t="0"/>
            <wp:docPr descr="Рис. 11: Скалярное произведение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2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Скалярное произведение</w:t>
      </w: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t xml:space="preserve">Далее тема</w:t>
      </w:r>
      <w:r>
        <w:t xml:space="preserve"> </w:t>
      </w:r>
      <w:r>
        <w:t xml:space="preserve">“</w:t>
      </w:r>
      <w:r>
        <w:t xml:space="preserve">Факторизация. Специальные матричные структуры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Решение систем линейный алгебраических уравнений 𝐴𝑥 = 𝑏: (рис. 12)</w:t>
      </w:r>
    </w:p>
    <w:p>
      <w:pPr>
        <w:pStyle w:val="CaptionedFigure"/>
      </w:pPr>
      <w:bookmarkStart w:id="69" w:name="fig:012"/>
      <w:r>
        <w:drawing>
          <wp:inline>
            <wp:extent cx="5334000" cy="4004056"/>
            <wp:effectExtent b="0" l="0" r="0" t="0"/>
            <wp:docPr descr="Рис. 12: Ax = b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4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Ax = b</w:t>
      </w:r>
    </w:p>
    <w:p>
      <w:pPr>
        <w:pStyle w:val="BodyText"/>
      </w:pPr>
      <w:r>
        <w:t xml:space="preserve">Julia позволяет вычислять LU-факторизацию и определяет составной тип факторизации для его хранения: (рис. 13)</w:t>
      </w:r>
    </w:p>
    <w:p>
      <w:pPr>
        <w:pStyle w:val="CaptionedFigure"/>
      </w:pPr>
      <w:bookmarkStart w:id="73" w:name="fig:013"/>
      <w:r>
        <w:drawing>
          <wp:inline>
            <wp:extent cx="5334000" cy="5657490"/>
            <wp:effectExtent b="0" l="0" r="0" t="0"/>
            <wp:docPr descr="Рис. 13: LU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7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LU</w:t>
      </w:r>
    </w:p>
    <w:p>
      <w:pPr>
        <w:pStyle w:val="BodyText"/>
      </w:pPr>
      <w:r>
        <w:t xml:space="preserve">Исходная система уравнений 𝐴𝑥 = 𝑏 может быть решена или с использованием исходной матрицы, или с использованием объекта факторизации: (рис. 14)</w:t>
      </w:r>
    </w:p>
    <w:p>
      <w:pPr>
        <w:pStyle w:val="CaptionedFigure"/>
      </w:pPr>
      <w:bookmarkStart w:id="77" w:name="fig:014"/>
      <w:r>
        <w:drawing>
          <wp:inline>
            <wp:extent cx="5334000" cy="3134339"/>
            <wp:effectExtent b="0" l="0" r="0" t="0"/>
            <wp:docPr descr="Рис. 14: СЛАУ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4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СЛАУ</w:t>
      </w:r>
    </w:p>
    <w:p>
      <w:pPr>
        <w:pStyle w:val="BodyText"/>
      </w:pPr>
      <w:r>
        <w:t xml:space="preserve">Julia позволяет вычислять QR-факторизацию и определяет составной тип факторизации для его хранения: (рис. 15)</w:t>
      </w:r>
    </w:p>
    <w:p>
      <w:pPr>
        <w:pStyle w:val="CaptionedFigure"/>
      </w:pPr>
      <w:bookmarkStart w:id="81" w:name="fig:015"/>
      <w:r>
        <w:drawing>
          <wp:inline>
            <wp:extent cx="5334000" cy="3876700"/>
            <wp:effectExtent b="0" l="0" r="0" t="0"/>
            <wp:docPr descr="Рис. 15: QR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QR</w:t>
      </w:r>
    </w:p>
    <w:p>
      <w:pPr>
        <w:pStyle w:val="BodyText"/>
      </w:pPr>
      <w:r>
        <w:t xml:space="preserve">Примеры собственной декомпозиции матрицы 𝐴: (рис. 16)</w:t>
      </w:r>
    </w:p>
    <w:p>
      <w:pPr>
        <w:pStyle w:val="CaptionedFigure"/>
      </w:pPr>
      <w:bookmarkStart w:id="85" w:name="fig:016"/>
      <w:r>
        <w:drawing>
          <wp:inline>
            <wp:extent cx="5334000" cy="5510856"/>
            <wp:effectExtent b="0" l="0" r="0" t="0"/>
            <wp:docPr descr="Рис. 16: Декомпозиция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0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Декомпозиция</w:t>
      </w:r>
    </w:p>
    <w:p>
      <w:pPr>
        <w:pStyle w:val="BodyText"/>
      </w:pPr>
      <w:r>
        <w:t xml:space="preserve">Далее рассмотрим примеры работы с матрицами большой размерности и специальной структуры. (рис. 17)</w:t>
      </w:r>
    </w:p>
    <w:p>
      <w:pPr>
        <w:pStyle w:val="CaptionedFigure"/>
      </w:pPr>
      <w:bookmarkStart w:id="89" w:name="fig:017"/>
      <w:r>
        <w:drawing>
          <wp:inline>
            <wp:extent cx="5334000" cy="3602544"/>
            <wp:effectExtent b="0" l="0" r="0" t="0"/>
            <wp:docPr descr="Рис. 17: Большие матрицы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Большие матрицы</w:t>
      </w:r>
    </w:p>
    <w:p>
      <w:pPr>
        <w:pStyle w:val="BodyText"/>
      </w:pPr>
      <w:r>
        <w:t xml:space="preserve">Пример добавления шума в симметричную матрицу (матрица уже не будет симметричной): (рис. 18)</w:t>
      </w:r>
    </w:p>
    <w:p>
      <w:pPr>
        <w:pStyle w:val="CaptionedFigure"/>
      </w:pPr>
      <w:bookmarkStart w:id="93" w:name="fig:018"/>
      <w:r>
        <w:drawing>
          <wp:inline>
            <wp:extent cx="5334000" cy="3674533"/>
            <wp:effectExtent b="0" l="0" r="0" t="0"/>
            <wp:docPr descr="Рис. 18: Добавление шума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4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Добавление шума</w:t>
      </w:r>
    </w:p>
    <w:p>
      <w:pPr>
        <w:pStyle w:val="BodyText"/>
      </w:pPr>
      <w:r>
        <w:t xml:space="preserve">В Julia можно объявить структуру матрица явно, например, используя Diagonal, Triangular, Symmetric, Hermitian, Tridiagonal и SymTridiagonal: (рис. 19)</w:t>
      </w:r>
    </w:p>
    <w:p>
      <w:pPr>
        <w:pStyle w:val="CaptionedFigure"/>
      </w:pPr>
      <w:bookmarkStart w:id="97" w:name="fig:019"/>
      <w:r>
        <w:drawing>
          <wp:inline>
            <wp:extent cx="5334000" cy="2543591"/>
            <wp:effectExtent b="0" l="0" r="0" t="0"/>
            <wp:docPr descr="Рис. 19: Структура матрицы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3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Структура матрицы</w:t>
      </w:r>
    </w:p>
    <w:p>
      <w:pPr>
        <w:pStyle w:val="BodyText"/>
      </w:pPr>
      <w:r>
        <w:t xml:space="preserve">Далее для оценки эффективности выполнения операций над матрицами большой размерности и специальной структуры воспользуемся пакетом BenchmarkTools: (рис. 20)</w:t>
      </w:r>
    </w:p>
    <w:p>
      <w:pPr>
        <w:pStyle w:val="CaptionedFigure"/>
      </w:pPr>
      <w:bookmarkStart w:id="101" w:name="fig:020"/>
      <w:r>
        <w:drawing>
          <wp:inline>
            <wp:extent cx="5334000" cy="3975870"/>
            <wp:effectExtent b="0" l="0" r="0" t="0"/>
            <wp:docPr descr="Рис. 20: Эффективность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5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20: Эффективность</w:t>
      </w:r>
    </w:p>
    <w:p>
      <w:pPr>
        <w:pStyle w:val="BodyText"/>
      </w:pPr>
      <w:r>
        <w:t xml:space="preserve">Использование типов Tridiagonal и SymTridiagonal для хранения трёхдиагональных матриц позволяет работать с потенциально очень большими трёхдиагональными матрицами: (рис. 21)</w:t>
      </w:r>
    </w:p>
    <w:p>
      <w:pPr>
        <w:pStyle w:val="CaptionedFigure"/>
      </w:pPr>
      <w:bookmarkStart w:id="105" w:name="fig:021"/>
      <w:r>
        <w:drawing>
          <wp:inline>
            <wp:extent cx="5334000" cy="5460331"/>
            <wp:effectExtent b="0" l="0" r="0" t="0"/>
            <wp:docPr descr="Рис. 21: Трёхдиагональные матрицы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0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21: Трёхдиагональные матрицы</w:t>
      </w:r>
    </w:p>
    <w:p>
      <w:pPr>
        <w:pStyle w:val="BodyText"/>
      </w:pPr>
      <w:r>
        <w:rPr>
          <w:bCs/>
          <w:b/>
        </w:rPr>
        <w:t xml:space="preserve">6.</w:t>
      </w:r>
      <w:r>
        <w:t xml:space="preserve"> </w:t>
      </w:r>
      <w:r>
        <w:t xml:space="preserve">Следующий раздел</w:t>
      </w:r>
      <w:r>
        <w:t xml:space="preserve"> </w:t>
      </w:r>
      <w:r>
        <w:t xml:space="preserve">“</w:t>
      </w:r>
      <w:r>
        <w:t xml:space="preserve">Общая линейная алгебра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В следующем примере показано, как можно решить систему линейных уравнений с рациональными элементами без преобразования в типы элементов с плавающей запятой (для избежания проблемы с переполнением используем BigInt): (рис. 22) (рис. 23)</w:t>
      </w:r>
    </w:p>
    <w:p>
      <w:pPr>
        <w:pStyle w:val="CaptionedFigure"/>
      </w:pPr>
      <w:bookmarkStart w:id="109" w:name="fig:022"/>
      <w:r>
        <w:drawing>
          <wp:inline>
            <wp:extent cx="5334000" cy="3906493"/>
            <wp:effectExtent b="0" l="0" r="0" t="0"/>
            <wp:docPr descr="Рис. 22: Рационыльные элементы 1" title="" id="107" name="Picture"/>
            <a:graphic>
              <a:graphicData uri="http://schemas.openxmlformats.org/drawingml/2006/picture">
                <pic:pic>
                  <pic:nvPicPr>
                    <pic:cNvPr descr="image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6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Рис. 22: Рационыльные элементы 1</w:t>
      </w:r>
    </w:p>
    <w:p>
      <w:pPr>
        <w:pStyle w:val="CaptionedFigure"/>
      </w:pPr>
      <w:bookmarkStart w:id="113" w:name="fig:023"/>
      <w:r>
        <w:drawing>
          <wp:inline>
            <wp:extent cx="5334000" cy="1778000"/>
            <wp:effectExtent b="0" l="0" r="0" t="0"/>
            <wp:docPr descr="Рис. 23: Рационыльные элементы 2" title="" id="111" name="Picture"/>
            <a:graphic>
              <a:graphicData uri="http://schemas.openxmlformats.org/drawingml/2006/picture">
                <pic:pic>
                  <pic:nvPicPr>
                    <pic:cNvPr descr="image/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Рис. 23: Рационыльные элементы 2</w:t>
      </w:r>
    </w:p>
    <w:p>
      <w:pPr>
        <w:pStyle w:val="BodyText"/>
      </w:pPr>
      <w:r>
        <w:rPr>
          <w:bCs/>
          <w:b/>
        </w:rPr>
        <w:t xml:space="preserve">7.</w:t>
      </w:r>
      <w:r>
        <w:t xml:space="preserve"> </w:t>
      </w:r>
      <w:r>
        <w:t xml:space="preserve">Перешла к выполнению задания для самостоятельного выполнения. Переписывать задания не буду. Нумерация сохраняется.</w:t>
      </w:r>
    </w:p>
    <w:p>
      <w:pPr>
        <w:numPr>
          <w:ilvl w:val="0"/>
          <w:numId w:val="1002"/>
        </w:numPr>
        <w:pStyle w:val="Compact"/>
      </w:pPr>
      <w:r>
        <w:t xml:space="preserve">Задание 1.1 - 1.2 (рис. 24)</w:t>
      </w:r>
    </w:p>
    <w:p>
      <w:pPr>
        <w:pStyle w:val="CaptionedFigure"/>
      </w:pPr>
      <w:bookmarkStart w:id="117" w:name="fig:024"/>
      <w:r>
        <w:drawing>
          <wp:inline>
            <wp:extent cx="5334000" cy="1707723"/>
            <wp:effectExtent b="0" l="0" r="0" t="0"/>
            <wp:docPr descr="Рис. 24: Задание 1.1 - 1.2" title="" id="115" name="Picture"/>
            <a:graphic>
              <a:graphicData uri="http://schemas.openxmlformats.org/drawingml/2006/picture">
                <pic:pic>
                  <pic:nvPicPr>
                    <pic:cNvPr descr="image/2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7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Рис. 24: Задание 1.1 - 1.2</w:t>
      </w:r>
    </w:p>
    <w:p>
      <w:pPr>
        <w:numPr>
          <w:ilvl w:val="0"/>
          <w:numId w:val="1003"/>
        </w:numPr>
        <w:pStyle w:val="Compact"/>
      </w:pPr>
      <w:r>
        <w:t xml:space="preserve">Задание 2.1.a - 2.1.e (рис. 25)</w:t>
      </w:r>
    </w:p>
    <w:p>
      <w:pPr>
        <w:pStyle w:val="CaptionedFigure"/>
      </w:pPr>
      <w:bookmarkStart w:id="121" w:name="fig:025"/>
      <w:r>
        <w:drawing>
          <wp:inline>
            <wp:extent cx="5334000" cy="5482362"/>
            <wp:effectExtent b="0" l="0" r="0" t="0"/>
            <wp:docPr descr="Рис. 25: Задание 2.1.a - 2.1.e" title="" id="119" name="Picture"/>
            <a:graphic>
              <a:graphicData uri="http://schemas.openxmlformats.org/drawingml/2006/picture">
                <pic:pic>
                  <pic:nvPicPr>
                    <pic:cNvPr descr="image/25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2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Рис. 25: Задание 2.1.a - 2.1.e</w:t>
      </w:r>
    </w:p>
    <w:p>
      <w:pPr>
        <w:numPr>
          <w:ilvl w:val="0"/>
          <w:numId w:val="1004"/>
        </w:numPr>
        <w:pStyle w:val="Compact"/>
      </w:pPr>
      <w:r>
        <w:t xml:space="preserve">Задание 2.1.f (рис. 26)</w:t>
      </w:r>
    </w:p>
    <w:p>
      <w:pPr>
        <w:pStyle w:val="CaptionedFigure"/>
      </w:pPr>
      <w:bookmarkStart w:id="125" w:name="fig:026"/>
      <w:r>
        <w:drawing>
          <wp:inline>
            <wp:extent cx="5334000" cy="1071027"/>
            <wp:effectExtent b="0" l="0" r="0" t="0"/>
            <wp:docPr descr="Рис. 26: Задание 2.1.f" title="" id="123" name="Picture"/>
            <a:graphic>
              <a:graphicData uri="http://schemas.openxmlformats.org/drawingml/2006/picture">
                <pic:pic>
                  <pic:nvPicPr>
                    <pic:cNvPr descr="image/26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1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t xml:space="preserve">Рис. 26: Задание 2.1.f</w:t>
      </w:r>
    </w:p>
    <w:p>
      <w:pPr>
        <w:numPr>
          <w:ilvl w:val="0"/>
          <w:numId w:val="1005"/>
        </w:numPr>
        <w:pStyle w:val="Compact"/>
      </w:pPr>
      <w:r>
        <w:t xml:space="preserve">Задание 2.2.a - 2.2.d (рис. 27)</w:t>
      </w:r>
    </w:p>
    <w:p>
      <w:pPr>
        <w:pStyle w:val="CaptionedFigure"/>
      </w:pPr>
      <w:bookmarkStart w:id="129" w:name="fig:027"/>
      <w:r>
        <w:drawing>
          <wp:inline>
            <wp:extent cx="5334000" cy="4828673"/>
            <wp:effectExtent b="0" l="0" r="0" t="0"/>
            <wp:docPr descr="Рис. 27: Задание 2.2.a - 2.2.d" title="" id="127" name="Picture"/>
            <a:graphic>
              <a:graphicData uri="http://schemas.openxmlformats.org/drawingml/2006/picture">
                <pic:pic>
                  <pic:nvPicPr>
                    <pic:cNvPr descr="image/27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8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pStyle w:val="ImageCaption"/>
      </w:pPr>
      <w:r>
        <w:t xml:space="preserve">Рис. 27: Задание 2.2.a - 2.2.d</w:t>
      </w:r>
    </w:p>
    <w:p>
      <w:pPr>
        <w:numPr>
          <w:ilvl w:val="0"/>
          <w:numId w:val="1006"/>
        </w:numPr>
        <w:pStyle w:val="Compact"/>
      </w:pPr>
      <w:r>
        <w:t xml:space="preserve">Задание 3.1.a - 3.1.c (рис. 28)</w:t>
      </w:r>
    </w:p>
    <w:p>
      <w:pPr>
        <w:pStyle w:val="CaptionedFigure"/>
      </w:pPr>
      <w:bookmarkStart w:id="133" w:name="fig:028"/>
      <w:r>
        <w:drawing>
          <wp:inline>
            <wp:extent cx="5334000" cy="3365500"/>
            <wp:effectExtent b="0" l="0" r="0" t="0"/>
            <wp:docPr descr="Рис. 28: Задание 3.1.a - 3.1.c" title="" id="131" name="Picture"/>
            <a:graphic>
              <a:graphicData uri="http://schemas.openxmlformats.org/drawingml/2006/picture">
                <pic:pic>
                  <pic:nvPicPr>
                    <pic:cNvPr descr="image/28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</w:p>
    <w:p>
      <w:pPr>
        <w:pStyle w:val="ImageCaption"/>
      </w:pPr>
      <w:r>
        <w:t xml:space="preserve">Рис. 28: Задание 3.1.a - 3.1.c</w:t>
      </w:r>
    </w:p>
    <w:p>
      <w:pPr>
        <w:numPr>
          <w:ilvl w:val="0"/>
          <w:numId w:val="1007"/>
        </w:numPr>
        <w:pStyle w:val="Compact"/>
      </w:pPr>
      <w:r>
        <w:t xml:space="preserve">Задание 3.2.a - 3.2.d (рис. 29)</w:t>
      </w:r>
    </w:p>
    <w:p>
      <w:pPr>
        <w:pStyle w:val="CaptionedFigure"/>
      </w:pPr>
      <w:bookmarkStart w:id="137" w:name="fig:029"/>
      <w:r>
        <w:drawing>
          <wp:inline>
            <wp:extent cx="5334000" cy="3836241"/>
            <wp:effectExtent b="0" l="0" r="0" t="0"/>
            <wp:docPr descr="Рис. 29: Задание 3.2.a - 3.2.d" title="" id="135" name="Picture"/>
            <a:graphic>
              <a:graphicData uri="http://schemas.openxmlformats.org/drawingml/2006/picture">
                <pic:pic>
                  <pic:nvPicPr>
                    <pic:cNvPr descr="image/29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6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"/>
    </w:p>
    <w:p>
      <w:pPr>
        <w:pStyle w:val="ImageCaption"/>
      </w:pPr>
      <w:r>
        <w:t xml:space="preserve">Рис. 29: Задание 3.2.a - 3.2.d</w:t>
      </w:r>
    </w:p>
    <w:p>
      <w:pPr>
        <w:numPr>
          <w:ilvl w:val="0"/>
          <w:numId w:val="1008"/>
        </w:numPr>
        <w:pStyle w:val="Compact"/>
      </w:pPr>
      <w:r>
        <w:t xml:space="preserve">Задание 3.3 (рис. 30)</w:t>
      </w:r>
    </w:p>
    <w:p>
      <w:pPr>
        <w:pStyle w:val="CaptionedFigure"/>
      </w:pPr>
      <w:bookmarkStart w:id="141" w:name="fig:030"/>
      <w:r>
        <w:drawing>
          <wp:inline>
            <wp:extent cx="5334000" cy="4933949"/>
            <wp:effectExtent b="0" l="0" r="0" t="0"/>
            <wp:docPr descr="Рис. 30: Задание 3.3" title="" id="139" name="Picture"/>
            <a:graphic>
              <a:graphicData uri="http://schemas.openxmlformats.org/drawingml/2006/picture">
                <pic:pic>
                  <pic:nvPicPr>
                    <pic:cNvPr descr="image/30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3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1"/>
    </w:p>
    <w:p>
      <w:pPr>
        <w:pStyle w:val="ImageCaption"/>
      </w:pPr>
      <w:r>
        <w:t xml:space="preserve">Рис. 30: Задание 3.3</w:t>
      </w:r>
    </w:p>
    <w:p>
      <w:pPr>
        <w:numPr>
          <w:ilvl w:val="0"/>
          <w:numId w:val="1009"/>
        </w:numPr>
        <w:pStyle w:val="Compact"/>
      </w:pPr>
      <w:r>
        <w:t xml:space="preserve">Задание 4.1 (рис. 31)</w:t>
      </w:r>
    </w:p>
    <w:p>
      <w:pPr>
        <w:pStyle w:val="CaptionedFigure"/>
      </w:pPr>
      <w:bookmarkStart w:id="145" w:name="fig:031"/>
      <w:r>
        <w:drawing>
          <wp:inline>
            <wp:extent cx="5334000" cy="3830265"/>
            <wp:effectExtent b="0" l="0" r="0" t="0"/>
            <wp:docPr descr="Рис. 31: Задание 4.1" title="" id="143" name="Picture"/>
            <a:graphic>
              <a:graphicData uri="http://schemas.openxmlformats.org/drawingml/2006/picture">
                <pic:pic>
                  <pic:nvPicPr>
                    <pic:cNvPr descr="image/31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0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5"/>
    </w:p>
    <w:p>
      <w:pPr>
        <w:pStyle w:val="ImageCaption"/>
      </w:pPr>
      <w:r>
        <w:t xml:space="preserve">Рис. 31: Задание 4.1</w:t>
      </w:r>
    </w:p>
    <w:p>
      <w:pPr>
        <w:numPr>
          <w:ilvl w:val="0"/>
          <w:numId w:val="1010"/>
        </w:numPr>
        <w:pStyle w:val="Compact"/>
      </w:pPr>
      <w:r>
        <w:t xml:space="preserve">Задание 4.2 (рис. 32)</w:t>
      </w:r>
    </w:p>
    <w:p>
      <w:pPr>
        <w:pStyle w:val="CaptionedFigure"/>
      </w:pPr>
      <w:bookmarkStart w:id="149" w:name="fig:032"/>
      <w:r>
        <w:drawing>
          <wp:inline>
            <wp:extent cx="5334000" cy="3680813"/>
            <wp:effectExtent b="0" l="0" r="0" t="0"/>
            <wp:docPr descr="Рис. 32: Задание 4.2" title="" id="147" name="Picture"/>
            <a:graphic>
              <a:graphicData uri="http://schemas.openxmlformats.org/drawingml/2006/picture">
                <pic:pic>
                  <pic:nvPicPr>
                    <pic:cNvPr descr="image/32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0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9"/>
    </w:p>
    <w:p>
      <w:pPr>
        <w:pStyle w:val="ImageCaption"/>
      </w:pPr>
      <w:r>
        <w:t xml:space="preserve">Рис. 32: Задание 4.2</w:t>
      </w:r>
    </w:p>
    <w:p>
      <w:pPr>
        <w:numPr>
          <w:ilvl w:val="0"/>
          <w:numId w:val="1011"/>
        </w:numPr>
        <w:pStyle w:val="Compact"/>
      </w:pPr>
      <w:r>
        <w:t xml:space="preserve">Задание 4.3 (рис. 33)</w:t>
      </w:r>
    </w:p>
    <w:p>
      <w:pPr>
        <w:pStyle w:val="CaptionedFigure"/>
      </w:pPr>
      <w:bookmarkStart w:id="153" w:name="fig:033"/>
      <w:r>
        <w:drawing>
          <wp:inline>
            <wp:extent cx="5334000" cy="3739444"/>
            <wp:effectExtent b="0" l="0" r="0" t="0"/>
            <wp:docPr descr="Рис. 33: Задание 4.3" title="" id="151" name="Picture"/>
            <a:graphic>
              <a:graphicData uri="http://schemas.openxmlformats.org/drawingml/2006/picture">
                <pic:pic>
                  <pic:nvPicPr>
                    <pic:cNvPr descr="image/33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9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3"/>
    </w:p>
    <w:p>
      <w:pPr>
        <w:pStyle w:val="ImageCaption"/>
      </w:pPr>
      <w:r>
        <w:t xml:space="preserve">Рис. 33: Задание 4.3</w:t>
      </w:r>
    </w:p>
    <w:bookmarkEnd w:id="154"/>
    <w:bookmarkStart w:id="15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Изучила возможности специализированных пакетов Julia для выполнения и оценки эффективности операций над объектами линейной алгебры.</w:t>
      </w:r>
    </w:p>
    <w:bookmarkEnd w:id="1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30" Target="media/rId30.png" /><Relationship Type="http://schemas.openxmlformats.org/officeDocument/2006/relationships/image" Id="rId138" Target="media/rId138.png" /><Relationship Type="http://schemas.openxmlformats.org/officeDocument/2006/relationships/image" Id="rId142" Target="media/rId142.png" /><Relationship Type="http://schemas.openxmlformats.org/officeDocument/2006/relationships/image" Id="rId146" Target="media/rId146.png" /><Relationship Type="http://schemas.openxmlformats.org/officeDocument/2006/relationships/image" Id="rId150" Target="media/rId15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Легиньких Галина Андреевна</dc:creator>
  <dc:language>ru-RU</dc:language>
  <cp:keywords/>
  <dcterms:created xsi:type="dcterms:W3CDTF">2024-12-07T12:32:01Z</dcterms:created>
  <dcterms:modified xsi:type="dcterms:W3CDTF">2024-12-07T12:32:01Z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Рис.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Листинг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Список иллюстраций</vt:lpwstr>
  </property>
  <property fmtid="{D5CDD505-2E9C-101B-9397-08002B2CF9AE}" pid="38" name="lolTitle">
    <vt:lpwstr>Листинги</vt:lpwstr>
  </property>
  <property fmtid="{D5CDD505-2E9C-101B-9397-08002B2CF9AE}" pid="39" name="lot">
    <vt:lpwstr>True</vt:lpwstr>
  </property>
  <property fmtid="{D5CDD505-2E9C-101B-9397-08002B2CF9AE}" pid="40" name="lotTitle">
    <vt:lpwstr>Список таблиц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Линейная алгебра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Таблица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depth">
    <vt:lpwstr>2</vt:lpwstr>
  </property>
  <property fmtid="{D5CDD505-2E9C-101B-9397-08002B2CF9AE}" pid="82" name="toc-title">
    <vt:lpwstr>Содержание</vt:lpwstr>
  </property>
</Properties>
</file>