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данными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специализированных пакетов Julia для обработки данных.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7.2.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7.4).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повторила примеры по данной теме. Начала с раздела считывание данных.</w:t>
      </w:r>
      <w:r>
        <w:t xml:space="preserve"> </w:t>
      </w:r>
      <w:r>
        <w:t xml:space="preserve">В Julia для работы с такого рода структурами данных используют пакеты CSV, DataFrames, RDatasets, FileIO. Скачала эти пакеты и попробовала прочитать данные из скаченного датафрейма.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5" w:name="fig:001"/>
      <w:r>
        <w:drawing>
          <wp:inline>
            <wp:extent cx="5334000" cy="2458640"/>
            <wp:effectExtent b="0" l="0" r="0" t="0"/>
            <wp:docPr descr="Рис. 1: Считывание данных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Считывание данных</w:t>
      </w:r>
    </w:p>
    <w:p>
      <w:pPr>
        <w:pStyle w:val="BodyText"/>
      </w:pPr>
      <w:r>
        <w:t xml:space="preserve">Далее приведём пример функции, в которой на входе указывается название языка программирования, а на выходе — год его создания.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29" w:name="fig:002"/>
      <w:r>
        <w:drawing>
          <wp:inline>
            <wp:extent cx="5334000" cy="1988708"/>
            <wp:effectExtent b="0" l="0" r="0" t="0"/>
            <wp:docPr descr="Рис. 2: Функция язык-год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Функция язык-год</w:t>
      </w:r>
    </w:p>
    <w:p>
      <w:pPr>
        <w:pStyle w:val="BodyText"/>
      </w:pPr>
      <w:r>
        <w:t xml:space="preserve">При этом, чтобы убрать в функции зависимость данных от регистра, необходимо изменить исходную функцию следующим образом.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33" w:name="fig:003"/>
      <w:r>
        <w:drawing>
          <wp:inline>
            <wp:extent cx="5334000" cy="2068430"/>
            <wp:effectExtent b="0" l="0" r="0" t="0"/>
            <wp:docPr descr="Рис. 3: Зависимость от регист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Зависимость от регистра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Далее попробовала записать данные в файл, а так же задала при сохранении тип файла и разделитель.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При работе с данными бывает удобно записать их в формате словаря.При инициализации словаря можно задать конкретные типы данных для ключей и значений,а можно инициировать пустой словарь, не задавая строго структуру.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37" w:name="fig:004"/>
      <w:r>
        <w:drawing>
          <wp:inline>
            <wp:extent cx="5334000" cy="2429132"/>
            <wp:effectExtent b="0" l="0" r="0" t="0"/>
            <wp:docPr descr="Рис. 4: Инициализация словар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Инициализация словаря</w:t>
      </w:r>
    </w:p>
    <w:p>
      <w:pPr>
        <w:pStyle w:val="BodyText"/>
      </w:pPr>
      <w:r>
        <w:t xml:space="preserve">В результате при вызове словаря можно, выбрав любой год, узнать, какие языки программирования были созданы в этом году.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5334000" cy="2848114"/>
            <wp:effectExtent b="0" l="0" r="0" t="0"/>
            <wp:docPr descr="Рис. 5: Работа со словарем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Работа со словарем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 примере с данными о языках программирования и годах их создания зададим структуру DataFrame. Попробовала вывести один столбец.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5" w:name="fig:006"/>
      <w:r>
        <w:drawing>
          <wp:inline>
            <wp:extent cx="5334000" cy="2259931"/>
            <wp:effectExtent b="0" l="0" r="0" t="0"/>
            <wp:docPr descr="Рис. 6: Переменная со структурой датафрейм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Переменная со структурой датафрейм</w:t>
      </w:r>
    </w:p>
    <w:p>
      <w:pPr>
        <w:pStyle w:val="BodyText"/>
      </w:pPr>
      <w:r>
        <w:t xml:space="preserve">А так же получила статистические сведения о фрейме.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49" w:name="fig:007"/>
      <w:r>
        <w:drawing>
          <wp:inline>
            <wp:extent cx="5334000" cy="2423904"/>
            <wp:effectExtent b="0" l="0" r="0" t="0"/>
            <wp:docPr descr="Рис. 7: Статистические сведения о фрейме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Статистические сведения о фрейме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данными можно работать также как с наборами данных через пакет RDatasets языка R.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Попробовала порабоать с переменными отсутствующего типа. (рис. 8)</w:t>
      </w:r>
    </w:p>
    <w:p>
      <w:pPr>
        <w:pStyle w:val="CaptionedFigure"/>
      </w:pPr>
      <w:bookmarkStart w:id="53" w:name="fig:008"/>
      <w:r>
        <w:drawing>
          <wp:inline>
            <wp:extent cx="5334000" cy="1292220"/>
            <wp:effectExtent b="0" l="0" r="0" t="0"/>
            <wp:docPr descr="Рис. 8: Переменная отсутсвующего тип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Переменная отсутсвующего типа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Перешла к обработке данных. И первый метод это метод k-средних.</w:t>
      </w:r>
      <w:r>
        <w:t xml:space="preserve"> </w:t>
      </w:r>
      <w:r>
        <w:t xml:space="preserve">Задача кластеризации данных заключается в формировании однородной группы упорядоченных по какому-то признаку данных.</w:t>
      </w:r>
      <w:r>
        <w:t xml:space="preserve"> </w:t>
      </w:r>
      <w:r>
        <w:t xml:space="preserve">Метод k-средних позволяет минимизировать суммарное квадратичное отклонение точек кластеров от центров этих кластеров. Рассмотрела задачу кластеризации данных на примере данных о недвижимости. (рис. 9) (рис. 10) (рис. 11)</w:t>
      </w:r>
    </w:p>
    <w:p>
      <w:pPr>
        <w:pStyle w:val="CaptionedFigure"/>
      </w:pPr>
      <w:bookmarkStart w:id="57" w:name="fig:009"/>
      <w:r>
        <w:drawing>
          <wp:inline>
            <wp:extent cx="5334000" cy="3910641"/>
            <wp:effectExtent b="0" l="0" r="0" t="0"/>
            <wp:docPr descr="Рис. 9: Кластеризация данных на примере данных о недвижимост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Кластеризация данных на примере данных о недвижимости</w:t>
      </w:r>
    </w:p>
    <w:p>
      <w:pPr>
        <w:pStyle w:val="CaptionedFigure"/>
      </w:pPr>
      <w:bookmarkStart w:id="61" w:name="fig:010"/>
      <w:r>
        <w:drawing>
          <wp:inline>
            <wp:extent cx="5334000" cy="4955042"/>
            <wp:effectExtent b="0" l="0" r="0" t="0"/>
            <wp:docPr descr="Рис. 10: Цены на недвижимость в зависимости от площад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Цены на недвижимость в зависимости от площади</w:t>
      </w:r>
    </w:p>
    <w:p>
      <w:pPr>
        <w:pStyle w:val="CaptionedFigure"/>
      </w:pPr>
      <w:bookmarkStart w:id="65" w:name="fig:011"/>
      <w:r>
        <w:drawing>
          <wp:inline>
            <wp:extent cx="5334000" cy="5089255"/>
            <wp:effectExtent b="0" l="0" r="0" t="0"/>
            <wp:docPr descr="Рис. 11: Цены на недвижимость в зависимости от площади (исключены артефакты данных)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Цены на недвижимость в зависимости от площади (исключены артефакты данных)</w:t>
      </w:r>
    </w:p>
    <w:p>
      <w:pPr>
        <w:pStyle w:val="BodyText"/>
      </w:pPr>
      <w:r>
        <w:t xml:space="preserve">Сначала подключаем необходимые пакеты и формируем данные в нужном виде: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2232352"/>
            <wp:effectExtent b="0" l="0" r="0" t="0"/>
            <wp:docPr descr="Рис. 12: Добавление данных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Добавление данных</w:t>
      </w:r>
    </w:p>
    <w:p>
      <w:pPr>
        <w:pStyle w:val="CaptionedFigure"/>
      </w:pPr>
      <w:bookmarkStart w:id="73" w:name="fig:013"/>
      <w:r>
        <w:drawing>
          <wp:inline>
            <wp:extent cx="5334000" cy="2113335"/>
            <wp:effectExtent b="0" l="0" r="0" t="0"/>
            <wp:docPr descr="Рис. 13: Конвертация данных в матричный вид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Конвертация данных в матричный вид</w:t>
      </w:r>
    </w:p>
    <w:p>
      <w:pPr>
        <w:pStyle w:val="BodyText"/>
      </w:pPr>
      <w:r>
        <w:t xml:space="preserve">В качестве критерия для формирования кластеров данных и определения количества кластеров попробуем использовать количество почтовых индексов: (рис. 14)</w:t>
      </w:r>
    </w:p>
    <w:p>
      <w:pPr>
        <w:pStyle w:val="CaptionedFigure"/>
      </w:pPr>
      <w:bookmarkStart w:id="77" w:name="fig:014"/>
      <w:r>
        <w:drawing>
          <wp:inline>
            <wp:extent cx="5334000" cy="1187732"/>
            <wp:effectExtent b="0" l="0" r="0" t="0"/>
            <wp:docPr descr="Рис. 14: Задание количества кластеров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Задание количества кластеров</w:t>
      </w:r>
    </w:p>
    <w:p>
      <w:pPr>
        <w:pStyle w:val="BodyText"/>
      </w:pPr>
      <w:r>
        <w:t xml:space="preserve">Далее сформируем новый фрейм, включающий исходные данные о недвижимости и столбец с данными о назначенном каждому дому кластере (рис. 15)</w:t>
      </w:r>
    </w:p>
    <w:p>
      <w:pPr>
        <w:pStyle w:val="CaptionedFigure"/>
      </w:pPr>
      <w:bookmarkStart w:id="81" w:name="fig:015"/>
      <w:r>
        <w:drawing>
          <wp:inline>
            <wp:extent cx="5334000" cy="2577262"/>
            <wp:effectExtent b="0" l="0" r="0" t="0"/>
            <wp:docPr descr="Рис. 15: Формирование фрейма данных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Формирование фрейма данных</w:t>
      </w:r>
    </w:p>
    <w:p>
      <w:pPr>
        <w:pStyle w:val="BodyText"/>
      </w:pPr>
      <w:r>
        <w:t xml:space="preserve">Плстроила график, обозначив каждый кластер отдельным цветом (рис. 16)</w:t>
      </w:r>
    </w:p>
    <w:p>
      <w:pPr>
        <w:pStyle w:val="CaptionedFigure"/>
      </w:pPr>
      <w:bookmarkStart w:id="85" w:name="fig:016"/>
      <w:r>
        <w:drawing>
          <wp:inline>
            <wp:extent cx="5334000" cy="3301332"/>
            <wp:effectExtent b="0" l="0" r="0" t="0"/>
            <wp:docPr descr="Рис. 16: График кластеров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График кластеров</w:t>
      </w:r>
    </w:p>
    <w:p>
      <w:pPr>
        <w:pStyle w:val="BodyText"/>
      </w:pPr>
      <w:r>
        <w:t xml:space="preserve">Построила график, раскрасив кластеры по почтовому индексу (рис. 17)</w:t>
      </w:r>
    </w:p>
    <w:p>
      <w:pPr>
        <w:pStyle w:val="CaptionedFigure"/>
      </w:pPr>
      <w:bookmarkStart w:id="89" w:name="fig:017"/>
      <w:r>
        <w:drawing>
          <wp:inline>
            <wp:extent cx="5334000" cy="3334633"/>
            <wp:effectExtent b="0" l="0" r="0" t="0"/>
            <wp:docPr descr="Рис. 17: График кластеров 2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График кластеров 2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Кластеризация данных. Метод k ближайших соседей.</w:t>
      </w:r>
      <w:r>
        <w:t xml:space="preserve"> </w:t>
      </w:r>
      <w:r>
        <w:t xml:space="preserve">Данный метод заключается в отнесении объекта к тому из известных классов, который является наиболее распространённым среди 𝑘 соседей данного элемента. В случае использования метода для регрессии, объекту присваивается среднее значение по 𝑘 ближайшим к нему объектам. (рис. 18) (рис. 19)</w:t>
      </w:r>
    </w:p>
    <w:p>
      <w:pPr>
        <w:pStyle w:val="CaptionedFigure"/>
      </w:pPr>
      <w:bookmarkStart w:id="93" w:name="fig:018"/>
      <w:r>
        <w:drawing>
          <wp:inline>
            <wp:extent cx="5334000" cy="3510532"/>
            <wp:effectExtent b="0" l="0" r="0" t="0"/>
            <wp:docPr descr="Рис. 18: Метод главных компонент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Метод главных компонент</w:t>
      </w:r>
    </w:p>
    <w:p>
      <w:pPr>
        <w:pStyle w:val="CaptionedFigure"/>
      </w:pPr>
      <w:bookmarkStart w:id="97" w:name="fig:019"/>
      <w:r>
        <w:drawing>
          <wp:inline>
            <wp:extent cx="5334000" cy="5291041"/>
            <wp:effectExtent b="0" l="0" r="0" t="0"/>
            <wp:docPr descr="Рис. 19: Определение соседей объекта недвижимости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Определение соседей объекта недвижимости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Обработка данных. Метод главных компонент.</w:t>
      </w:r>
      <w:r>
        <w:t xml:space="preserve"> </w:t>
      </w:r>
      <w:r>
        <w:t xml:space="preserve">Метод главных компонент (Principal Components Analysis, PCA) позволяет уменьшить размерность данных, потеряв наименьшее количество полезной информации. Метод имеет широкое применение в различных областях знаний, например, при визуализации данных, компрессии изображений, в эконометрике, некоторых гуманитарных предметных областях, например, в социологии или в политологии.</w:t>
      </w:r>
    </w:p>
    <w:p>
      <w:pPr>
        <w:pStyle w:val="BodyText"/>
      </w:pPr>
      <w:r>
        <w:t xml:space="preserve">На примере с данными о недвижимости попробуем уменьшить размеры данных о цене и площади из набора данных домов (рис. 20) (рис. 21) (рис. 22)</w:t>
      </w:r>
    </w:p>
    <w:p>
      <w:pPr>
        <w:pStyle w:val="CaptionedFigure"/>
      </w:pPr>
      <w:bookmarkStart w:id="101" w:name="fig:020"/>
      <w:r>
        <w:drawing>
          <wp:inline>
            <wp:extent cx="5334000" cy="1740119"/>
            <wp:effectExtent b="0" l="0" r="0" t="0"/>
            <wp:docPr descr="Рис. 20: Создание фрейм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Создание фрейма</w:t>
      </w:r>
    </w:p>
    <w:p>
      <w:pPr>
        <w:pStyle w:val="CaptionedFigure"/>
      </w:pPr>
      <w:bookmarkStart w:id="105" w:name="fig:021"/>
      <w:r>
        <w:drawing>
          <wp:inline>
            <wp:extent cx="5334000" cy="4012995"/>
            <wp:effectExtent b="0" l="0" r="0" t="0"/>
            <wp:docPr descr="Рис. 21: Приведение типов данных к распределению для PCA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Приведение типов данных к распределению для PCA</w:t>
      </w:r>
    </w:p>
    <w:p>
      <w:pPr>
        <w:pStyle w:val="CaptionedFigure"/>
      </w:pPr>
      <w:bookmarkStart w:id="109" w:name="fig:022"/>
      <w:r>
        <w:drawing>
          <wp:inline>
            <wp:extent cx="5334000" cy="4928616"/>
            <wp:effectExtent b="0" l="0" r="0" t="0"/>
            <wp:docPr descr="Рис. 22: Определение главных компонент для данных по объектам недвижимост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Определение главных компонент для данных по объектам недвижимости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Обработка данных. Линейная регрессия.</w:t>
      </w:r>
      <w:r>
        <w:t xml:space="preserve"> </w:t>
      </w:r>
      <w:r>
        <w:t xml:space="preserve">Регрессионный анализ представляет собой набор статистических методов исследования влияния одной или нескольких независимых переменных (регрессоров) на зависимую (критериальная) переменную. Терминология зависимых и независимых переменных отражает лишь математическую зависимость переменных, а не причинноследственные отношения.</w:t>
      </w:r>
    </w:p>
    <w:p>
      <w:pPr>
        <w:pStyle w:val="BodyText"/>
      </w:pPr>
      <w:r>
        <w:t xml:space="preserve">Зададим случайный набор данных (можно использовать и полученные экспериментальным путём какие-то данные). Попробуем найти для данных лучшее соответствие</w:t>
      </w:r>
      <w:r>
        <w:t xml:space="preserve"> </w:t>
      </w:r>
      <w:r>
        <w:t xml:space="preserve">(рис. 23)</w:t>
      </w:r>
    </w:p>
    <w:p>
      <w:pPr>
        <w:pStyle w:val="CaptionedFigure"/>
      </w:pPr>
      <w:bookmarkStart w:id="113" w:name="fig:023"/>
      <w:r>
        <w:drawing>
          <wp:inline>
            <wp:extent cx="5334000" cy="4713767"/>
            <wp:effectExtent b="0" l="0" r="0" t="0"/>
            <wp:docPr descr="Рис. 23: Исходные данные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Исходные данные</w:t>
      </w:r>
    </w:p>
    <w:p>
      <w:pPr>
        <w:pStyle w:val="BodyText"/>
      </w:pPr>
      <w:r>
        <w:t xml:space="preserve">Применим функцию линейной регрессии для построения соответствующего графика</w:t>
      </w:r>
      <w:r>
        <w:t xml:space="preserve"> </w:t>
      </w:r>
      <w:r>
        <w:t xml:space="preserve">значений (рис. 24)</w:t>
      </w:r>
    </w:p>
    <w:p>
      <w:pPr>
        <w:pStyle w:val="CaptionedFigure"/>
      </w:pPr>
      <w:bookmarkStart w:id="117" w:name="fig:024"/>
      <w:r>
        <w:drawing>
          <wp:inline>
            <wp:extent cx="5334000" cy="4506802"/>
            <wp:effectExtent b="0" l="0" r="0" t="0"/>
            <wp:docPr descr="Рис. 24: Линейная регрессия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Линейная регрессия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Перешла к заданиям для самостоятельного выполнения. Нумерация соотвествует.</w:t>
      </w:r>
    </w:p>
    <w:p>
      <w:pPr>
        <w:numPr>
          <w:ilvl w:val="0"/>
          <w:numId w:val="1002"/>
        </w:numPr>
        <w:pStyle w:val="Compact"/>
      </w:pPr>
      <w:r>
        <w:t xml:space="preserve">Задание на Кластеризацию. (рис. 25) (рис. 26)</w:t>
      </w:r>
    </w:p>
    <w:p>
      <w:pPr>
        <w:pStyle w:val="CaptionedFigure"/>
      </w:pPr>
      <w:bookmarkStart w:id="121" w:name="fig:025"/>
      <w:r>
        <w:drawing>
          <wp:inline>
            <wp:extent cx="5334000" cy="4501896"/>
            <wp:effectExtent b="0" l="0" r="0" t="0"/>
            <wp:docPr descr="Рис. 25: Задание 1. Код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Задание 1. Код</w:t>
      </w:r>
    </w:p>
    <w:p>
      <w:pPr>
        <w:pStyle w:val="CaptionedFigure"/>
      </w:pPr>
      <w:bookmarkStart w:id="125" w:name="fig:026"/>
      <w:r>
        <w:drawing>
          <wp:inline>
            <wp:extent cx="5334000" cy="3691099"/>
            <wp:effectExtent b="0" l="0" r="0" t="0"/>
            <wp:docPr descr="Рис. 26: Задание 1. График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Задание 1. График</w:t>
      </w:r>
    </w:p>
    <w:p>
      <w:pPr>
        <w:numPr>
          <w:ilvl w:val="0"/>
          <w:numId w:val="1003"/>
        </w:numPr>
        <w:pStyle w:val="Compact"/>
      </w:pPr>
      <w:r>
        <w:t xml:space="preserve">Задание на регрессию (часть 1) (рис. 27) (рис. 28)</w:t>
      </w:r>
    </w:p>
    <w:p>
      <w:pPr>
        <w:pStyle w:val="CaptionedFigure"/>
      </w:pPr>
      <w:bookmarkStart w:id="129" w:name="fig:027"/>
      <w:r>
        <w:drawing>
          <wp:inline>
            <wp:extent cx="5334000" cy="4888901"/>
            <wp:effectExtent b="0" l="0" r="0" t="0"/>
            <wp:docPr descr="Рис. 27: Задание 2.1. Код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8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Задание 2.1. Код</w:t>
      </w:r>
    </w:p>
    <w:p>
      <w:pPr>
        <w:pStyle w:val="CaptionedFigure"/>
      </w:pPr>
      <w:bookmarkStart w:id="133" w:name="fig:028"/>
      <w:r>
        <w:drawing>
          <wp:inline>
            <wp:extent cx="5334000" cy="944070"/>
            <wp:effectExtent b="0" l="0" r="0" t="0"/>
            <wp:docPr descr="Рис. 28: Задание 2.1. Решение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Задание 2.1. Решение</w:t>
      </w:r>
    </w:p>
    <w:p>
      <w:pPr>
        <w:numPr>
          <w:ilvl w:val="0"/>
          <w:numId w:val="1004"/>
        </w:numPr>
        <w:pStyle w:val="Compact"/>
      </w:pPr>
      <w:r>
        <w:t xml:space="preserve">Задание на регрессию (часть 2) (рис. 29) (рис. 30)</w:t>
      </w:r>
    </w:p>
    <w:p>
      <w:pPr>
        <w:pStyle w:val="CaptionedFigure"/>
      </w:pPr>
      <w:bookmarkStart w:id="137" w:name="fig:029"/>
      <w:r>
        <w:drawing>
          <wp:inline>
            <wp:extent cx="5334000" cy="2380994"/>
            <wp:effectExtent b="0" l="0" r="0" t="0"/>
            <wp:docPr descr="Рис. 29: Задание 2.2. Код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Задание 2.2. Код</w:t>
      </w:r>
    </w:p>
    <w:p>
      <w:pPr>
        <w:pStyle w:val="CaptionedFigure"/>
      </w:pPr>
      <w:bookmarkStart w:id="141" w:name="fig:030"/>
      <w:r>
        <w:drawing>
          <wp:inline>
            <wp:extent cx="5334000" cy="3101329"/>
            <wp:effectExtent b="0" l="0" r="0" t="0"/>
            <wp:docPr descr="Рис. 30: Задание 2.2. График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Задание 2.2. График</w:t>
      </w:r>
    </w:p>
    <w:p>
      <w:pPr>
        <w:numPr>
          <w:ilvl w:val="0"/>
          <w:numId w:val="1005"/>
        </w:numPr>
        <w:pStyle w:val="Compact"/>
      </w:pPr>
      <w:r>
        <w:t xml:space="preserve">Модель ценообразования биномиальных опционов (a) (рис. 31) (рис. 32)</w:t>
      </w:r>
    </w:p>
    <w:p>
      <w:pPr>
        <w:pStyle w:val="CaptionedFigure"/>
      </w:pPr>
      <w:bookmarkStart w:id="145" w:name="fig:031"/>
      <w:r>
        <w:drawing>
          <wp:inline>
            <wp:extent cx="5334000" cy="4379192"/>
            <wp:effectExtent b="0" l="0" r="0" t="0"/>
            <wp:docPr descr="Рис. 31: Задание 3.1. Код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Задание 3.1. Код</w:t>
      </w:r>
    </w:p>
    <w:p>
      <w:pPr>
        <w:pStyle w:val="CaptionedFigure"/>
      </w:pPr>
      <w:bookmarkStart w:id="149" w:name="fig:032"/>
      <w:r>
        <w:drawing>
          <wp:inline>
            <wp:extent cx="5334000" cy="3194656"/>
            <wp:effectExtent b="0" l="0" r="0" t="0"/>
            <wp:docPr descr="Рис. 32: Задание 3.1. График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Задание 3.1. График</w:t>
      </w:r>
    </w:p>
    <w:p>
      <w:pPr>
        <w:numPr>
          <w:ilvl w:val="0"/>
          <w:numId w:val="1006"/>
        </w:numPr>
        <w:pStyle w:val="Compact"/>
      </w:pPr>
      <w:r>
        <w:t xml:space="preserve">Модель ценообразования биномиальных опционов (b) (рис. 33)</w:t>
      </w:r>
    </w:p>
    <w:p>
      <w:pPr>
        <w:pStyle w:val="CaptionedFigure"/>
      </w:pPr>
      <w:bookmarkStart w:id="153" w:name="fig:033"/>
      <w:r>
        <w:drawing>
          <wp:inline>
            <wp:extent cx="5334000" cy="2494471"/>
            <wp:effectExtent b="0" l="0" r="0" t="0"/>
            <wp:docPr descr="Рис. 33: Задание 3.2. Код" title="" id="151" name="Picture"/>
            <a:graphic>
              <a:graphicData uri="http://schemas.openxmlformats.org/drawingml/2006/picture">
                <pic:pic>
                  <pic:nvPicPr>
                    <pic:cNvPr descr="image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Задание 3.2. Код</w:t>
      </w:r>
    </w:p>
    <w:p>
      <w:pPr>
        <w:numPr>
          <w:ilvl w:val="0"/>
          <w:numId w:val="1007"/>
        </w:numPr>
        <w:pStyle w:val="Compact"/>
      </w:pPr>
      <w:r>
        <w:t xml:space="preserve">Модель ценообразования биномиальных опционов (c) (рис. 34) (рис. 35)</w:t>
      </w:r>
    </w:p>
    <w:p>
      <w:pPr>
        <w:pStyle w:val="CaptionedFigure"/>
      </w:pPr>
      <w:bookmarkStart w:id="157" w:name="fig:034"/>
      <w:r>
        <w:drawing>
          <wp:inline>
            <wp:extent cx="5334000" cy="5318995"/>
            <wp:effectExtent b="0" l="0" r="0" t="0"/>
            <wp:docPr descr="Рис. 34: Задание 3.3. Код" title="" id="155" name="Picture"/>
            <a:graphic>
              <a:graphicData uri="http://schemas.openxmlformats.org/drawingml/2006/picture">
                <pic:pic>
                  <pic:nvPicPr>
                    <pic:cNvPr descr="image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34: Задание 3.3. Код</w:t>
      </w:r>
    </w:p>
    <w:p>
      <w:pPr>
        <w:pStyle w:val="CaptionedFigure"/>
      </w:pPr>
      <w:bookmarkStart w:id="161" w:name="fig:035"/>
      <w:r>
        <w:drawing>
          <wp:inline>
            <wp:extent cx="5334000" cy="3497416"/>
            <wp:effectExtent b="0" l="0" r="0" t="0"/>
            <wp:docPr descr="Рис. 35: Задание 3.3. График" title="" id="159" name="Picture"/>
            <a:graphic>
              <a:graphicData uri="http://schemas.openxmlformats.org/drawingml/2006/picture">
                <pic:pic>
                  <pic:nvPicPr>
                    <pic:cNvPr descr="image/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 Задание 3.3. График</w:t>
      </w:r>
    </w:p>
    <w:p>
      <w:pPr>
        <w:numPr>
          <w:ilvl w:val="0"/>
          <w:numId w:val="1008"/>
        </w:numPr>
        <w:pStyle w:val="Compact"/>
      </w:pPr>
      <w:r>
        <w:t xml:space="preserve">Модель ценообразования биномиальных опционов (d) (рис. 36)</w:t>
      </w:r>
    </w:p>
    <w:p>
      <w:pPr>
        <w:pStyle w:val="CaptionedFigure"/>
      </w:pPr>
      <w:bookmarkStart w:id="165" w:name="fig:036"/>
      <w:r>
        <w:drawing>
          <wp:inline>
            <wp:extent cx="5334000" cy="4895395"/>
            <wp:effectExtent b="0" l="0" r="0" t="0"/>
            <wp:docPr descr="Рис. 36: Задание 3.4. Код и График" title="" id="163" name="Picture"/>
            <a:graphic>
              <a:graphicData uri="http://schemas.openxmlformats.org/drawingml/2006/picture">
                <pic:pic>
                  <pic:nvPicPr>
                    <pic:cNvPr descr="image/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36: Задание 3.4. Код и График</w:t>
      </w:r>
    </w:p>
    <w:bookmarkEnd w:id="166"/>
    <w:bookmarkStart w:id="16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Изучила специализированные пакеты Julia для обработки данных.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Легиньких Галина Андреевна</dc:creator>
  <dc:language>ru-RU</dc:language>
  <cp:keywords/>
  <dcterms:created xsi:type="dcterms:W3CDTF">2024-12-27T17:02:48Z</dcterms:created>
  <dcterms:modified xsi:type="dcterms:W3CDTF">2024-12-27T17:02:48Z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Введение в работу с данными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