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4"/>
        <w:pBdr/>
        <w:spacing/>
        <w:ind/>
        <w:jc w:val="center"/>
        <w:rPr/>
      </w:pPr>
      <w:r>
        <w:rPr>
          <w:b/>
          <w:color w:val="1f4e79"/>
          <w:sz w:val="32"/>
        </w:rPr>
        <w:t xml:space="preserve">Описание структуры промежуточной базы данных</w:t>
      </w:r>
      <w:r/>
    </w:p>
    <w:p>
      <w:pPr>
        <w:pBdr/>
        <w:spacing/>
        <w:ind/>
        <w:jc w:val="center"/>
        <w:rPr/>
      </w:pPr>
      <w:r>
        <w:rPr>
          <w:i/>
          <w:sz w:val="20"/>
        </w:rPr>
        <w:t xml:space="preserve">RusalIntermediate · MS SQL Server · Система миграции документов из PayDox в DRX</w:t>
      </w:r>
      <w:r/>
    </w:p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rPr>
          <w:b/>
          <w:color w:val="1f4e79"/>
          <w:sz w:val="24"/>
        </w:rPr>
        <w:t xml:space="preserve">Состав базы данных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951"/>
        <w:gridCol w:w="4951"/>
        <w:gridCol w:w="495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№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Таблица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Назначение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1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UsdExchangeRatesByYear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[Курсы валют к USD (годовой)]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UsdExchangeRatesByMonth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[Курсы валют к USD (месячный)]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3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Currency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[Курсы валют к USD (месячный)]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4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CorporateApproval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[Органы корпоративного одобрения]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5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OrganizationalAndLegalForm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[Организационно-правовые формы]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6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TmcCode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[ТМЦ]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7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OkvedCode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[ОКВЭД]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8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Division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[Дивизионы]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9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DocumentKind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[Виды документов]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10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Country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[Страны]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11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Company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[Организации]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12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Department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[Подразделения]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13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Employee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</w:t>
            </w:r>
            <w:r>
              <w:rPr>
                <w:sz w:val="18"/>
                <w:lang w:val="ru-RU"/>
              </w:rPr>
              <w:t xml:space="preserve">Сотрудники</w:t>
            </w:r>
            <w:r>
              <w:rPr>
                <w:sz w:val="18"/>
              </w:rPr>
              <w:t xml:space="preserve">]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14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PlanningAndBudgetUnit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[Планово-бюджетные единицы]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  <w:t xml:space="preserve">15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sz w:val="18"/>
              </w:rPr>
              <w:t xml:space="preserve">InvestmentActivity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49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8"/>
              </w:rPr>
              <w:t xml:space="preserve">Справочник [Инвестиционные мероприятия]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74"/>
        <w:pBdr/>
        <w:spacing/>
        <w:ind/>
        <w:rPr/>
      </w:pPr>
      <w:r>
        <w:rPr>
          <w:b/>
          <w:color w:val="1f4e79"/>
          <w:sz w:val="28"/>
        </w:rPr>
        <w:t xml:space="preserve">Детальное описание таблиц</w:t>
      </w:r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1. UsdExchangeRatesByYear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[Курсы валют к USD (годовой)]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RateCode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nvarchar(30)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Код валюты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Year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Год (дата первого января соответствующего года)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RateValueToUsd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float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Значение курса к USD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State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Состояние: Active | Closed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2. UsdExchangeRatesByMonth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[Курсы валют к USD (месячный)]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RateCode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nvarchar(30)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Код валюты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Date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RateValueToUsd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float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Значение курса к USD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State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Состояние: Active | Closed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3. Currency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[Курсы валют к USD (месячный)]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Наименование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ShortName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Сокращенное наименование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LetterCode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Буквенный код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NumberCode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nvarchar(3)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Цифровой код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State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Active | Closed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4. CorporateApproval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[Органы корпоративного одобрения]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GoverningBody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Орган управления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Description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State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Состояние: Active | Closed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5. OrganizationalAndLegalForm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[Организационно-правовые формы]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FullName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Полное наименование ОПФ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Code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nvarchar(12)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Код ОПФ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State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Состояние: Active | Closed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6. TmcCode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[ТМЦ]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Наименование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Code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nvarchar(12)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Код ТМЦ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ParentTmcCode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 на Код ТМЦ высшестоящего уровня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State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Состояние: Active | Closed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7. OkvedCode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[ОКВЭД]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Наименование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Code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nvarchar(12)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Код ОКВЭД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ParentOkvedCode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 на Код ОКВЭД высшестоящего уровня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State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Состояние: Active | Closed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8. Division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[Дивизионы]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Наименование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Code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nvarchar(12)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Код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ParentDivision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 на ведущий дивизион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Note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Примечание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State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Состояние: Active | Closed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9. DocumentKind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[Виды документов]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Наименование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AbbreviatedName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Сокращенное имя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Code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nvarchar(12)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Код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DocumentTypeId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 Типа документа в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DocumentFlow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Incoming | Outgoing | Inner | Contracts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NumberingType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Numerable | NotNumerable | Registrable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10. Country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[Страны]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Наименование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Code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nvarchar(3)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Код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11. Company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[Организации]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RopId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nvarchar(64)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РОП ИД, переносим в ExternalId поле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Наименование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CodeCountryPaydoxId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Paydox Кода страны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CountryPaydoxId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Paydox Страны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Note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Примечание со значением Создана автоматически при миграции данных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12. Department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[Подразделения]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RopId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nvarchar(64)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РОП ИД, переносим в ExternalId поле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Наименование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  <w:highlight w:val="none"/>
        </w:rPr>
      </w:r>
      <w:r>
        <w:rPr>
          <w:b/>
          <w:color w:val="1f4e79"/>
          <w:sz w:val="24"/>
          <w:highlight w:val="none"/>
        </w:rPr>
      </w:r>
      <w:r/>
    </w:p>
    <w:p>
      <w:pPr>
        <w:pStyle w:val="875"/>
        <w:pBdr/>
        <w:spacing w:after="80" w:before="280"/>
        <w:ind/>
        <w:rPr>
          <w:b/>
          <w:bCs/>
          <w:color w:val="1f4e79"/>
          <w:sz w:val="24"/>
          <w:szCs w:val="24"/>
          <w:highlight w:val="none"/>
        </w:rPr>
      </w:pPr>
      <w:r>
        <w:rPr>
          <w:b/>
          <w:color w:val="1f4e79"/>
          <w:sz w:val="24"/>
        </w:rPr>
        <w:t xml:space="preserve">13. Employee</w:t>
      </w:r>
      <w:r>
        <w:rPr>
          <w:b/>
          <w:bCs/>
          <w:color w:val="1f4e79"/>
          <w:sz w:val="24"/>
          <w:szCs w:val="24"/>
          <w:highlight w:val="none"/>
        </w:rPr>
      </w:r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[Подразделения]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FirstName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Имя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LastName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Фамилия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BusinessUnitRopId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РОП Нашей организации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BusinessUnitName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Имя Нашей организации, для создания закрытой НОР в случае, если не нашли по BusinessUnitRopId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DepartmentRopId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РОП Подразделения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DepartmentName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Имя Подразделения, для создания закрытой записи Подразделения в случае, если не нашли по DepartmentRopId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14. PlanningAndBudgetUnit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[Планово-бюджетные единицы]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Наименование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Code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nvarchar(12)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Код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State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Состояние: Active | Closed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 w:after="80" w:before="280"/>
        <w:ind/>
        <w:rPr/>
      </w:pPr>
      <w:r>
        <w:rPr>
          <w:b/>
          <w:color w:val="1f4e79"/>
          <w:sz w:val="24"/>
        </w:rPr>
        <w:t xml:space="preserve">15. InvestmentActivity</w:t>
      </w:r>
      <w:r/>
    </w:p>
    <w:p>
      <w:pPr>
        <w:pBdr/>
        <w:spacing w:after="120" w:before="0"/>
        <w:ind/>
        <w:rPr/>
      </w:pPr>
      <w:r>
        <w:rPr>
          <w:i/>
          <w:sz w:val="18"/>
        </w:rPr>
        <w:t xml:space="preserve">Справочник [Инвестиционные мероприятия]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971"/>
        <w:gridCol w:w="2971"/>
        <w:gridCol w:w="2971"/>
        <w:gridCol w:w="2971"/>
        <w:gridCol w:w="2971"/>
      </w:tblGrid>
      <w:tr>
        <w:trPr/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Поле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81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Тип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NOT NULL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10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PK</w:t>
            </w:r>
            <w:r/>
          </w:p>
        </w:tc>
        <w:tc>
          <w:tcPr>
            <w:shd w:val="clear" w:color="auto" w:fill="1f4e79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3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color w:val="1f4e79"/>
                <w:sz w:val="18"/>
              </w:rPr>
              <w:t xml:space="preserve">Id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1f4e79"/>
                <w:sz w:val="18"/>
              </w:rPr>
              <w:t xml:space="preserve">✓</w:t>
            </w:r>
            <w:r/>
          </w:p>
        </w:tc>
        <w:tc>
          <w:tcPr>
            <w:shd w:val="clear" w:color="auto" w:fill="fff2cc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PaydoxId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PayDox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MigrationId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номера итерации миграции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RxId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bigint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Идентификатор в системе DRX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Name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Мероприятие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EngName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nvarchar(250)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Наименование на английском языке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Code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nvarchar(12)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Код ИМ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Year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Год (дата первого января соответствующего года)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PlanningAndBudgetUnitCode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color w:val="c00000"/>
                <w:sz w:val="18"/>
              </w:rPr>
              <w:t xml:space="preserve">✓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PaydoxId планово-бюджетной единицы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State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nvarchar(15)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Состояние: Active | Closed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Result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nvarchar(50)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Результат миграции: Migrated | MigratedWithNotes | MigratedError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MigrateTime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datetime2</w:t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ebf3fb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Дата миграции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18"/>
              </w:rPr>
              <w:t xml:space="preserve">MigrateMessage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color w:val="265e0b"/>
                <w:sz w:val="17"/>
              </w:rPr>
              <w:t xml:space="preserve">nvarchar(max)</w:t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18"/>
              </w:rPr>
            </w:r>
            <w:r/>
          </w:p>
        </w:tc>
        <w:tc>
          <w:tcPr>
            <w:shd w:val="clear" w:color="auto" w:fill="ffffff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W w:w="297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17"/>
              </w:rPr>
              <w:t xml:space="preserve">Сообщение при миграции (обычно в случае ошибки)</w:t>
            </w:r>
            <w:r/>
          </w:p>
        </w:tc>
      </w:tr>
    </w:tbl>
    <w:p>
      <w:pPr>
        <w:pBdr/>
        <w:spacing/>
        <w:ind/>
        <w:rPr/>
      </w:pPr>
      <w:r/>
      <w:r/>
    </w:p>
    <w:sectPr>
      <w:footnotePr/>
      <w:endnotePr/>
      <w:type w:val="nextPage"/>
      <w:pgSz w:h="11906" w:orient="landscape" w:w="16838"/>
      <w:pgMar w:top="1134" w:right="850" w:bottom="850" w:left="1134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2026-04-02T10:54:29Z</dcterms:modified>
  <cp:category/>
</cp:coreProperties>
</file>