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1F4E79"/>
          <w:sz w:val="32"/>
        </w:rPr>
        <w:t>Описание структуры промежуточной базы данных</w:t>
      </w:r>
    </w:p>
    <w:p>
      <w:pPr>
        <w:jc w:val="center"/>
      </w:pPr>
      <w:r>
        <w:rPr>
          <w:i/>
          <w:sz w:val="20"/>
        </w:rPr>
        <w:t>RusalIntermediate · MS SQL Server · Система миграции документов из PayDox в DRX</w:t>
      </w:r>
    </w:p>
    <w:p/>
    <w:p>
      <w:pPr>
        <w:pStyle w:val="Heading2"/>
      </w:pPr>
      <w:r>
        <w:rPr>
          <w:b/>
          <w:color w:val="1F4E79"/>
          <w:sz w:val="24"/>
        </w:rPr>
        <w:t>Состав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51"/>
        <w:gridCol w:w="4951"/>
        <w:gridCol w:w="4951"/>
      </w:tblGrid>
      <w:tr>
        <w:tc>
          <w:tcPr>
            <w:tcW w:type="dxa" w:w="49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49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Таблица</w:t>
            </w:r>
          </w:p>
        </w:tc>
        <w:tc>
          <w:tcPr>
            <w:tcW w:type="dxa" w:w="49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UsdExchangeRatesByYear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[Курсы валют к USD (годовой)]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UsdExchangeRatesByMonth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[Курсы валют к USD (месячный)]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Currency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[Валюты]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CorporateApproval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[Органы корпоративного одобрения]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OrganizationalAndLegalForm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[Организационно-правовые формы]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TmcCode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[ТМЦ]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OkvedCode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[ОКВЭД]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Division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[Дивизионы]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DocumentKind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[Виды документов]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Country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[Страны]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Company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[Организации]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Department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[Подразделения]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Employee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[Подразделения]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PlanningAndBudgetUnit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[Планово-бюджетные единицы]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DeliveryMethod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[Способы доставки]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InvestmentActivity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[Инвестиционные мероприятия]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[Документы]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MixedDocumentKindCollection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[Виды документов для смешанных сделок]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CounterpartiesCollection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[Контрагент]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CountriesOfConclusionExecutionAndOriginCollection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Страны заключения/исполнения Сделки. Страны происхождения оборудования/ТМЦ/объекта прав]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DeliveryAndLogisticCollection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[Доставка и логистика]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ConstructionDesignExpertiserCollection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Строительство, проектирование и экспертиза]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ForeignElementCollection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Иностранный элемент]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FeaturesOfContractAddendaCollection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Особенности дополнений в договоры]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OtherDealCollection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Прочие особенности сделки]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GroupDebtRulesComplianceCollection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Соответствие правилам долговых финансовых обязательств Группы]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GroupDebtRulesAssessmentCollection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Оценка по правилам долговых финансовых обязательств Группы]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AntimonopolyRulesAssessmentCollection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Оценка по антимонопольным правилам]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WinnersCollection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[Победители]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ReserversCollection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[Резервисты]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SolutionCollection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[Решение]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CustomerEnterprisesCollection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[Предприятие заказчики]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ParticipantsCollection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[Участники]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TmcCodesCollection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[Коды ТМЦ]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OkvedCodesCollection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[Коды ОКВЭД]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ExternalLinksCollection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[Внешние ссылки]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AccessRights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[Права доступа]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DocumentRelations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[Связи между документами]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DocVersion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[Версии документов]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F4E79"/>
          <w:sz w:val="28"/>
        </w:rPr>
        <w:t>Детальное описание таблиц</w:t>
      </w:r>
    </w:p>
    <w:p>
      <w:pPr>
        <w:pStyle w:val="Heading2"/>
        <w:spacing w:before="280" w:after="80"/>
      </w:pPr>
      <w:r>
        <w:rPr>
          <w:b/>
          <w:color w:val="1F4E79"/>
          <w:sz w:val="24"/>
        </w:rPr>
        <w:t>1. UsdExchangeRatesByYear</w:t>
      </w:r>
    </w:p>
    <w:p>
      <w:pPr>
        <w:spacing w:before="0" w:after="120"/>
      </w:pPr>
      <w:r>
        <w:rPr>
          <w:i/>
          <w:sz w:val="18"/>
        </w:rPr>
        <w:t>Справочник [Курсы валют к USD (годовой)]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валюты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Год (дата первого января соответствующего года)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RateValueToUsd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Значение курса к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2. UsdExchangeRatesByMonth</w:t>
      </w:r>
    </w:p>
    <w:p>
      <w:pPr>
        <w:spacing w:before="0" w:after="120"/>
      </w:pPr>
      <w:r>
        <w:rPr>
          <w:i/>
          <w:sz w:val="18"/>
        </w:rPr>
        <w:t>Справочник [Курсы валют к USD (месячный)]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валюты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RateValueToUsd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Значение курса к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3. Currency</w:t>
      </w:r>
    </w:p>
    <w:p>
      <w:pPr>
        <w:spacing w:before="0" w:after="120"/>
      </w:pPr>
      <w:r>
        <w:rPr>
          <w:i/>
          <w:sz w:val="18"/>
        </w:rPr>
        <w:t>Справочник [Валюты]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ShortName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Сокращенное наименование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LetterCode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Буквенный 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NumberCode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Цифровой 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4. CorporateApproval</w:t>
      </w:r>
    </w:p>
    <w:p>
      <w:pPr>
        <w:spacing w:before="0" w:after="120"/>
      </w:pPr>
      <w:r>
        <w:rPr>
          <w:i/>
          <w:sz w:val="18"/>
        </w:rPr>
        <w:t>Справочник [Органы корпоративного одобрения]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GoverningBody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Орган управления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5. OrganizationalAndLegalForm</w:t>
      </w:r>
    </w:p>
    <w:p>
      <w:pPr>
        <w:spacing w:before="0" w:after="120"/>
      </w:pPr>
      <w:r>
        <w:rPr>
          <w:i/>
          <w:sz w:val="18"/>
        </w:rPr>
        <w:t>Справочник [Организационно-правовые формы]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FullName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Полное наименование ОПФ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ОПФ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6. TmcCode</w:t>
      </w:r>
    </w:p>
    <w:p>
      <w:pPr>
        <w:spacing w:before="0" w:after="120"/>
      </w:pPr>
      <w:r>
        <w:rPr>
          <w:i/>
          <w:sz w:val="18"/>
        </w:rPr>
        <w:t>Справочник [ТМЦ]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ТМЦ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ParentTmcCode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Код ТМЦ высшестоящего уровня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7. OkvedCode</w:t>
      </w:r>
    </w:p>
    <w:p>
      <w:pPr>
        <w:spacing w:before="0" w:after="120"/>
      </w:pPr>
      <w:r>
        <w:rPr>
          <w:i/>
          <w:sz w:val="18"/>
        </w:rPr>
        <w:t>Справочник [ОКВЭД]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ОКВЭД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ParentOkvedCode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Код ОКВЭД высшестоящего уровня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8. Division</w:t>
      </w:r>
    </w:p>
    <w:p>
      <w:pPr>
        <w:spacing w:before="0" w:after="120"/>
      </w:pPr>
      <w:r>
        <w:rPr>
          <w:i/>
          <w:sz w:val="18"/>
        </w:rPr>
        <w:t>Справочник [Дивизионы]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ParentDivision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ведущий дивизион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PortalId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на портале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Примечание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9. DocumentKind</w:t>
      </w:r>
    </w:p>
    <w:p>
      <w:pPr>
        <w:spacing w:before="0" w:after="120"/>
      </w:pPr>
      <w:r>
        <w:rPr>
          <w:i/>
          <w:sz w:val="18"/>
        </w:rPr>
        <w:t>Справочник [Виды документов]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AbbreviatedName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Сокращенное имя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DocumentTypeId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 Типа документа в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ParentDocumentKindPaydoxId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родительский вид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DocumentFlow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Incoming | Outgoing | Inner | Contracts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NumberingType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Numerable | NotNumerable | Registrable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10. Country</w:t>
      </w:r>
    </w:p>
    <w:p>
      <w:pPr>
        <w:spacing w:before="0" w:after="120"/>
      </w:pPr>
      <w:r>
        <w:rPr>
          <w:i/>
          <w:sz w:val="18"/>
        </w:rPr>
        <w:t>Справочник [Страны]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11. Company</w:t>
      </w:r>
    </w:p>
    <w:p>
      <w:pPr>
        <w:spacing w:before="0" w:after="120"/>
      </w:pPr>
      <w:r>
        <w:rPr>
          <w:i/>
          <w:sz w:val="18"/>
        </w:rPr>
        <w:t>Справочник [Организации]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RopId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nvarchar(64)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РОП ИД, переносим в ExternalId поле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CodeCountryPaydoxId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Paydox Кода страны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CountryPaydoxId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Paydox Страны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Примечание со значением Создана автоматически при миграции данных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12. Department</w:t>
      </w:r>
    </w:p>
    <w:p>
      <w:pPr>
        <w:spacing w:before="0" w:after="120"/>
      </w:pPr>
      <w:r>
        <w:rPr>
          <w:i/>
          <w:sz w:val="18"/>
        </w:rPr>
        <w:t>Справочник [Подразделения]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RopId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nvarchar(64)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РОП ИД, переносим в ExternalId поле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13. Employee</w:t>
      </w:r>
    </w:p>
    <w:p>
      <w:pPr>
        <w:spacing w:before="0" w:after="120"/>
      </w:pPr>
      <w:r>
        <w:rPr>
          <w:i/>
          <w:sz w:val="18"/>
        </w:rPr>
        <w:t>Справочник [Подразделения]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FirstName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LastName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Фамилия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BusinessUnitRopId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РОП Нашей организации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BusinessUnitName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 Нашей организации, для создания закрытой НОР в случае, если не нашли по BusinessUnitRopId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DepartmentRopId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РОП Подразделения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DepartmentName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 Подразделения, для создания закрытой записи Подразделения в случае, если не нашли по DepartmentRopId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14. PlanningAndBudgetUnit</w:t>
      </w:r>
    </w:p>
    <w:p>
      <w:pPr>
        <w:spacing w:before="0" w:after="120"/>
      </w:pPr>
      <w:r>
        <w:rPr>
          <w:i/>
          <w:sz w:val="18"/>
        </w:rPr>
        <w:t>Справочник [Планово-бюджетные единицы]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15. DeliveryMethod</w:t>
      </w:r>
    </w:p>
    <w:p>
      <w:pPr>
        <w:spacing w:before="0" w:after="120"/>
      </w:pPr>
      <w:r>
        <w:rPr>
          <w:i/>
          <w:sz w:val="18"/>
        </w:rPr>
        <w:t>Справочник [Способы доставки]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Мероприятие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16. InvestmentActivity</w:t>
      </w:r>
    </w:p>
    <w:p>
      <w:pPr>
        <w:spacing w:before="0" w:after="120"/>
      </w:pPr>
      <w:r>
        <w:rPr>
          <w:i/>
          <w:sz w:val="18"/>
        </w:rPr>
        <w:t>Справочник [Инвестиционные мероприятия]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Мероприятие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EngName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на английском языке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ИМ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Год (дата первого января соответствующего года)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PlanningAndBudgetUnitCode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планово-бюджетной единицы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17. Document</w:t>
      </w:r>
    </w:p>
    <w:p>
      <w:pPr>
        <w:spacing w:before="0" w:after="120"/>
      </w:pPr>
      <w:r>
        <w:rPr>
          <w:i/>
          <w:sz w:val="18"/>
        </w:rPr>
        <w:t>Таблица [Документы]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DocumentType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Тип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DocumentDate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RegNumber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Рег №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DocumentKind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IsMixedKindTransaction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Сделка смешанных видов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ContractNature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Характер договора. Варианты: Incomerusal, Expenserusal, Reciprocalrusal, Gratuitorusal, NoPaymentrusal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Заголовок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ShortDescription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nvarchar(850)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Краткое описание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MainDocExternalId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Основной договор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BusinessUnitExternalId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орг. единицы (наша организация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InitiatorDepartmentExternalId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подразделения инициатора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ExecutorDepartmentExternalId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подразделения исполнителя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ResponsibleForExecutionExternalId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ответственного за исполнение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LegalEntityExternalId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юр. лица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LegalEntityBranchExternalId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Филиал юр. лица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SignatoryExternalId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подписанта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LegalEntityRoleInTransactionExternalId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(НД) Роль Юр. лица в сделке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IsDebtObligationsOhdCompliant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Сделка соответствует ОХД с т.з. долговых финансовых обязательств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IsLegalEntityOhdCompliant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Сделка соответствует ОХД Юр.лица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DealResultCustomerDepartmentExternalId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(НД) Подразделение-заказчик результата по Сделке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UseDdvs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Использовать ДДВС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ValidFrom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Действует 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ValidTo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Действует по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CurrencyExternalId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Валюты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DocumentAmoutStandart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 документа (с учетом процентов и проч. расходов)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AtMonthlyRateUsd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ежемесячному курсу,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AtAnnualRateUsd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годовому курсу, USD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AmoutVat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 НДС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AmoutWithoutVat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 без НДС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PaymentCurrency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Валюта платежа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PaymentMethod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Средство платежа/условия расчетов: MutualOffset, ExternalSec, InternalSec, Cash, UncoveredLoc, AssetExchange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PaymentOrderForOnerousTransaction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Порядок оплаты по возмездным сделкам: FullPrepay, DeferredPay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IsSingleSupplierPurchase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Данная сделка является ЗАКУПКОЙ У ЕДИНСТВЕННОГО ПОСТАВЩИКА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IsTransactionInterconnected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Сделка взаимосвязана с другими сделками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TransactionAmountWithInterconnExcludCurrent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Сумма по Сделке с учётом взаимосвязанных Сделок, без учета текущей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BookValueOfTransferredAsset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Балансовая стоимость имущества/имущественных прав, передаваемых по Сделке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IsServicesPerformedOnLegalEntityTerritory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Работы / Услуги осуществляются на территории Участника Группы, указанного в поле «Юр.лицо»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PaperNumber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Номер на бумаге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NoneOfTheAboveValue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25.1000 Ни одно значение вышеперечисленное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ApplicableLasw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Применимое право: ForeignLawExclFormerUSSR, LawOfFormerUSSRepublic, RussianLaw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SizeTestResult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Результат Test Size: AtLeastOneReaches5Percent, NoneReaches5Percent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AccessLevel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Уровень доступа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AdditionalAmount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Доп сумма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Curator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Куратора отбора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SelectionMethod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Метод отбора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PublishedSelection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Опубликованный отбор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PublishedOnETP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Размещено на ЭТП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DateStart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начала работ/услуг/поставки по заявке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DateEnd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окончания работ/услуг/поставки по заявке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EveryMonthlyCourse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ежемесячному курсу,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EveryYearCourse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годовому курсу, USD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SavengsPercent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Экономия в процентах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Subject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18. MixedDocumentKindCollection</w:t>
      </w:r>
    </w:p>
    <w:p>
      <w:pPr>
        <w:spacing w:before="0" w:after="120"/>
      </w:pPr>
      <w:r>
        <w:rPr>
          <w:i/>
          <w:sz w:val="18"/>
        </w:rPr>
        <w:t>Таблица-коллекция [Виды документов для смешанных сделок]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DocumentKindExternalId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Вид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19. CounterpartiesCollection</w:t>
      </w:r>
    </w:p>
    <w:p>
      <w:pPr>
        <w:spacing w:before="0" w:after="120"/>
      </w:pPr>
      <w:r>
        <w:rPr>
          <w:i/>
          <w:sz w:val="18"/>
        </w:rPr>
        <w:t>Таблица-коллекция [Контрагент]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Заголовок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BranchExternalId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Филиала контрагента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RoleInTransactionExternalId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(НД) Роль контрагента в сделке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SignerExternalId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Подписант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AdditionalInfo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nvarchar(1000)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Дополнительная информация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IsMajorDealForCounterparty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Роль Контрагента в сделке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IsCounterpartyOhdCompliant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Сделка соответствует ОХД Контрагента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AuthorityConnection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Связь с органами власти: NoRFAuthority, RFAuthorityBody, RFAuthoritySub, ForeignAuthorit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20. CountriesOfConclusionExecutionAndOriginCollection</w:t>
      </w:r>
    </w:p>
    <w:p>
      <w:pPr>
        <w:spacing w:before="0" w:after="120"/>
      </w:pPr>
      <w:r>
        <w:rPr>
          <w:i/>
          <w:sz w:val="18"/>
        </w:rPr>
        <w:t>Таблица-коллекция [(НД) Страны заключения/исполнения Сделки. Страны происхождения оборудования/ТМЦ/объекта прав]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CountriesOfConclusionExecutionAndOrigin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Страны заключения/исполнения Сделки. Страны происхождения оборудования/ТМЦ/объекта прав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21. DeliveryAndLogisticCollection</w:t>
      </w:r>
    </w:p>
    <w:p>
      <w:pPr>
        <w:spacing w:before="0" w:after="120"/>
      </w:pPr>
      <w:r>
        <w:rPr>
          <w:i/>
          <w:sz w:val="18"/>
        </w:rPr>
        <w:t>Таблица-коллекция [Доставка и логистика]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22. ConstructionDesignExpertiserCollection</w:t>
      </w:r>
    </w:p>
    <w:p>
      <w:pPr>
        <w:spacing w:before="0" w:after="120"/>
      </w:pPr>
      <w:r>
        <w:rPr>
          <w:i/>
          <w:sz w:val="18"/>
        </w:rPr>
        <w:t>Таблица-коллекция [(НД) Строительство, проектирование и экспертиза]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23. ForeignElementCollection</w:t>
      </w:r>
    </w:p>
    <w:p>
      <w:pPr>
        <w:spacing w:before="0" w:after="120"/>
      </w:pPr>
      <w:r>
        <w:rPr>
          <w:i/>
          <w:sz w:val="18"/>
        </w:rPr>
        <w:t>Таблица-коллекция [(НД) Иностранный элемент]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24. FeaturesOfContractAddendaCollection</w:t>
      </w:r>
    </w:p>
    <w:p>
      <w:pPr>
        <w:spacing w:before="0" w:after="120"/>
      </w:pPr>
      <w:r>
        <w:rPr>
          <w:i/>
          <w:sz w:val="18"/>
        </w:rPr>
        <w:t>Таблица-коллекция [(НД) Особенности дополнений в договоры]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25. OtherDealCollection</w:t>
      </w:r>
    </w:p>
    <w:p>
      <w:pPr>
        <w:spacing w:before="0" w:after="120"/>
      </w:pPr>
      <w:r>
        <w:rPr>
          <w:i/>
          <w:sz w:val="18"/>
        </w:rPr>
        <w:t>Таблица-коллекция [(НД) Прочие особенности сделки]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26. GroupDebtRulesComplianceCollection</w:t>
      </w:r>
    </w:p>
    <w:p>
      <w:pPr>
        <w:spacing w:before="0" w:after="120"/>
      </w:pPr>
      <w:r>
        <w:rPr>
          <w:i/>
          <w:sz w:val="18"/>
        </w:rPr>
        <w:t>Таблица-коллекция [(НД) Соответствие правилам долговых финансовых обязательств Группы]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GroupDebtRulesCompliance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(НД) Соответствие правилам долговых финансовых обязательств Группы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27. GroupDebtRulesAssessmentCollection</w:t>
      </w:r>
    </w:p>
    <w:p>
      <w:pPr>
        <w:spacing w:before="0" w:after="120"/>
      </w:pPr>
      <w:r>
        <w:rPr>
          <w:i/>
          <w:sz w:val="18"/>
        </w:rPr>
        <w:t>Таблица-коллекция [(НД) Оценка по правилам долговых финансовых обязательств Группы]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GroupDebtRulesAssesment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(НД) Соответствие правилам долговых финансовых обязательств Группы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28. AntimonopolyRulesAssessmentCollection</w:t>
      </w:r>
    </w:p>
    <w:p>
      <w:pPr>
        <w:spacing w:before="0" w:after="120"/>
      </w:pPr>
      <w:r>
        <w:rPr>
          <w:i/>
          <w:sz w:val="18"/>
        </w:rPr>
        <w:t>Таблица-коллекция [(НД) Оценка по антимонопольным правилам]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AntimonopolyRulesAssessment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(НД) Соответствие правилам долговых финансовых обязательств Группы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29. WinnersCollection</w:t>
      </w:r>
    </w:p>
    <w:p>
      <w:pPr>
        <w:spacing w:before="0" w:after="120"/>
      </w:pPr>
      <w:r>
        <w:rPr>
          <w:i/>
          <w:sz w:val="18"/>
        </w:rPr>
        <w:t>Таблица-коллекция [Победители]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CurrencyExternalId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Валюта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Advance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Аванс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BankGuarantee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Банковская гарантия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30. ReserversCollection</w:t>
      </w:r>
    </w:p>
    <w:p>
      <w:pPr>
        <w:spacing w:before="0" w:after="120"/>
      </w:pPr>
      <w:r>
        <w:rPr>
          <w:i/>
          <w:sz w:val="18"/>
        </w:rPr>
        <w:t>Таблица-коллекция [Резервисты]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CurrencyExternalId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Валюта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Advance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Аванс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BankGarant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Банковская гарантия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QueueNumber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Номер очереди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31. SolutionCollection</w:t>
      </w:r>
    </w:p>
    <w:p>
      <w:pPr>
        <w:spacing w:before="0" w:after="120"/>
      </w:pPr>
      <w:r>
        <w:rPr>
          <w:i/>
          <w:sz w:val="18"/>
        </w:rPr>
        <w:t>Таблица-коллекция [Решение]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SolutionProject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nvarchar(1000)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Проект решения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nvarchar(1000)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Примечание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32. CustomerEnterprisesCollection</w:t>
      </w:r>
    </w:p>
    <w:p>
      <w:pPr>
        <w:spacing w:before="0" w:after="120"/>
      </w:pPr>
      <w:r>
        <w:rPr>
          <w:i/>
          <w:sz w:val="18"/>
        </w:rPr>
        <w:t>Таблица-коллекция [Предприятие заказчики]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CompanyExternalId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Организации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33. ParticipantsCollection</w:t>
      </w:r>
    </w:p>
    <w:p>
      <w:pPr>
        <w:spacing w:before="0" w:after="120"/>
      </w:pPr>
      <w:r>
        <w:rPr>
          <w:i/>
          <w:sz w:val="18"/>
        </w:rPr>
        <w:t>Таблица-коллекция [Участники]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CompanyExternalId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Организации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34. TmcCodesCollection</w:t>
      </w:r>
    </w:p>
    <w:p>
      <w:pPr>
        <w:spacing w:before="0" w:after="120"/>
      </w:pPr>
      <w:r>
        <w:rPr>
          <w:i/>
          <w:sz w:val="18"/>
        </w:rPr>
        <w:t>Таблица-коллекция [Коды ТМЦ]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TmcPaydoxId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Коды ТМЦ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35. OkvedCodesCollection</w:t>
      </w:r>
    </w:p>
    <w:p>
      <w:pPr>
        <w:spacing w:before="0" w:after="120"/>
      </w:pPr>
      <w:r>
        <w:rPr>
          <w:i/>
          <w:sz w:val="18"/>
        </w:rPr>
        <w:t>Таблица-коллекция [Коды ОКВЭД]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OkvedPaydoxId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Коды ТМЦ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36. ExternalLinksCollection</w:t>
      </w:r>
    </w:p>
    <w:p>
      <w:pPr>
        <w:spacing w:before="0" w:after="120"/>
      </w:pPr>
      <w:r>
        <w:rPr>
          <w:i/>
          <w:sz w:val="18"/>
        </w:rPr>
        <w:t>Таблица-коллекция [Внешние ссылки]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Link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Ссылка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Comment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Комментарий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37. AccessRights</w:t>
      </w:r>
    </w:p>
    <w:p>
      <w:pPr>
        <w:spacing w:before="0" w:after="120"/>
      </w:pPr>
      <w:r>
        <w:rPr>
          <w:i/>
          <w:sz w:val="18"/>
        </w:rPr>
        <w:t>Таблица [Права доступа]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FirstDocPaydoxId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SecondDocPaydoxId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AccessRightType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Тип прав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38. DocumentRelations</w:t>
      </w:r>
    </w:p>
    <w:p>
      <w:pPr>
        <w:spacing w:before="0" w:after="120"/>
      </w:pPr>
      <w:r>
        <w:rPr>
          <w:i/>
          <w:sz w:val="18"/>
        </w:rPr>
        <w:t>Таблица [Связи между документами]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FirstDocPaydoxId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SecondDocPaydoxId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RelationType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Тип связи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39. DocVersion</w:t>
      </w:r>
    </w:p>
    <w:p>
      <w:pPr>
        <w:spacing w:before="0" w:after="120"/>
      </w:pPr>
      <w:r>
        <w:rPr>
          <w:i/>
          <w:sz w:val="18"/>
        </w:rPr>
        <w:t>Таблица [Версии документов]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AddendumPaydoxId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nvarchar(190)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приложения, сгенерированный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Filepath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nvarchar(850)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Путь к файлу на сетевом диске; UNIQUE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 файла (приложения). Если это не основной документ, чтобы понимать как назвать карточку приложения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RxDocId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документа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RxVersionId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Версия документа в 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IsMain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Признак основного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IsSignature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Признак файла подписи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MainDocFilepath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nvarchar(850)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Для подписи — ссылка на версию основного файла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sectPr w:rsidR="00FC693F" w:rsidRPr="0006063C" w:rsidSect="00034616">
      <w:pgSz w:w="16838" w:h="11906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