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Woody</w:t>
      </w:r>
      <w:r>
        <w:t xml:space="preserve"> </w:t>
      </w:r>
      <w:r>
        <w:t xml:space="preserve">Veg</w:t>
      </w:r>
      <w:r>
        <w:t xml:space="preserve"> </w:t>
      </w:r>
      <w:r>
        <w:t xml:space="preserve">Methods</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30" w:name="methods"/>
    <w:p>
      <w:pPr>
        <w:pStyle w:val="Heading1"/>
      </w:pPr>
      <w:r>
        <w:t xml:space="preserve">Methods</w:t>
      </w:r>
    </w:p>
    <w:p>
      <w:pPr>
        <w:pStyle w:val="FirstParagraph"/>
      </w:pPr>
      <w:r>
        <w:t xml:space="preserve">We model four iconic species of woody vegetation in the Murray-Darling Basin (</w:t>
      </w:r>
      <w:hyperlink w:anchor="fig-mdb">
        <w:r>
          <w:rPr>
            <w:rStyle w:val="Hyperlink"/>
          </w:rPr>
          <w:t xml:space="preserve">Figure 1</w:t>
        </w:r>
      </w:hyperlink>
      <w:r>
        <w:t xml:space="preserve">), Red Gum (</w:t>
      </w:r>
      <w:r>
        <w:rPr>
          <w:iCs/>
          <w:i/>
        </w:rPr>
        <w:t xml:space="preserve">Eucalyptus camaldulensis</w:t>
      </w:r>
      <w:r>
        <w:t xml:space="preserve">), Black Box (</w:t>
      </w:r>
      <w:r>
        <w:rPr>
          <w:iCs/>
          <w:i/>
        </w:rPr>
        <w:t xml:space="preserve">Eucalyptus largiflorens</w:t>
      </w:r>
      <w:r>
        <w:t xml:space="preserve">), Coolabah (</w:t>
      </w:r>
      <w:r>
        <w:rPr>
          <w:iCs/>
          <w:i/>
        </w:rPr>
        <w:t xml:space="preserve">Eucalyptus coolabah</w:t>
      </w:r>
      <w:r>
        <w:t xml:space="preserve">), and Lignum (</w:t>
      </w:r>
      <w:r>
        <w:rPr>
          <w:iCs/>
          <w:i/>
        </w:rPr>
        <w:t xml:space="preserve">Muehlenbeckia florulenta</w:t>
      </w:r>
      <w:r>
        <w:t xml:space="preserve">). We consider two approaches to assess favourability for woody vegetation in wetlands, as well as their combination. One approach is to consider the amount of inundation in wetlands of different wetland types, with inundation into the</w:t>
      </w:r>
      <w:r>
        <w:t xml:space="preserve"> </w:t>
      </w:r>
      <w:r>
        <w:t xml:space="preserve">‘</w:t>
      </w:r>
      <w:r>
        <w:t xml:space="preserve">correct</w:t>
      </w:r>
      <w:r>
        <w:t xml:space="preserve">’</w:t>
      </w:r>
      <w:r>
        <w:t xml:space="preserve"> </w:t>
      </w:r>
      <w:r>
        <w:t xml:space="preserve">wetland type for a species yielding favourable conditions. The other is to use models that capture biological processes to ask whether environmental conditions were favourable for those processes. Finally, we can combine the two, and ask whether environmental conditions were favourable for biological processes to occur in areas of</w:t>
      </w:r>
      <w:r>
        <w:t xml:space="preserve"> </w:t>
      </w:r>
      <w:r>
        <w:t xml:space="preserve">‘</w:t>
      </w:r>
      <w:r>
        <w:t xml:space="preserve">correct</w:t>
      </w:r>
      <w:r>
        <w:t xml:space="preserve">’</w:t>
      </w:r>
      <w:r>
        <w:t xml:space="preserve"> </w:t>
      </w:r>
      <w:r>
        <w:t xml:space="preserve">wetland type.</w:t>
      </w:r>
    </w:p>
    <w:p>
      <w:pPr>
        <w:pStyle w:val="BodyText"/>
      </w:pPr>
      <w:r>
        <w:rPr>
          <w:iCs/>
          <w:i/>
        </w:rPr>
        <w:t xml:space="preserve">We need something here about the logic of comparisons, but that might wait until we firm those comparisons up.</w:t>
      </w:r>
    </w:p>
    <w:tbl>
      <w:tblPr>
        <w:tblStyle w:val="Table"/>
        <w:tblW w:type="pct" w:w="5000"/>
        <w:tblLook w:firstRow="0" w:lastRow="0" w:firstColumn="0" w:lastColumn="0" w:noHBand="0" w:noVBand="0" w:val="0000"/>
        <w:jc w:val="start"/>
      </w:tblPr>
      <w:tblGrid>
        <w:gridCol w:w="7920"/>
      </w:tblGrid>
      <w:tr>
        <w:tc>
          <w:tcPr/>
          <w:bookmarkStart w:id="23" w:name="fig-mdb"/>
          <w:p>
            <w:pPr>
              <w:jc w:val="center"/>
            </w:pPr>
            <w:r>
              <w:drawing>
                <wp:inline>
                  <wp:extent cx="5727700" cy="4091214"/>
                  <wp:effectExtent b="0" l="0" r="0" t="0"/>
                  <wp:docPr descr="" title="" id="21" name="Picture"/>
                  <a:graphic>
                    <a:graphicData uri="http://schemas.openxmlformats.org/drawingml/2006/picture">
                      <pic:pic>
                        <pic:nvPicPr>
                          <pic:cNvPr descr="1_methods_files/figure-docx/fig-mdb-1.png" id="22" name="Picture"/>
                          <pic:cNvPicPr>
                            <a:picLocks noChangeArrowheads="1" noChangeAspect="1"/>
                          </pic:cNvPicPr>
                        </pic:nvPicPr>
                        <pic:blipFill>
                          <a:blip r:embed="rId20"/>
                          <a:stretch>
                            <a:fillRect/>
                          </a:stretch>
                        </pic:blipFill>
                        <pic:spPr bwMode="auto">
                          <a:xfrm>
                            <a:off x="0" y="0"/>
                            <a:ext cx="5727700" cy="40912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Murray-Darling basin in Eastern Australia. In this paper, we divide the basin into 25 major catchments, indicated here by color.</w:t>
            </w:r>
            <w:r>
              <w:t xml:space="preserve"> </w:t>
            </w:r>
            <w:r>
              <w:rPr>
                <w:iCs/>
                <w:i/>
              </w:rPr>
              <w:t xml:space="preserve">Labeling them is terrible because of all the little ones in Victoria, even if we zoom in to just the basin. Do we need to?</w:t>
            </w:r>
          </w:p>
          <w:bookmarkEnd w:id="23"/>
        </w:tc>
      </w:tr>
    </w:tbl>
    <w:bookmarkStart w:id="24" w:name="wetland-type-favourability"/>
    <w:p>
      <w:pPr>
        <w:pStyle w:val="Heading2"/>
      </w:pPr>
      <w:r>
        <w:t xml:space="preserve">Wetland type favourability</w:t>
      </w:r>
    </w:p>
    <w:p>
      <w:pPr>
        <w:pStyle w:val="FirstParagraph"/>
      </w:pPr>
      <w:r>
        <w:t xml:space="preserve">For each species, two sets of wetland types were chosen to comprise</w:t>
      </w:r>
      <w:r>
        <w:t xml:space="preserve"> </w:t>
      </w:r>
      <w:r>
        <w:t xml:space="preserve">‘</w:t>
      </w:r>
      <w:r>
        <w:t xml:space="preserve">favourable</w:t>
      </w:r>
      <w:r>
        <w:t xml:space="preserve">’</w:t>
      </w:r>
      <w:r>
        <w:t xml:space="preserve"> </w:t>
      </w:r>
      <w:r>
        <w:t xml:space="preserve">wetland types. First, a set of ANAE types with the species’ name in the type description was chosen, e.g. for red gum, the matching wetland types were</w:t>
      </w:r>
      <w:r>
        <w:t xml:space="preserve"> </w:t>
      </w:r>
      <w:r>
        <w:t xml:space="preserve">‘</w:t>
      </w:r>
      <w:r>
        <w:t xml:space="preserve">River red gum forest riparian zone or floodplain</w:t>
      </w:r>
      <w:r>
        <w:t xml:space="preserve">’</w:t>
      </w:r>
      <w:r>
        <w:t xml:space="preserve">,</w:t>
      </w:r>
      <w:r>
        <w:t xml:space="preserve"> </w:t>
      </w:r>
      <w:r>
        <w:t xml:space="preserve">‘</w:t>
      </w:r>
      <w:r>
        <w:t xml:space="preserve">River red gum woodland riparian zone or floodplain</w:t>
      </w:r>
      <w:r>
        <w:t xml:space="preserve">’</w:t>
      </w:r>
      <w:r>
        <w:t xml:space="preserve">, and</w:t>
      </w:r>
      <w:r>
        <w:t xml:space="preserve"> </w:t>
      </w:r>
      <w:r>
        <w:t xml:space="preserve">‘</w:t>
      </w:r>
      <w:r>
        <w:t xml:space="preserve">Temporary river red gum swamp</w:t>
      </w:r>
      <w:r>
        <w:t xml:space="preserve">’</w:t>
      </w:r>
      <w:r>
        <w:t xml:space="preserve">. The second set of habitats recognizes that species may be found in other wetland types than those that bear their name. To identify the set of wetland wetland types where a species might be found, we pulled all records from each species from the Atlas of Living Australia using the</w:t>
      </w:r>
      <w:r>
        <w:t xml:space="preserve"> </w:t>
      </w:r>
      <w:r>
        <w:t xml:space="preserve">‘</w:t>
      </w:r>
      <w:r>
        <w:t xml:space="preserve">galah</w:t>
      </w:r>
      <w:r>
        <w:t xml:space="preserve">’</w:t>
      </w:r>
      <w:r>
        <w:t xml:space="preserve"> </w:t>
      </w:r>
      <w:r>
        <w:t xml:space="preserve">R package (</w:t>
      </w:r>
      <w:r>
        <w:t xml:space="preserve">Westgate et al. (2024)</w:t>
      </w:r>
      <w:r>
        <w:t xml:space="preserve">). We then intersected those records with the ANAE polygons, extracting the wetland type (ANAE_DESC) for all polygons with records. This set of wetland types, not the specific polygons, were then used as the types where the species is observed to live. To avoid selecting spurious matches, we selected those wetland types with &gt; 0.5% of the records for that species. Thus, for each species, we have two sets of wetland types,</w:t>
      </w:r>
      <w:r>
        <w:t xml:space="preserve"> </w:t>
      </w:r>
      <w:r>
        <w:rPr>
          <w:iCs/>
          <w:i/>
        </w:rPr>
        <w:t xml:space="preserve">named</w:t>
      </w:r>
      <w:r>
        <w:t xml:space="preserve"> </w:t>
      </w:r>
      <w:r>
        <w:t xml:space="preserve">(defined by name), and</w:t>
      </w:r>
      <w:r>
        <w:t xml:space="preserve"> </w:t>
      </w:r>
      <w:r>
        <w:rPr>
          <w:iCs/>
          <w:i/>
        </w:rPr>
        <w:t xml:space="preserve">recorded</w:t>
      </w:r>
      <w:r>
        <w:t xml:space="preserve"> </w:t>
      </w:r>
      <w:r>
        <w:t xml:space="preserve">(defined by ALA records). See Appendix for tables and figures showing the counts of records in the ANAE wetland types, as well as their spatial distribution across the Murray-Darling Basin.</w:t>
      </w:r>
      <w:r>
        <w:t xml:space="preserve"> </w:t>
      </w:r>
      <w:r>
        <w:rPr>
          <w:iCs/>
          <w:i/>
        </w:rPr>
        <w:t xml:space="preserve">It seems like might as well push everything to an appendix, but we can pull the red gum figure or table up here as an example if we want.</w:t>
      </w:r>
    </w:p>
    <w:bookmarkEnd w:id="24"/>
    <w:bookmarkStart w:id="26" w:name="biological-favourability"/>
    <w:p>
      <w:pPr>
        <w:pStyle w:val="Heading2"/>
      </w:pPr>
      <w:r>
        <w:t xml:space="preserve">Biological favourability</w:t>
      </w:r>
    </w:p>
    <w:p>
      <w:pPr>
        <w:pStyle w:val="FirstParagraph"/>
      </w:pPr>
      <w:r>
        <w:t xml:space="preserve">Biological, process-based models were developed with a strictures-and-promoters framework (</w:t>
      </w:r>
      <w:r>
        <w:t xml:space="preserve">Lester et al. (2020)</w:t>
      </w:r>
      <w:r>
        <w:t xml:space="preserve">), which is a simplified process-based model especially suitable for situations with limited knowledge. This approach captures the major known limitations and requirements of species, while also maintaining a life-cycle focus. The focus on life cycles gives the opportunity to identify issues such as the most-limiting life stage and understand why apparently favourable conditions at one life stage may not lead to positive outcomes for populations.</w:t>
      </w:r>
    </w:p>
    <w:p>
      <w:pPr>
        <w:pStyle w:val="BodyText"/>
      </w:pPr>
      <w:r>
        <w:t xml:space="preserve">Three primary life stages for each species were modeled; adults, regeneration (germination or sprouting), and seedling survival. For each species, we identified major environmental requirements for each life stage from the literature, each with several environmental requirements</w:t>
      </w:r>
      <w:r>
        <w:t xml:space="preserve"> </w:t>
      </w:r>
      <w:hyperlink w:anchor="tbl-env-reqs">
        <w:r>
          <w:rPr>
            <w:rStyle w:val="Hyperlink"/>
          </w:rPr>
          <w:t xml:space="preserve">Table 1</w:t>
        </w:r>
      </w:hyperlink>
      <w:r>
        <w:t xml:space="preserve">. Favourability for adult condition and survival depends on inundation, with strictures arising from excessive inundation (continuous inundation can waterlog or drown roots), the interval between inundation events (most species require inundation at some frequency), and the season in which those events occur. For regeneration, some species have a favourable season, likely due to temperatures, and all require preceding inundation followed by sustained moisture duration over several days. The seedling stage then extends this requirement for soil moisture over months to allow growth past the cotyledon stage and establishment of robust root systems. While these plants need recurrent flooding for establishment and persistence, the seedling stages tend to be sensitive to excessive flooding, and so we also include seedling failure with prolonged inundation.</w:t>
      </w:r>
    </w:p>
    <w:bookmarkStart w:id="25" w:name="tbl-env-reqs"/>
    <w:p>
      <w:pPr>
        <w:pStyle w:val="TableCaption"/>
      </w:pPr>
      <w:r>
        <w:t xml:space="preserve">Table 1: Inundation and soil moisture requirements for four species of wetland-dependent woody vegetation in the Murray-Darling Basin, with references. Because inundation data is bimonthly, seasonality has been approximated as closely as possible given the limitations of those two-month units, and statements such as</w:t>
      </w:r>
      <w:r>
        <w:t xml:space="preserve"> </w:t>
      </w:r>
      <w:r>
        <w:t xml:space="preserve">‘</w:t>
      </w:r>
      <w:r>
        <w:t xml:space="preserve">several months of inundation</w:t>
      </w:r>
      <w:r>
        <w:t xml:space="preserve">’</w:t>
      </w:r>
      <w:r>
        <w:t xml:space="preserve"> </w:t>
      </w:r>
      <w:r>
        <w:t xml:space="preserve">have been translated to &gt; 2 months.</w:t>
      </w:r>
    </w:p>
    <w:tbl>
      <w:tblPr>
        <w:tblStyle w:val="Table"/>
        <w:tblW w:type="pct" w:w="4921"/>
        <w:tblLook w:firstRow="1" w:lastRow="0" w:firstColumn="0" w:lastColumn="0" w:noHBand="0" w:noVBand="0" w:val="0020"/>
        <w:jc w:val="start"/>
        <w:tblCaption w:val="Table 1: Inundation and soil moisture requirements for four species of wetland-dependent woody vegetation in the Murray-Darling Basin, with references. Because inundation data is bimonthly, seasonality has been approximated as closely as possible given the limitations of those two-month units, and statements such as ‘several months of inundation’ have been translated to &gt; 2 months."/>
      </w:tblPr>
      <w:tblGrid>
        <w:gridCol w:w="249"/>
        <w:gridCol w:w="1621"/>
        <w:gridCol w:w="831"/>
        <w:gridCol w:w="561"/>
        <w:gridCol w:w="1600"/>
        <w:gridCol w:w="914"/>
        <w:gridCol w:w="935"/>
        <w:gridCol w:w="1080"/>
      </w:tblGrid>
      <w:tr>
        <w:trPr>
          <w:tblHeader w:val="true"/>
        </w:trPr>
        <w:tc>
          <w:tcPr/>
          <w:p>
            <w:pPr>
              <w:pStyle w:val="Compact"/>
              <w:jc w:val="left"/>
            </w:pPr>
            <w:r>
              <w:t xml:space="preserve">Species</w:t>
            </w:r>
          </w:p>
        </w:tc>
        <w:tc>
          <w:tcPr/>
          <w:p>
            <w:pPr>
              <w:pStyle w:val="Compact"/>
              <w:jc w:val="left"/>
            </w:pPr>
            <w:r>
              <w:t xml:space="preserve">Regeneration season</w:t>
            </w:r>
          </w:p>
        </w:tc>
        <w:tc>
          <w:tcPr/>
          <w:p>
            <w:pPr>
              <w:pStyle w:val="Compact"/>
              <w:jc w:val="left"/>
            </w:pPr>
            <w:r>
              <w:t xml:space="preserve">Regeneration moisture duration (days)</w:t>
            </w:r>
          </w:p>
        </w:tc>
        <w:tc>
          <w:tcPr/>
          <w:p>
            <w:pPr>
              <w:pStyle w:val="Compact"/>
              <w:jc w:val="left"/>
            </w:pPr>
            <w:r>
              <w:t xml:space="preserve">Seedling period (months)</w:t>
            </w:r>
          </w:p>
        </w:tc>
        <w:tc>
          <w:tcPr/>
          <w:p>
            <w:pPr>
              <w:pStyle w:val="Compact"/>
              <w:jc w:val="left"/>
            </w:pPr>
            <w:r>
              <w:t xml:space="preserve">Seedling excessive inundation (months)</w:t>
            </w:r>
          </w:p>
        </w:tc>
        <w:tc>
          <w:tcPr/>
          <w:p>
            <w:pPr>
              <w:pStyle w:val="Compact"/>
              <w:jc w:val="left"/>
            </w:pPr>
            <w:r>
              <w:t xml:space="preserve">Adult excessive inundation (months)</w:t>
            </w:r>
          </w:p>
        </w:tc>
        <w:tc>
          <w:tcPr/>
          <w:p>
            <w:pPr>
              <w:pStyle w:val="Compact"/>
              <w:jc w:val="left"/>
            </w:pPr>
            <w:r>
              <w:t xml:space="preserve">Adult inundation interval (months)</w:t>
            </w:r>
          </w:p>
        </w:tc>
        <w:tc>
          <w:tcPr/>
          <w:p>
            <w:pPr>
              <w:pStyle w:val="Compact"/>
              <w:jc w:val="left"/>
            </w:pPr>
            <w:r>
              <w:t xml:space="preserve">Adult inundation season</w:t>
            </w:r>
          </w:p>
        </w:tc>
      </w:tr>
      <w:tr>
        <w:tc>
          <w:tcPr/>
          <w:p>
            <w:pPr>
              <w:pStyle w:val="Compact"/>
              <w:jc w:val="left"/>
            </w:pPr>
            <w:r>
              <w:t xml:space="preserve">Red gum</w:t>
            </w:r>
          </w:p>
        </w:tc>
        <w:tc>
          <w:tcPr/>
          <w:p>
            <w:pPr>
              <w:pStyle w:val="Compact"/>
              <w:jc w:val="left"/>
            </w:pPr>
            <w:r>
              <w:t xml:space="preserve">Sept-Dec (</w:t>
            </w:r>
            <w:r>
              <w:t xml:space="preserve">‘</w:t>
            </w:r>
            <w:r>
              <w:t xml:space="preserve">Spring to early summer</w:t>
            </w:r>
            <w:r>
              <w:t xml:space="preserve">’</w:t>
            </w:r>
            <w:r>
              <w:t xml:space="preserve">)</w:t>
            </w:r>
            <w:r>
              <w:t xml:space="preserve"> </w:t>
            </w:r>
            <w:r>
              <w:t xml:space="preserve">(Rogers and Ralph 2011; Johns et al. 2009)</w:t>
            </w:r>
          </w:p>
        </w:tc>
        <w:tc>
          <w:tcPr/>
          <w:p>
            <w:pPr>
              <w:pStyle w:val="Compact"/>
              <w:jc w:val="left"/>
            </w:pPr>
            <w:r>
              <w:t xml:space="preserve">14</w:t>
            </w:r>
            <w:r>
              <w:t xml:space="preserve"> </w:t>
            </w:r>
            <w:r>
              <w:t xml:space="preserve">(Casanova 2015)</w:t>
            </w:r>
          </w:p>
        </w:tc>
        <w:tc>
          <w:tcPr/>
          <w:p>
            <w:pPr>
              <w:pStyle w:val="Compact"/>
              <w:jc w:val="left"/>
            </w:pPr>
            <w:r>
              <w:t xml:space="preserve">4.5</w:t>
            </w:r>
            <w:r>
              <w:t xml:space="preserve"> </w:t>
            </w:r>
            <w:r>
              <w:t xml:space="preserve">(Roberts and Marston 2011)</w:t>
            </w:r>
          </w:p>
        </w:tc>
        <w:tc>
          <w:tcPr/>
          <w:p>
            <w:pPr>
              <w:pStyle w:val="Compact"/>
              <w:jc w:val="left"/>
            </w:pPr>
            <w:r>
              <w:t xml:space="preserve">&gt;2,</w:t>
            </w:r>
            <w:r>
              <w:t xml:space="preserve"> </w:t>
            </w:r>
            <w:r>
              <w:t xml:space="preserve">‘</w:t>
            </w:r>
            <w:r>
              <w:t xml:space="preserve">several months</w:t>
            </w:r>
            <w:r>
              <w:t xml:space="preserve">’</w:t>
            </w:r>
            <w:r>
              <w:t xml:space="preserve"> </w:t>
            </w:r>
            <w:r>
              <w:t xml:space="preserve">(Johns et al. 2009; Dexter 1978)</w:t>
            </w:r>
          </w:p>
        </w:tc>
        <w:tc>
          <w:tcPr/>
          <w:p>
            <w:pPr>
              <w:pStyle w:val="Compact"/>
              <w:jc w:val="left"/>
            </w:pPr>
            <w:r>
              <w:t xml:space="preserve">24</w:t>
            </w:r>
            <w:r>
              <w:t xml:space="preserve"> </w:t>
            </w:r>
            <w:r>
              <w:t xml:space="preserve">(Rogers and Ralph 2011)</w:t>
            </w:r>
          </w:p>
        </w:tc>
        <w:tc>
          <w:tcPr/>
          <w:p>
            <w:pPr>
              <w:pStyle w:val="Compact"/>
              <w:jc w:val="left"/>
            </w:pPr>
            <w:r>
              <w:t xml:space="preserve">48</w:t>
            </w:r>
            <w:r>
              <w:t xml:space="preserve"> </w:t>
            </w:r>
            <w:r>
              <w:t xml:space="preserve">(Rogers and Ralph 2011)</w:t>
            </w:r>
          </w:p>
        </w:tc>
        <w:tc>
          <w:tcPr/>
          <w:p>
            <w:pPr>
              <w:pStyle w:val="Compact"/>
              <w:jc w:val="left"/>
            </w:pPr>
            <w:r>
              <w:t xml:space="preserve">July-Dec (</w:t>
            </w:r>
            <w:r>
              <w:t xml:space="preserve">‘</w:t>
            </w:r>
            <w:r>
              <w:t xml:space="preserve">winter to early summer</w:t>
            </w:r>
            <w:r>
              <w:t xml:space="preserve">’</w:t>
            </w:r>
            <w:r>
              <w:t xml:space="preserve">)</w:t>
            </w:r>
            <w:r>
              <w:t xml:space="preserve"> </w:t>
            </w:r>
            <w:r>
              <w:t xml:space="preserve">(Rogers and Ralph 2011)</w:t>
            </w:r>
          </w:p>
        </w:tc>
      </w:tr>
      <w:tr>
        <w:tc>
          <w:tcPr/>
          <w:p>
            <w:pPr>
              <w:pStyle w:val="Compact"/>
              <w:jc w:val="left"/>
            </w:pPr>
            <w:r>
              <w:t xml:space="preserve">Black box</w:t>
            </w:r>
          </w:p>
        </w:tc>
        <w:tc>
          <w:tcPr/>
          <w:p>
            <w:pPr>
              <w:pStyle w:val="Compact"/>
              <w:jc w:val="left"/>
            </w:pPr>
            <w:r>
              <w:t xml:space="preserve">May-October (Northern basin), November-March (Southern basin)</w:t>
            </w:r>
            <w:r>
              <w:t xml:space="preserve"> </w:t>
            </w:r>
            <w:r>
              <w:t xml:space="preserve">(Rogers and Ralph 2011)</w:t>
            </w:r>
          </w:p>
        </w:tc>
        <w:tc>
          <w:tcPr/>
          <w:p>
            <w:pPr>
              <w:pStyle w:val="Compact"/>
              <w:jc w:val="left"/>
            </w:pPr>
            <w:r>
              <w:t xml:space="preserve">10</w:t>
            </w:r>
            <w:r>
              <w:t xml:space="preserve"> </w:t>
            </w:r>
            <w:r>
              <w:t xml:space="preserve">(Jensen 2008)</w:t>
            </w:r>
          </w:p>
        </w:tc>
        <w:tc>
          <w:tcPr/>
          <w:p>
            <w:pPr>
              <w:pStyle w:val="Compact"/>
              <w:jc w:val="left"/>
            </w:pPr>
            <w:r>
              <w:t xml:space="preserve">6</w:t>
            </w:r>
            <w:r>
              <w:t xml:space="preserve"> </w:t>
            </w:r>
            <w:r>
              <w:t xml:space="preserve">(Roberts and Marston 2011)</w:t>
            </w:r>
          </w:p>
        </w:tc>
        <w:tc>
          <w:tcPr/>
          <w:p>
            <w:pPr>
              <w:pStyle w:val="Compact"/>
              <w:jc w:val="left"/>
            </w:pPr>
            <w:r>
              <w:t xml:space="preserve">&gt;2,</w:t>
            </w:r>
            <w:r>
              <w:t xml:space="preserve"> </w:t>
            </w:r>
            <w:r>
              <w:t xml:space="preserve">‘</w:t>
            </w:r>
            <w:r>
              <w:t xml:space="preserve">70 days</w:t>
            </w:r>
            <w:r>
              <w:t xml:space="preserve">’</w:t>
            </w:r>
            <w:r>
              <w:t xml:space="preserve"> </w:t>
            </w:r>
            <w:r>
              <w:t xml:space="preserve">(Johns et al. 2009)</w:t>
            </w:r>
          </w:p>
        </w:tc>
        <w:tc>
          <w:tcPr/>
          <w:p>
            <w:pPr>
              <w:pStyle w:val="Compact"/>
              <w:jc w:val="left"/>
            </w:pPr>
            <w:r>
              <w:t xml:space="preserve">5</w:t>
            </w:r>
            <w:r>
              <w:t xml:space="preserve"> </w:t>
            </w:r>
            <w:r>
              <w:t xml:space="preserve">(Rogers and Ralph 2011)</w:t>
            </w:r>
          </w:p>
        </w:tc>
        <w:tc>
          <w:tcPr/>
          <w:p>
            <w:pPr>
              <w:pStyle w:val="Compact"/>
              <w:jc w:val="left"/>
            </w:pPr>
            <w:r>
              <w:t xml:space="preserve">96 (8 years)</w:t>
            </w:r>
            <w:r>
              <w:t xml:space="preserve"> </w:t>
            </w:r>
            <w:r>
              <w:t xml:space="preserve">(Rogers and Ralph 2011)</w:t>
            </w:r>
          </w:p>
        </w:tc>
        <w:tc>
          <w:tcPr/>
          <w:p>
            <w:pPr>
              <w:pStyle w:val="Compact"/>
              <w:jc w:val="left"/>
            </w:pPr>
            <w:r>
              <w:t xml:space="preserve">year-round</w:t>
            </w:r>
            <w:r>
              <w:t xml:space="preserve"> </w:t>
            </w:r>
            <w:r>
              <w:t xml:space="preserve">(Rogers and Ralph 2011)</w:t>
            </w:r>
          </w:p>
        </w:tc>
      </w:tr>
      <w:tr>
        <w:tc>
          <w:tcPr/>
          <w:p>
            <w:pPr>
              <w:pStyle w:val="Compact"/>
              <w:jc w:val="left"/>
            </w:pPr>
            <w:r>
              <w:t xml:space="preserve">Coolabah</w:t>
            </w:r>
          </w:p>
        </w:tc>
        <w:tc>
          <w:tcPr/>
          <w:p>
            <w:pPr>
              <w:pStyle w:val="Compact"/>
              <w:jc w:val="left"/>
            </w:pPr>
            <w:r>
              <w:t xml:space="preserve">Jan-April</w:t>
            </w:r>
            <w:r>
              <w:t xml:space="preserve"> </w:t>
            </w:r>
            <w:r>
              <w:t xml:space="preserve">‘</w:t>
            </w:r>
            <w:r>
              <w:t xml:space="preserve">late summer</w:t>
            </w:r>
            <w:r>
              <w:t xml:space="preserve">’</w:t>
            </w:r>
            <w:r>
              <w:t xml:space="preserve"> </w:t>
            </w:r>
            <w:r>
              <w:t xml:space="preserve">‘</w:t>
            </w:r>
            <w:r>
              <w:t xml:space="preserve">high temperature</w:t>
            </w:r>
            <w:r>
              <w:t xml:space="preserve">’</w:t>
            </w:r>
            <w:r>
              <w:t xml:space="preserve"> </w:t>
            </w:r>
            <w:r>
              <w:t xml:space="preserve">(Rogers and Ralph 2011; Roberts and Marston 2011)</w:t>
            </w:r>
          </w:p>
        </w:tc>
        <w:tc>
          <w:tcPr/>
          <w:p>
            <w:pPr>
              <w:pStyle w:val="Compact"/>
              <w:jc w:val="left"/>
            </w:pPr>
            <w:r>
              <w:t xml:space="preserve">14</w:t>
            </w:r>
            <w:r>
              <w:t xml:space="preserve"> </w:t>
            </w:r>
            <w:r>
              <w:t xml:space="preserve">(Casanova 2015)</w:t>
            </w:r>
          </w:p>
        </w:tc>
        <w:tc>
          <w:tcPr/>
          <w:p>
            <w:pPr>
              <w:pStyle w:val="Compact"/>
              <w:jc w:val="left"/>
            </w:pPr>
            <w:r>
              <w:t xml:space="preserve">6</w:t>
            </w:r>
          </w:p>
        </w:tc>
        <w:tc>
          <w:tcPr/>
          <w:p>
            <w:pPr>
              <w:pStyle w:val="Compact"/>
              <w:jc w:val="left"/>
            </w:pPr>
            <w:r>
              <w:t xml:space="preserve">No information</w:t>
            </w:r>
            <w:r>
              <w:t xml:space="preserve"> </w:t>
            </w:r>
            <w:r>
              <w:t xml:space="preserve">(Rogers and Ralph 2011; Durant et al. 2016)</w:t>
            </w:r>
          </w:p>
        </w:tc>
        <w:tc>
          <w:tcPr/>
          <w:p>
            <w:pPr>
              <w:pStyle w:val="Compact"/>
              <w:jc w:val="left"/>
            </w:pPr>
            <w:r>
              <w:t xml:space="preserve">No information</w:t>
            </w:r>
            <w:r>
              <w:t xml:space="preserve"> </w:t>
            </w:r>
            <w:r>
              <w:t xml:space="preserve">(Rogers and Ralph 2011; Durant et al. 2016)</w:t>
            </w:r>
          </w:p>
        </w:tc>
        <w:tc>
          <w:tcPr/>
          <w:p>
            <w:pPr>
              <w:pStyle w:val="Compact"/>
              <w:jc w:val="left"/>
            </w:pPr>
            <w:r>
              <w:t xml:space="preserve">240 (20 years)</w:t>
            </w:r>
            <w:r>
              <w:t xml:space="preserve"> </w:t>
            </w:r>
            <w:r>
              <w:t xml:space="preserve">(Rogers and Ralph 2011; Roberts and Marston 2011)</w:t>
            </w:r>
          </w:p>
        </w:tc>
        <w:tc>
          <w:tcPr/>
          <w:p>
            <w:pPr>
              <w:jc w:val="left"/>
            </w:pPr>
            <w:r>
              <w:t xml:space="preserve">No data, year-round</w:t>
            </w:r>
          </w:p>
          <w:p>
            <w:pPr>
              <w:jc w:val="left"/>
            </w:pPr>
            <w:r>
              <w:t xml:space="preserve">(Rogers and Ralph 2011)</w:t>
            </w:r>
          </w:p>
        </w:tc>
      </w:tr>
      <w:tr>
        <w:tc>
          <w:tcPr/>
          <w:p>
            <w:pPr>
              <w:pStyle w:val="Compact"/>
              <w:jc w:val="left"/>
            </w:pPr>
            <w:r>
              <w:t xml:space="preserve">Lignum</w:t>
            </w:r>
          </w:p>
        </w:tc>
        <w:tc>
          <w:tcPr/>
          <w:p>
            <w:pPr>
              <w:pStyle w:val="Compact"/>
              <w:jc w:val="left"/>
            </w:pPr>
            <w:r>
              <w:t xml:space="preserve">Sept-April</w:t>
            </w:r>
            <w:r>
              <w:t xml:space="preserve"> </w:t>
            </w:r>
            <w:r>
              <w:t xml:space="preserve">‘</w:t>
            </w:r>
            <w:r>
              <w:t xml:space="preserve">spring to autumn</w:t>
            </w:r>
            <w:r>
              <w:t xml:space="preserve">’</w:t>
            </w:r>
            <w:r>
              <w:t xml:space="preserve"> </w:t>
            </w:r>
            <w:r>
              <w:t xml:space="preserve">(Rogers and Ralph 2011; Casanova 2015)</w:t>
            </w:r>
          </w:p>
        </w:tc>
        <w:tc>
          <w:tcPr/>
          <w:p>
            <w:pPr>
              <w:pStyle w:val="Compact"/>
              <w:jc w:val="left"/>
            </w:pPr>
            <w:r>
              <w:t xml:space="preserve">14</w:t>
            </w:r>
            <w:r>
              <w:t xml:space="preserve"> </w:t>
            </w:r>
            <w:r>
              <w:t xml:space="preserve">(Casanova 2015)</w:t>
            </w:r>
          </w:p>
        </w:tc>
        <w:tc>
          <w:tcPr/>
          <w:p>
            <w:pPr>
              <w:pStyle w:val="Compact"/>
              <w:jc w:val="left"/>
            </w:pPr>
            <w:r>
              <w:t xml:space="preserve">3</w:t>
            </w:r>
            <w:r>
              <w:t xml:space="preserve"> </w:t>
            </w:r>
            <w:r>
              <w:t xml:space="preserve">(Capon et al. 2009)</w:t>
            </w:r>
          </w:p>
        </w:tc>
        <w:tc>
          <w:tcPr/>
          <w:p>
            <w:pPr>
              <w:pStyle w:val="Compact"/>
              <w:jc w:val="left"/>
            </w:pPr>
            <w:r>
              <w:t xml:space="preserve">&gt;1 (any inundation during the seedling period)</w:t>
            </w:r>
            <w:r>
              <w:t xml:space="preserve"> </w:t>
            </w:r>
            <w:r>
              <w:t xml:space="preserve">(Roberts and Marston 2011; Capon et al. 2009)</w:t>
            </w:r>
          </w:p>
        </w:tc>
        <w:tc>
          <w:tcPr/>
          <w:p>
            <w:pPr>
              <w:pStyle w:val="Compact"/>
              <w:jc w:val="left"/>
            </w:pPr>
            <w:r>
              <w:t xml:space="preserve">12</w:t>
            </w:r>
            <w:r>
              <w:t xml:space="preserve"> </w:t>
            </w:r>
            <w:r>
              <w:t xml:space="preserve">(Rogers and Ralph 2011)</w:t>
            </w:r>
          </w:p>
        </w:tc>
        <w:tc>
          <w:tcPr/>
          <w:p>
            <w:pPr>
              <w:pStyle w:val="Compact"/>
              <w:jc w:val="left"/>
            </w:pPr>
            <w:r>
              <w:t xml:space="preserve">120 (10 years)</w:t>
            </w:r>
            <w:r>
              <w:t xml:space="preserve"> </w:t>
            </w:r>
            <w:r>
              <w:t xml:space="preserve">(Rogers and Ralph 2011)</w:t>
            </w:r>
          </w:p>
        </w:tc>
        <w:tc>
          <w:tcPr/>
          <w:p>
            <w:pPr>
              <w:pStyle w:val="Compact"/>
              <w:jc w:val="left"/>
            </w:pPr>
            <w:r>
              <w:t xml:space="preserve">Sept-Dec</w:t>
            </w:r>
            <w:r>
              <w:t xml:space="preserve"> </w:t>
            </w:r>
            <w:r>
              <w:t xml:space="preserve">‘</w:t>
            </w:r>
            <w:r>
              <w:t xml:space="preserve">spring- early summer</w:t>
            </w:r>
            <w:r>
              <w:t xml:space="preserve">’</w:t>
            </w:r>
            <w:r>
              <w:t xml:space="preserve"> </w:t>
            </w:r>
            <w:r>
              <w:t xml:space="preserve">(Rogers and Ralph 2011)</w:t>
            </w:r>
          </w:p>
        </w:tc>
      </w:tr>
    </w:tbl>
    <w:bookmarkEnd w:id="25"/>
    <w:p>
      <w:pPr>
        <w:pStyle w:val="BodyText"/>
      </w:pPr>
      <w:r>
        <w:t xml:space="preserve">Conditions favourable for each life stage were assessed both independently and as part of a life cycle. For example, conditions may be favourable for seedling survival, but if there was no preceding germination, then we would say that conditions were not favourable for overall recruitment. These species can be very long-lived as adults (hundreds of years) and do not have persistent soil seed banks</w:t>
      </w:r>
      <w:r>
        <w:t xml:space="preserve"> </w:t>
      </w:r>
      <w:r>
        <w:t xml:space="preserve">(Roberts and Marston 2011)</w:t>
      </w:r>
      <w:r>
        <w:t xml:space="preserve">. Thus, we consider the</w:t>
      </w:r>
      <w:r>
        <w:t xml:space="preserve"> </w:t>
      </w:r>
      <w:r>
        <w:t xml:space="preserve">‘</w:t>
      </w:r>
      <w:r>
        <w:t xml:space="preserve">reference</w:t>
      </w:r>
      <w:r>
        <w:t xml:space="preserve">’</w:t>
      </w:r>
      <w:r>
        <w:t xml:space="preserve"> </w:t>
      </w:r>
      <w:r>
        <w:t xml:space="preserve">stage of the population cycle to be adults. To incorporate the life cycle into the stricture calculations, regeneration (germination or sprouting) requires the presence of adults to provide seeds or stems and recruitment requires successful regeneration to provide the initial stock of growing seedlings. Conceptually, new adult recruitment would require these seedlings. However, due to the short data availability relative to adult persistence and the simplicity of the model, we do not create a fully-dynamic population model. Instead, we interpret the outcome of the adults-regeneration-recruitment sequence as favourable conditions for recruitment to the persistent adult stage. For clarity, throughout the results we use different names for the stages when considered independently or in sequence, with</w:t>
      </w:r>
      <w:r>
        <w:t xml:space="preserve"> </w:t>
      </w:r>
      <w:r>
        <w:t xml:space="preserve">‘</w:t>
      </w:r>
      <w:r>
        <w:t xml:space="preserve">Germination</w:t>
      </w:r>
      <w:r>
        <w:t xml:space="preserve">’</w:t>
      </w:r>
      <w:r>
        <w:t xml:space="preserve"> </w:t>
      </w:r>
      <w:r>
        <w:t xml:space="preserve">used for the independent germination and sprouting stage and</w:t>
      </w:r>
      <w:r>
        <w:t xml:space="preserve"> </w:t>
      </w:r>
      <w:r>
        <w:t xml:space="preserve">‘</w:t>
      </w:r>
      <w:r>
        <w:t xml:space="preserve">Seedling</w:t>
      </w:r>
      <w:r>
        <w:t xml:space="preserve">’</w:t>
      </w:r>
      <w:r>
        <w:t xml:space="preserve"> </w:t>
      </w:r>
      <w:r>
        <w:t xml:space="preserve">for independent seedling survival, while</w:t>
      </w:r>
      <w:r>
        <w:t xml:space="preserve"> </w:t>
      </w:r>
      <w:r>
        <w:t xml:space="preserve">‘</w:t>
      </w:r>
      <w:r>
        <w:t xml:space="preserve">Regeneration</w:t>
      </w:r>
      <w:r>
        <w:t xml:space="preserve">’</w:t>
      </w:r>
      <w:r>
        <w:t xml:space="preserve"> </w:t>
      </w:r>
      <w:r>
        <w:t xml:space="preserve">and</w:t>
      </w:r>
      <w:r>
        <w:t xml:space="preserve"> </w:t>
      </w:r>
      <w:r>
        <w:t xml:space="preserve">‘</w:t>
      </w:r>
      <w:r>
        <w:t xml:space="preserve">Recruitment</w:t>
      </w:r>
      <w:r>
        <w:t xml:space="preserve">’</w:t>
      </w:r>
      <w:r>
        <w:t xml:space="preserve"> </w:t>
      </w:r>
      <w:r>
        <w:t xml:space="preserve">are used for germination with preceding adult favourability and seedling survival with preceding regeneration favourability, respectively.</w:t>
      </w:r>
    </w:p>
    <w:p>
      <w:pPr>
        <w:pStyle w:val="BodyText"/>
      </w:pPr>
      <w:r>
        <w:rPr>
          <w:iCs/>
          <w:i/>
        </w:rPr>
        <w:t xml:space="preserve">Feels like discussion, but might be needed here to justify</w:t>
      </w:r>
      <w:r>
        <w:t xml:space="preserve">: The conditions defined here are a subset of the requirements for maintaining viable populations. Other life stages exist, other requirements exist for these life stages, and reality is far more nuanced. However, those chosen here form the primary types of requirements listed in major works about woody vegetation in the basin,</w:t>
      </w:r>
      <w:r>
        <w:t xml:space="preserve"> </w:t>
      </w:r>
      <w:r>
        <w:t xml:space="preserve">(e.g. Rogers and Ralph 2011; Roberts and Marston 2011)</w:t>
      </w:r>
      <w:r>
        <w:t xml:space="preserve"> </w:t>
      </w:r>
      <w:r>
        <w:t xml:space="preserve">and are those for which there is the best available information in the literature. Most importantly, the requirements here cause very large differences between life stages and species. Thus, while additional research would provide better models, the responses seen here are striking and the qualitative messages are unlikely to change as a more nuanced understanding of the biological processes develops.</w:t>
      </w:r>
    </w:p>
    <w:bookmarkEnd w:id="26"/>
    <w:bookmarkStart w:id="27" w:name="environmental-data"/>
    <w:p>
      <w:pPr>
        <w:pStyle w:val="Heading2"/>
      </w:pPr>
      <w:r>
        <w:t xml:space="preserve">Environmental data</w:t>
      </w:r>
    </w:p>
    <w:p>
      <w:pPr>
        <w:pStyle w:val="FirstParagraph"/>
      </w:pPr>
      <w:r>
        <w:t xml:space="preserve">We used two publicly-available datasets to establish environmental conditions for each model type- a two-monthly inundation depth layer</w:t>
      </w:r>
      <w:r>
        <w:t xml:space="preserve"> </w:t>
      </w:r>
      <w:r>
        <w:t xml:space="preserve">Teng et al. (2023)</w:t>
      </w:r>
      <w:r>
        <w:t xml:space="preserve"> </w:t>
      </w:r>
      <w:r>
        <w:t xml:space="preserve">and a daily soil moisture layer</w:t>
      </w:r>
      <w:r>
        <w:t xml:space="preserve"> </w:t>
      </w:r>
      <w:r>
        <w:t xml:space="preserve">Frost, Ramchurn, and Smith (2018)</w:t>
      </w:r>
      <w:r>
        <w:t xml:space="preserve">, chosen to capture environmental requirements of the species, with inundation also being a common hydrological proxy of favourability. Both of these datasets are raster timeseries, and were processed into a set of 287,680 wetland polygons comprising the Australian National Aquatic Ecosystem Classification (ANAE,</w:t>
      </w:r>
      <w:r>
        <w:t xml:space="preserve"> </w:t>
      </w:r>
      <w:r>
        <w:t xml:space="preserve">Brooks (2021)</w:t>
      </w:r>
      <w:r>
        <w:t xml:space="preserve">) spanning the entire Murray-Darling Basin. Processing rasters into polygons yields several advantages stemming from the wetland type classifications. The different wetland polygons define different types, and so flexibly account for areas of different sizes and shapes. Moreover, areas outside wetlands can be ignored. This allows much faster processing while dynamically adjusting grain size to match ecologically-relevant habitat units (see Holt et. al. </w:t>
      </w:r>
      <w:r>
        <w:rPr>
          <w:iCs/>
          <w:i/>
        </w:rPr>
        <w:t xml:space="preserve">in review</w:t>
      </w:r>
      <w:r>
        <w:t xml:space="preserve">). We processed the rasters into the polygons using the eFlowEval R package (Holt et. al. </w:t>
      </w:r>
      <w:r>
        <w:rPr>
          <w:iCs/>
          <w:i/>
        </w:rPr>
        <w:t xml:space="preserve">in review</w:t>
      </w:r>
      <w:r>
        <w:t xml:space="preserve">), yielding inundaton and soil moisture timeseries in each polygon. For inundation, the area inundated &gt; 5mm depth was calculated for each polygon, while for soil moisture, the area of each polygon with soil moisture between 10% and 30% was calculated, reflecting soil moisture requirements for recruitment and seedling survival</w:t>
      </w:r>
      <w:r>
        <w:t xml:space="preserve"> </w:t>
      </w:r>
      <w:r>
        <w:t xml:space="preserve">Jensen (2008)</w:t>
      </w:r>
      <w:r>
        <w:t xml:space="preserve">.</w:t>
      </w:r>
    </w:p>
    <w:bookmarkEnd w:id="27"/>
    <w:bookmarkStart w:id="28" w:name="assessing-favourability"/>
    <w:p>
      <w:pPr>
        <w:pStyle w:val="Heading2"/>
      </w:pPr>
      <w:r>
        <w:t xml:space="preserve">Assessing favourability</w:t>
      </w:r>
    </w:p>
    <w:p>
      <w:pPr>
        <w:pStyle w:val="FirstParagraph"/>
      </w:pPr>
      <w:r>
        <w:t xml:space="preserve">To assess favourability, we calculated the area of favourable conditions in each ANAE polygon at each timestep, as determined by the relevant models using the eFlowEval R package (Holt et. al. </w:t>
      </w:r>
      <w:r>
        <w:rPr>
          <w:iCs/>
          <w:i/>
        </w:rPr>
        <w:t xml:space="preserve">in review</w:t>
      </w:r>
      <w:r>
        <w:t xml:space="preserve">). This package was further used to aggregate the results to yearly timescales and both catchment and basin-scales for presentation and analysis. All analyses were done for each species independently, capturing their different habitats and life-cycle requirements.</w:t>
      </w:r>
    </w:p>
    <w:p>
      <w:pPr>
        <w:pStyle w:val="BodyText"/>
      </w:pPr>
      <w:r>
        <w:t xml:space="preserve">To assess favourability based solely on wetland type, we started with the raw areas of inundation in every ANAE polygon obtained from processing the environmental data and set those areas to zero unless the polygon had one of the favourable wetland types. Thus, we were left with two outcomes for each species: the area of inundation in</w:t>
      </w:r>
      <w:r>
        <w:t xml:space="preserve"> </w:t>
      </w:r>
      <w:r>
        <w:rPr>
          <w:iCs/>
          <w:i/>
        </w:rPr>
        <w:t xml:space="preserve">named</w:t>
      </w:r>
      <w:r>
        <w:t xml:space="preserve"> </w:t>
      </w:r>
      <w:r>
        <w:t xml:space="preserve">wetland types (with the species’ name) and area of inundation in</w:t>
      </w:r>
      <w:r>
        <w:t xml:space="preserve"> </w:t>
      </w:r>
      <w:r>
        <w:rPr>
          <w:iCs/>
          <w:i/>
        </w:rPr>
        <w:t xml:space="preserve">recorded</w:t>
      </w:r>
      <w:r>
        <w:t xml:space="preserve"> </w:t>
      </w:r>
      <w:r>
        <w:t xml:space="preserve">wetland types (those with recorded observations in the ALA). These form the</w:t>
      </w:r>
      <w:r>
        <w:t xml:space="preserve"> </w:t>
      </w:r>
      <w:r>
        <w:rPr>
          <w:iCs/>
          <w:i/>
        </w:rPr>
        <w:t xml:space="preserve">wetland type</w:t>
      </w:r>
      <w:r>
        <w:t xml:space="preserve"> </w:t>
      </w:r>
      <w:r>
        <w:t xml:space="preserve">set of results.</w:t>
      </w:r>
    </w:p>
    <w:p>
      <w:pPr>
        <w:pStyle w:val="BodyText"/>
      </w:pPr>
      <w:r>
        <w:t xml:space="preserve">To assess favourability from the biological requirements, we constructed a stricture-based model that assessed favourability for adults, germination, and seedling survival, with each species given values for the parameters shown in</w:t>
      </w:r>
      <w:r>
        <w:t xml:space="preserve"> </w:t>
      </w:r>
      <w:hyperlink w:anchor="tbl-env-reqs">
        <w:r>
          <w:rPr>
            <w:rStyle w:val="Hyperlink"/>
          </w:rPr>
          <w:t xml:space="preserve">Table 1</w:t>
        </w:r>
      </w:hyperlink>
      <w:r>
        <w:t xml:space="preserve">. These conditions were assessed at each timestep in each ANAE polygon for each species. The requirements necessarily include not just the current conditions on each day or bimonthly period, but also preceding conditions, e.g. soil moisture must be maintained for some number of days. Thus, in this example, the favourability of each day was determined by whether the preceding required number of days had all met the soil moisture requirement. In addition to assessing favourability to each life stage independently, conditional results were assessed as well. So, for conditional germination to be successful, the germination conditions must be favourable, but there also must have been favourable conditions for adults preceding that germination (typically 10-14 days,</w:t>
      </w:r>
      <w:r>
        <w:t xml:space="preserve"> </w:t>
      </w:r>
      <w:hyperlink w:anchor="tbl-env-reqs">
        <w:r>
          <w:rPr>
            <w:rStyle w:val="Hyperlink"/>
          </w:rPr>
          <w:t xml:space="preserve">Table 1</w:t>
        </w:r>
      </w:hyperlink>
      <w:r>
        <w:t xml:space="preserve">), as these species tend to regenerate from an aerial seedbank or sprouting (</w:t>
      </w:r>
      <w:r>
        <w:t xml:space="preserve">Roberts and Marston (2011)</w:t>
      </w:r>
      <w:r>
        <w:t xml:space="preserve">). Likewise, successful recruitment requires not only conditions favourable for seedling survival, but also favourable adult and germination conditions at the start of the seedling period so there are seedlings to survive. In these cases, the eFlowEval framework looks back to the start of the stage’s period for the favourable area in the preceding stage. The favourable area for the stage conditional on preceding stages is the minimum of this preceding stage area and the area of favourability for the target stage. From these analyses, we return the area of favourability from each stage independently, as well as the area of favourability from regeneration following adults, and for recruitment as the full sequence from adults to regeneration to seedling survival. These form the</w:t>
      </w:r>
      <w:r>
        <w:t xml:space="preserve"> </w:t>
      </w:r>
      <w:r>
        <w:rPr>
          <w:iCs/>
          <w:i/>
        </w:rPr>
        <w:t xml:space="preserve">biological process-only</w:t>
      </w:r>
      <w:r>
        <w:t xml:space="preserve"> </w:t>
      </w:r>
      <w:r>
        <w:t xml:space="preserve">set of results.</w:t>
      </w:r>
    </w:p>
    <w:p>
      <w:pPr>
        <w:pStyle w:val="BodyText"/>
      </w:pPr>
      <w:r>
        <w:t xml:space="preserve">To assess the joint impacts of wetland type and biological requirements, we take the biological process-only results and set the area of favourability to zero unless the polygon had one of the favourable wetland types. We do this twice for each species, using the</w:t>
      </w:r>
      <w:r>
        <w:t xml:space="preserve"> </w:t>
      </w:r>
      <w:r>
        <w:rPr>
          <w:iCs/>
          <w:i/>
        </w:rPr>
        <w:t xml:space="preserve">named</w:t>
      </w:r>
      <w:r>
        <w:t xml:space="preserve"> </w:t>
      </w:r>
      <w:r>
        <w:t xml:space="preserve">and</w:t>
      </w:r>
      <w:r>
        <w:t xml:space="preserve"> </w:t>
      </w:r>
      <w:r>
        <w:rPr>
          <w:iCs/>
          <w:i/>
        </w:rPr>
        <w:t xml:space="preserve">recorded</w:t>
      </w:r>
      <w:r>
        <w:t xml:space="preserve"> </w:t>
      </w:r>
      <w:r>
        <w:t xml:space="preserve">sets of wetland types. This approach simply says that for an area to be favourable, it has to meet both biological requirements and wetland type requirements. If biological requirements aren’t met, the area of favourability will be zero, and if wetland type requirements aren’t met, the same is true. Critically, we use the area of favourability of the biological requirements, not the area of inundation. Thus, the favourable areas here are not the areas of inundation in the relevant wetland type, as they were above, but the area within the relevant wetland type where biological requirements are met. These</w:t>
      </w:r>
      <w:r>
        <w:t xml:space="preserve"> </w:t>
      </w:r>
      <w:r>
        <w:rPr>
          <w:iCs/>
          <w:i/>
        </w:rPr>
        <w:t xml:space="preserve">interactive</w:t>
      </w:r>
      <w:r>
        <w:t xml:space="preserve"> </w:t>
      </w:r>
      <w:r>
        <w:t xml:space="preserve">results provide the basis for our primary analyses; the interactive results tend to reduce the process-based outcomes by restricting them to certain wetland types, while they tend to reduce the wetland type-only outcomes by requiring favourable conditions for biological processes to occur within them.</w:t>
      </w:r>
      <w:r>
        <w:t xml:space="preserve"> </w:t>
      </w:r>
      <w:r>
        <w:rPr>
          <w:iCs/>
          <w:i/>
        </w:rPr>
        <w:t xml:space="preserve">This really is the key to the whole thing. Do we want a little conceptual diagram? Probably not here, but where we lay out the logic of how we’re setting up the questions</w:t>
      </w:r>
      <w:r>
        <w:t xml:space="preserve">.</w:t>
      </w:r>
    </w:p>
    <w:p>
      <w:pPr>
        <w:pStyle w:val="BodyText"/>
      </w:pPr>
      <w:r>
        <w:t xml:space="preserve">All outputs produced timeseries of the area of favourability in each of the 287,680 ANAE polygons. While this allows very granular modeling as close as possible to the scale of biological processes, for interpretation these were then averaged over the water year (July 1 - June 30) and summed over space (either catchment or the whole basin).</w:t>
      </w:r>
      <w:r>
        <w:t xml:space="preserve"> </w:t>
      </w:r>
      <w:r>
        <w:rPr>
          <w:iCs/>
          <w:i/>
        </w:rPr>
        <w:t xml:space="preserve">Do we want this caveat, or just wait until a reviewer gives us grief?</w:t>
      </w:r>
      <w:r>
        <w:t xml:space="preserve"> </w:t>
      </w:r>
      <w:r>
        <w:t xml:space="preserve">Given the nature of the inundation data, averaging over the water year bears caution. The inundation data is the maximum inundation in each two-monthly interval; we do not know how long the water was at that level within the two months, and the average of six maxima is an unusual statistic. However, this was chosen as it gives the best holistic picture available of the extent of inundation in that year. Ongoing inundation is better captured by this metric than by the maximum of the maxima, which would be another reasonable choice. Ultimately, these choices were only made for visualisation; all modeling was done at the scale of the input data and using another statistic like the yearly maximum does not qualitatively change the messages.</w:t>
      </w:r>
      <w:r>
        <w:t xml:space="preserve"> </w:t>
      </w:r>
      <w:r>
        <w:rPr>
          <w:iCs/>
          <w:i/>
        </w:rPr>
        <w:t xml:space="preserve">Caveat over</w:t>
      </w:r>
      <w:r>
        <w:t xml:space="preserve">. The sums over the catchment or basin simply add up the favourable area in each wetland within the larger spatial unit, giving the total favourable area in the catchment or basin.</w:t>
      </w:r>
    </w:p>
    <w:bookmarkEnd w:id="28"/>
    <w:bookmarkStart w:id="29" w:name="analyses"/>
    <w:p>
      <w:pPr>
        <w:pStyle w:val="Heading2"/>
      </w:pPr>
      <w:r>
        <w:t xml:space="preserve">Analyses</w:t>
      </w:r>
    </w:p>
    <w:p>
      <w:pPr>
        <w:pStyle w:val="FirstParagraph"/>
      </w:pPr>
      <w:r>
        <w:t xml:space="preserve">Our analyses explore the favourability for each species as determined by each of the three models (wetland type alone, biological process, and interactive), including the two types of wetland type specification</w:t>
      </w:r>
      <w:r>
        <w:t xml:space="preserve"> </w:t>
      </w:r>
      <w:r>
        <w:rPr>
          <w:iCs/>
          <w:i/>
        </w:rPr>
        <w:t xml:space="preserve">named</w:t>
      </w:r>
      <w:r>
        <w:t xml:space="preserve"> </w:t>
      </w:r>
      <w:r>
        <w:t xml:space="preserve">and</w:t>
      </w:r>
      <w:r>
        <w:t xml:space="preserve"> </w:t>
      </w:r>
      <w:r>
        <w:rPr>
          <w:iCs/>
          <w:i/>
        </w:rPr>
        <w:t xml:space="preserve">recorded</w:t>
      </w:r>
      <w:r>
        <w:t xml:space="preserve"> </w:t>
      </w:r>
      <w:r>
        <w:t xml:space="preserve">and the different stages in the life cycle. Our primary interest here is in comparing the outcomes of the different modelling choices. We perform these comparisons at different scales (for each of 25 catchments and the whole Murray-Darling Basin, yearly and over the full available period of data 1988-2022). To obtain favourable areas at the catchment or basin scale from a model, we simply summed the favourable areas according to that model of all ANAE wetlands. This yielded a timeseries of favourabilities at either the catchment or basin scale. In some cases, we also averaged over these timeseries to give a mean favourability over time, where we also report the standard deviation of the timeseries to indicate the (often large) temporal fluctuations.</w:t>
      </w:r>
    </w:p>
    <w:p>
      <w:pPr>
        <w:pStyle w:val="BodyText"/>
      </w:pPr>
      <w:r>
        <w:rPr>
          <w:iCs/>
          <w:i/>
        </w:rPr>
        <w:t xml:space="preserve">You may have written this more eloquently elsewhere- feel free to delete</w:t>
      </w:r>
      <w:r>
        <w:t xml:space="preserve">. Whatever the scale of analysis, our focus is on comparing the favourabilities obtained from modeling approaches alone (e.g. wetland type vs process-based) and in interaction. Thus, we present the favourabilities of each type paired with those from the joint models. The target is to assess how 1) requiring favourable conditions for biological conditions within a wetland type reduces the favourability relative to simply requiring inundation, and 2) how restricting biological processes to only particular wetland types reduces favourability relative to allowing them to occur in any wetland.</w:t>
      </w:r>
    </w:p>
    <w:bookmarkEnd w:id="29"/>
    <w:bookmarkEnd w:id="30"/>
    <w:bookmarkStart w:id="50" w:name="appendix-notes-trash"/>
    <w:p>
      <w:pPr>
        <w:pStyle w:val="Heading1"/>
      </w:pPr>
      <w:r>
        <w:t xml:space="preserve">Appendix? Notes? Trash</w:t>
      </w:r>
    </w:p>
    <w:p>
      <w:pPr>
        <w:pStyle w:val="FirstParagraph"/>
      </w:pPr>
      <w:r>
        <w:t xml:space="preserve">For example, the seedling period is poorly documented, with</w:t>
      </w:r>
      <w:r>
        <w:t xml:space="preserve"> </w:t>
      </w:r>
      <w:r>
        <w:t xml:space="preserve">Jensen (2008)</w:t>
      </w:r>
      <w:r>
        <w:t xml:space="preserve"> </w:t>
      </w:r>
      <w:r>
        <w:t xml:space="preserve">stating both 2 years and</w:t>
      </w:r>
      <w:r>
        <w:t xml:space="preserve"> </w:t>
      </w:r>
      <w:r>
        <w:t xml:space="preserve">‘</w:t>
      </w:r>
      <w:r>
        <w:t xml:space="preserve">through the summer</w:t>
      </w:r>
      <w:r>
        <w:t xml:space="preserve">’</w:t>
      </w:r>
      <w:r>
        <w:t xml:space="preserve"> </w:t>
      </w:r>
      <w:r>
        <w:t xml:space="preserve">for Red Gum, Black, Box, and Coolabah though does not have data.</w:t>
      </w:r>
      <w:r>
        <w:t xml:space="preserve"> </w:t>
      </w:r>
      <w:r>
        <w:t xml:space="preserve">Roberts and Marston (2011)</w:t>
      </w:r>
      <w:r>
        <w:t xml:space="preserve"> </w:t>
      </w:r>
      <w:r>
        <w:t xml:space="preserve">provides some indications of the ages at which Black Box and Red Gum seedlings have been seen to persist through flooding or drying, though no systematic studies.</w:t>
      </w:r>
      <w:r>
        <w:t xml:space="preserve"> </w:t>
      </w:r>
      <w:r>
        <w:t xml:space="preserve">Capon et al. (2009)</w:t>
      </w:r>
      <w:r>
        <w:t xml:space="preserve"> </w:t>
      </w:r>
      <w:r>
        <w:t xml:space="preserve">used three-month old Lignum for a series of experiments showing they were robust to both flooding and drying. However, none of these studies were intended to identify the necessary seedling period, and so are necessarily approximate. What is clear is that soil moisture must persist long enough for seedlings to grow from the cotyledon stage to established plants capable of withstanding both flooding and drought. This establishment requires growing stems, leaves, and a vigorous root system to support the plant. In many species seedlings are known to only be rarely succesful, e.g. only 6 major Coolabah regeneration events have occurred in the basin since 1890</w:t>
      </w:r>
      <w:r>
        <w:t xml:space="preserve"> </w:t>
      </w:r>
      <w:r>
        <w:t xml:space="preserve">Roberts and Marston (2011)</w:t>
      </w:r>
      <w:r>
        <w:t xml:space="preserve">. While the seedling durations chosen here are approximations, shifts in that value do not qualitatively change our results.</w:t>
      </w:r>
    </w:p>
    <w:bookmarkStart w:id="49" w:name="refs"/>
    <w:bookmarkStart w:id="31" w:name="ref-brooks2021"/>
    <w:p>
      <w:pPr>
        <w:pStyle w:val="Bibliography"/>
      </w:pPr>
      <w:r>
        <w:t xml:space="preserve">Brooks, Shane. 2021.</w:t>
      </w:r>
      <w:r>
        <w:t xml:space="preserve"> </w:t>
      </w:r>
      <w:r>
        <w:t xml:space="preserve">“ANAE Classification of the Murray-Darling Basin Technical Report, Revision 3.0.”</w:t>
      </w:r>
    </w:p>
    <w:bookmarkEnd w:id="31"/>
    <w:bookmarkStart w:id="33" w:name="ref-capon2009"/>
    <w:p>
      <w:pPr>
        <w:pStyle w:val="Bibliography"/>
      </w:pPr>
      <w:r>
        <w:t xml:space="preserve">Capon, S. J., C. S. James, L. Williams, and G. P. Quinn. 2009.</w:t>
      </w:r>
      <w:r>
        <w:t xml:space="preserve"> </w:t>
      </w:r>
      <w:r>
        <w:t xml:space="preserve">“Responses to Flooding and Drying in Seedlings of a Common Australian Desert Floodplain Shrub:</w:t>
      </w:r>
      <w:r>
        <w:t xml:space="preserve"> </w:t>
      </w:r>
      <w:r>
        <w:rPr>
          <w:iCs/>
          <w:i/>
        </w:rPr>
        <w:t xml:space="preserve">Muehlenbeckia Florulenta</w:t>
      </w:r>
      <w:r>
        <w:t xml:space="preserve"> </w:t>
      </w:r>
      <w:r>
        <w:t xml:space="preserve">Meisn. (Tangled Lignum).”</w:t>
      </w:r>
      <w:r>
        <w:t xml:space="preserve"> </w:t>
      </w:r>
      <w:r>
        <w:rPr>
          <w:iCs/>
          <w:i/>
        </w:rPr>
        <w:t xml:space="preserve">Environmental and Experimental Botany</w:t>
      </w:r>
      <w:r>
        <w:t xml:space="preserve"> </w:t>
      </w:r>
      <w:r>
        <w:t xml:space="preserve">66 (2): 178–85.</w:t>
      </w:r>
      <w:r>
        <w:t xml:space="preserve"> </w:t>
      </w:r>
      <w:hyperlink r:id="rId32">
        <w:r>
          <w:rPr>
            <w:rStyle w:val="Hyperlink"/>
          </w:rPr>
          <w:t xml:space="preserve">https://doi.org/10.1016/j.envexpbot.2009.02.012</w:t>
        </w:r>
      </w:hyperlink>
      <w:r>
        <w:t xml:space="preserve">.</w:t>
      </w:r>
    </w:p>
    <w:bookmarkEnd w:id="33"/>
    <w:bookmarkStart w:id="34" w:name="ref-casanova2015"/>
    <w:p>
      <w:pPr>
        <w:pStyle w:val="Bibliography"/>
      </w:pPr>
      <w:r>
        <w:t xml:space="preserve">Casanova, Michelle. 2015.</w:t>
      </w:r>
      <w:r>
        <w:t xml:space="preserve"> </w:t>
      </w:r>
      <w:r>
        <w:t xml:space="preserve">“Review of Water Requirements for Key Floodplain Vegetation for the Northern Basin: Literature Review and Expert Knowledge Assessment.”</w:t>
      </w:r>
    </w:p>
    <w:bookmarkEnd w:id="34"/>
    <w:bookmarkStart w:id="36" w:name="ref-dexter1978"/>
    <w:p>
      <w:pPr>
        <w:pStyle w:val="Bibliography"/>
      </w:pPr>
      <w:r>
        <w:t xml:space="preserve">Dexter, Bd. 1978.</w:t>
      </w:r>
      <w:r>
        <w:t xml:space="preserve"> </w:t>
      </w:r>
      <w:r>
        <w:t xml:space="preserve">“SILVICULTURE OF THE RIVER RED GUM FORESTS OF THE CENTRAL MURRAY FLOOD PLAIN.”</w:t>
      </w:r>
      <w:r>
        <w:t xml:space="preserve"> </w:t>
      </w:r>
      <w:hyperlink r:id="rId35">
        <w:r>
          <w:rPr>
            <w:rStyle w:val="Hyperlink"/>
          </w:rPr>
          <w:t xml:space="preserve">http://pascal-francis.inist.fr/vibad/index.php?action=getRecordDetail&amp;idt=PASCAL7910364167</w:t>
        </w:r>
      </w:hyperlink>
      <w:r>
        <w:t xml:space="preserve">.</w:t>
      </w:r>
    </w:p>
    <w:bookmarkEnd w:id="36"/>
    <w:bookmarkStart w:id="37" w:name="ref-durant2016"/>
    <w:p>
      <w:pPr>
        <w:pStyle w:val="Bibliography"/>
      </w:pPr>
      <w:r>
        <w:t xml:space="preserve">Durant, Rebecca, Fiona Freestone, Danielle Linklater, and Cherie Campbell. 2016.</w:t>
      </w:r>
      <w:r>
        <w:t xml:space="preserve"> </w:t>
      </w:r>
      <w:r>
        <w:t xml:space="preserve">“Recruitment of Long-Lived Floodplain Vegetation: Literature Review.”</w:t>
      </w:r>
    </w:p>
    <w:bookmarkEnd w:id="37"/>
    <w:bookmarkStart w:id="38" w:name="ref-frost2018"/>
    <w:p>
      <w:pPr>
        <w:pStyle w:val="Bibliography"/>
      </w:pPr>
      <w:r>
        <w:t xml:space="preserve">Frost, A. J., A. Ramchurn, and A. Smith. 2018.</w:t>
      </w:r>
      <w:r>
        <w:t xml:space="preserve"> </w:t>
      </w:r>
      <w:r>
        <w:t xml:space="preserve">“The Australian Landscape Water Balance Model AWRA-l V6. Technical Description of the Australian Water Resources Assessment Landscape Model Version 6.”</w:t>
      </w:r>
    </w:p>
    <w:bookmarkEnd w:id="38"/>
    <w:bookmarkStart w:id="39" w:name="ref-jensen2008"/>
    <w:p>
      <w:pPr>
        <w:pStyle w:val="Bibliography"/>
      </w:pPr>
      <w:r>
        <w:t xml:space="preserve">Jensen, Anne Elizabeth. 2008.</w:t>
      </w:r>
      <w:r>
        <w:t xml:space="preserve"> </w:t>
      </w:r>
      <w:r>
        <w:t xml:space="preserve">“THE ROLES OF SEED BANKS AND SOIL MOISTURE IN RECRUITMENT OF SEMI-ARID FLOODPLAIN PLANTS: THE RIVER MURRAY, AUSTRALIA.”</w:t>
      </w:r>
      <w:r>
        <w:t xml:space="preserve"> </w:t>
      </w:r>
      <w:r>
        <w:t xml:space="preserve">PhD thesis.</w:t>
      </w:r>
    </w:p>
    <w:bookmarkEnd w:id="39"/>
    <w:bookmarkStart w:id="40" w:name="ref-johns2009"/>
    <w:p>
      <w:pPr>
        <w:pStyle w:val="Bibliography"/>
      </w:pPr>
      <w:r>
        <w:t xml:space="preserve">Johns, C, CJ Reid, J Roberts, N Sims, T Doody, I Overton, H McGinness, K Rogers, C Campbell, and B Gawne. 2009.</w:t>
      </w:r>
      <w:r>
        <w:t xml:space="preserve"> </w:t>
      </w:r>
      <w:r>
        <w:t xml:space="preserve">“Literature Review and Identification of Research Priorities to Address Retaining Floodwater on Floodplains and Flow Enhancement Hypotheses Relevant to Native Tree Species.”</w:t>
      </w:r>
    </w:p>
    <w:bookmarkEnd w:id="40"/>
    <w:bookmarkStart w:id="42" w:name="ref-lester2020"/>
    <w:p>
      <w:pPr>
        <w:pStyle w:val="Bibliography"/>
      </w:pPr>
      <w:r>
        <w:t xml:space="preserve">Lester, Rebecca E., Heather M. McGinness, Amina E. Price, Ashley Macqueen, N. LeRoy Poff, and Ben Gawne. 2020.</w:t>
      </w:r>
      <w:r>
        <w:t xml:space="preserve"> </w:t>
      </w:r>
      <w:r>
        <w:t xml:space="preserve">“Identifying Multiple Factors Limiting Long-Term Success in Environmental Watering.”</w:t>
      </w:r>
      <w:r>
        <w:t xml:space="preserve"> </w:t>
      </w:r>
      <w:r>
        <w:rPr>
          <w:iCs/>
          <w:i/>
        </w:rPr>
        <w:t xml:space="preserve">Marine and Freshwater Research</w:t>
      </w:r>
      <w:r>
        <w:t xml:space="preserve"> </w:t>
      </w:r>
      <w:r>
        <w:t xml:space="preserve">71 (2): 238–54.</w:t>
      </w:r>
      <w:r>
        <w:t xml:space="preserve"> </w:t>
      </w:r>
      <w:hyperlink r:id="rId41">
        <w:r>
          <w:rPr>
            <w:rStyle w:val="Hyperlink"/>
          </w:rPr>
          <w:t xml:space="preserve">https://doi.org/10.1071/MF18461</w:t>
        </w:r>
      </w:hyperlink>
      <w:r>
        <w:t xml:space="preserve">.</w:t>
      </w:r>
    </w:p>
    <w:bookmarkEnd w:id="42"/>
    <w:bookmarkStart w:id="43" w:name="ref-roberts2011"/>
    <w:p>
      <w:pPr>
        <w:pStyle w:val="Bibliography"/>
      </w:pPr>
      <w:r>
        <w:t xml:space="preserve">Roberts, Jane, and Frances Marston. 2011.</w:t>
      </w:r>
      <w:r>
        <w:t xml:space="preserve"> </w:t>
      </w:r>
      <w:r>
        <w:rPr>
          <w:iCs/>
          <w:i/>
        </w:rPr>
        <w:t xml:space="preserve">Water Regime for Wetland and Floodplain Plants a Source Book for the Murray</w:t>
      </w:r>
      <w:r>
        <w:rPr>
          <w:iCs/>
          <w:i/>
        </w:rPr>
        <w:t xml:space="preserve">darling Basin</w:t>
      </w:r>
      <w:r>
        <w:t xml:space="preserve">.</w:t>
      </w:r>
    </w:p>
    <w:bookmarkEnd w:id="43"/>
    <w:bookmarkStart w:id="44" w:name="ref-rogers2011"/>
    <w:p>
      <w:pPr>
        <w:pStyle w:val="Bibliography"/>
      </w:pPr>
      <w:r>
        <w:t xml:space="preserve">Rogers, K, and T Ralph. 2011.</w:t>
      </w:r>
      <w:r>
        <w:t xml:space="preserve"> </w:t>
      </w:r>
      <w:r>
        <w:rPr>
          <w:iCs/>
          <w:i/>
        </w:rPr>
        <w:t xml:space="preserve">Floodplain Wetland Biota in the Murray-Darling Basin: Water and Habitat Requirements</w:t>
      </w:r>
      <w:r>
        <w:t xml:space="preserve">. Collingwood, Victoria: CSIRO Publishing.</w:t>
      </w:r>
    </w:p>
    <w:bookmarkEnd w:id="44"/>
    <w:bookmarkStart w:id="46" w:name="ref-teng2023"/>
    <w:p>
      <w:pPr>
        <w:pStyle w:val="Bibliography"/>
      </w:pPr>
      <w:r>
        <w:t xml:space="preserve">Teng, Jin, Dave Penton, Catherine Ticehurst, Ashmita Sengupta, Andrew Freebairn, Steve Marvanek, Darran King, and Carmel A. Pollino. 2023.</w:t>
      </w:r>
      <w:r>
        <w:t xml:space="preserve"> </w:t>
      </w:r>
      <w:r>
        <w:t xml:space="preserve">“Two-Monthly Maximum Flood Water Depth Spatial Timeseries for the MDB V20.”</w:t>
      </w:r>
      <w:r>
        <w:t xml:space="preserve"> </w:t>
      </w:r>
      <w:r>
        <w:rPr>
          <w:iCs/>
          <w:i/>
        </w:rPr>
        <w:t xml:space="preserve">CSIRO Data Collection</w:t>
      </w:r>
      <w:r>
        <w:t xml:space="preserve">. https://doi.org/</w:t>
      </w:r>
      <w:hyperlink r:id="rId45">
        <w:r>
          <w:rPr>
            <w:rStyle w:val="Hyperlink"/>
          </w:rPr>
          <w:t xml:space="preserve">https://doi.org/10.25919/c5ab-h019</w:t>
        </w:r>
      </w:hyperlink>
      <w:r>
        <w:t xml:space="preserve">.</w:t>
      </w:r>
    </w:p>
    <w:bookmarkEnd w:id="46"/>
    <w:bookmarkStart w:id="48" w:name="ref-westgate2024"/>
    <w:p>
      <w:pPr>
        <w:pStyle w:val="Bibliography"/>
      </w:pPr>
      <w:r>
        <w:t xml:space="preserve">Westgate, Martin, Matilda Stevenson, Dax Kellie, and Peggy Newman. 2024.</w:t>
      </w:r>
      <w:r>
        <w:t xml:space="preserve"> </w:t>
      </w:r>
      <w:r>
        <w:rPr>
          <w:iCs/>
          <w:i/>
        </w:rPr>
        <w:t xml:space="preserve">Galah: Biodiversity Data from the GBIF Node Network</w:t>
      </w:r>
      <w:r>
        <w:t xml:space="preserve">.</w:t>
      </w:r>
      <w:r>
        <w:t xml:space="preserve"> </w:t>
      </w:r>
      <w:hyperlink r:id="rId47">
        <w:r>
          <w:rPr>
            <w:rStyle w:val="Hyperlink"/>
          </w:rPr>
          <w:t xml:space="preserve">https://CRAN.R-project.org/package=galah</w:t>
        </w:r>
      </w:hyperlink>
      <w:r>
        <w:t xml:space="preserve">.</w:t>
      </w:r>
    </w:p>
    <w:bookmarkEnd w:id="48"/>
    <w:bookmarkEnd w:id="49"/>
    <w:bookmarkEnd w:id="50"/>
    <w:sectPr w:rsidR="00B40672" w:rsidRPr="00F514BE" w:rsidSect="00901979">
      <w:footerReference r:id="rId9"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621228"/>
      <w:docPartObj>
        <w:docPartGallery w:val="Page Numbers (Bottom of Page)"/>
        <w:docPartUnique/>
      </w:docPartObj>
    </w:sdtPr>
    <w:sdtEndPr>
      <w:rPr>
        <w:noProof/>
      </w:rPr>
    </w:sdtEndPr>
    <w:sdtContent>
      <w:p w14:paraId="531CE531" w14:textId="6270C006" w:rsidR="00DC39BE" w:rsidRDefault="00DC39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8E40C3" w14:textId="77777777" w:rsidR="00DC39BE" w:rsidRDefault="00DC39B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AU"/>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641DD"/>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0641DD"/>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0641DD"/>
    <w:pPr>
      <w:keepNext/>
      <w:keepLines/>
      <w:spacing w:after="0" w:before="40"/>
      <w:outlineLvl w:val="2"/>
    </w:pPr>
    <w:rPr>
      <w:rFonts w:asciiTheme="majorHAnsi" w:cstheme="majorBidi" w:eastAsiaTheme="majorEastAsia" w:hAnsiTheme="majorHAnsi"/>
      <w:color w:themeColor="accent1" w:themeShade="7F" w:val="1F3763"/>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641DD"/>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0641DD"/>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0641DD"/>
    <w:rPr>
      <w:rFonts w:asciiTheme="majorHAnsi" w:cstheme="majorBidi" w:eastAsiaTheme="majorEastAsia" w:hAnsiTheme="majorHAnsi"/>
      <w:color w:themeColor="accent1" w:themeShade="7F" w:val="1F3763"/>
      <w:sz w:val="24"/>
      <w:szCs w:val="24"/>
    </w:rPr>
  </w:style>
  <w:style w:styleId="Caption" w:type="paragraph">
    <w:name w:val="caption"/>
    <w:basedOn w:val="Normal"/>
    <w:next w:val="Normal"/>
    <w:uiPriority w:val="35"/>
    <w:unhideWhenUsed/>
    <w:qFormat/>
    <w:rsid w:val="009A1F3E"/>
    <w:pPr>
      <w:spacing w:after="200" w:line="240" w:lineRule="auto"/>
    </w:pPr>
    <w:rPr>
      <w:i/>
      <w:iCs/>
      <w:color w:themeColor="text2" w:val="44546A"/>
      <w:sz w:val="18"/>
      <w:szCs w:val="18"/>
    </w:rPr>
  </w:style>
  <w:style w:styleId="TableGrid" w:type="table">
    <w:name w:val="Table Grid"/>
    <w:basedOn w:val="TableNormal"/>
    <w:uiPriority w:val="39"/>
    <w:rsid w:val="00C56A7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itle" w:type="paragraph">
    <w:name w:val="Title"/>
    <w:basedOn w:val="Normal"/>
    <w:next w:val="Normal"/>
    <w:link w:val="TitleChar"/>
    <w:uiPriority w:val="10"/>
    <w:qFormat/>
    <w:rsid w:val="00465082"/>
    <w:pPr>
      <w:spacing w:after="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465082"/>
    <w:rPr>
      <w:rFonts w:asciiTheme="majorHAnsi" w:cstheme="majorBidi" w:eastAsiaTheme="majorEastAsia" w:hAnsiTheme="majorHAnsi"/>
      <w:spacing w:val="-10"/>
      <w:kern w:val="28"/>
      <w:sz w:val="56"/>
      <w:szCs w:val="56"/>
    </w:rPr>
  </w:style>
  <w:style w:styleId="LineNumber" w:type="character">
    <w:name w:val="line number"/>
    <w:basedOn w:val="DefaultParagraphFont"/>
    <w:uiPriority w:val="99"/>
    <w:semiHidden/>
    <w:unhideWhenUsed/>
    <w:rsid w:val="00901979"/>
  </w:style>
  <w:style w:styleId="Header" w:type="paragraph">
    <w:name w:val="header"/>
    <w:basedOn w:val="Normal"/>
    <w:link w:val="HeaderChar"/>
    <w:uiPriority w:val="99"/>
    <w:unhideWhenUsed/>
    <w:rsid w:val="00DC39BE"/>
    <w:pPr>
      <w:tabs>
        <w:tab w:pos="4513" w:val="center"/>
        <w:tab w:pos="9026" w:val="right"/>
      </w:tabs>
      <w:spacing w:after="0" w:line="240" w:lineRule="auto"/>
    </w:pPr>
  </w:style>
  <w:style w:customStyle="1" w:styleId="HeaderChar" w:type="character">
    <w:name w:val="Header Char"/>
    <w:basedOn w:val="DefaultParagraphFont"/>
    <w:link w:val="Header"/>
    <w:uiPriority w:val="99"/>
    <w:rsid w:val="00DC39BE"/>
  </w:style>
  <w:style w:styleId="Footer" w:type="paragraph">
    <w:name w:val="footer"/>
    <w:basedOn w:val="Normal"/>
    <w:link w:val="FooterChar"/>
    <w:uiPriority w:val="99"/>
    <w:unhideWhenUsed/>
    <w:rsid w:val="00DC39BE"/>
    <w:pPr>
      <w:tabs>
        <w:tab w:pos="4513" w:val="center"/>
        <w:tab w:pos="9026" w:val="right"/>
      </w:tabs>
      <w:spacing w:after="0" w:line="240" w:lineRule="auto"/>
    </w:pPr>
  </w:style>
  <w:style w:customStyle="1" w:styleId="FooterChar" w:type="character">
    <w:name w:val="Footer Char"/>
    <w:basedOn w:val="DefaultParagraphFont"/>
    <w:link w:val="Footer"/>
    <w:uiPriority w:val="99"/>
    <w:rsid w:val="00DC39BE"/>
  </w:style>
  <w:style w:styleId="TOCHeading" w:type="paragraph">
    <w:name w:val="TOC Heading"/>
    <w:basedOn w:val="Heading1"/>
    <w:next w:val="Normal"/>
    <w:uiPriority w:val="39"/>
    <w:unhideWhenUsed/>
    <w:qFormat/>
    <w:rsid w:val="00531B3A"/>
    <w:pPr>
      <w:outlineLvl w:val="9"/>
    </w:pPr>
    <w:rPr>
      <w:lang w:val="en-US"/>
    </w:rPr>
  </w:style>
  <w:style w:styleId="TOC1" w:type="paragraph">
    <w:name w:val="toc 1"/>
    <w:basedOn w:val="Normal"/>
    <w:next w:val="Normal"/>
    <w:autoRedefine/>
    <w:uiPriority w:val="39"/>
    <w:unhideWhenUsed/>
    <w:rsid w:val="00531B3A"/>
    <w:pPr>
      <w:spacing w:after="100"/>
    </w:pPr>
  </w:style>
  <w:style w:styleId="TOC2" w:type="paragraph">
    <w:name w:val="toc 2"/>
    <w:basedOn w:val="Normal"/>
    <w:next w:val="Normal"/>
    <w:autoRedefine/>
    <w:uiPriority w:val="39"/>
    <w:unhideWhenUsed/>
    <w:rsid w:val="00531B3A"/>
    <w:pPr>
      <w:spacing w:after="100"/>
      <w:ind w:left="220"/>
    </w:pPr>
  </w:style>
  <w:style w:styleId="TOC3" w:type="paragraph">
    <w:name w:val="toc 3"/>
    <w:basedOn w:val="Normal"/>
    <w:next w:val="Normal"/>
    <w:autoRedefine/>
    <w:uiPriority w:val="39"/>
    <w:unhideWhenUsed/>
    <w:rsid w:val="00531B3A"/>
    <w:pPr>
      <w:spacing w:after="100"/>
      <w:ind w:left="440"/>
    </w:pPr>
  </w:style>
  <w:style w:styleId="Hyperlink" w:type="character">
    <w:name w:val="Hyperlink"/>
    <w:basedOn w:val="DefaultParagraphFont"/>
    <w:uiPriority w:val="99"/>
    <w:unhideWhenUsed/>
    <w:rsid w:val="00531B3A"/>
    <w:rPr>
      <w:color w:themeColor="hyperlink" w:val="0563C1"/>
      <w:u w:val="single"/>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hyperlink" Id="rId35" Target="http://pascal-francis.inist.fr/vibad/index.php?action=getRecordDetail&amp;idt=PASCAL7910364167" TargetMode="External" /><Relationship Type="http://schemas.openxmlformats.org/officeDocument/2006/relationships/hyperlink" Id="rId47" Target="https://CRAN.R-project.org/package=galah" TargetMode="External" /><Relationship Type="http://schemas.openxmlformats.org/officeDocument/2006/relationships/hyperlink" Id="rId32" Target="https://doi.org/10.1016/j.envexpbot.2009.02.012" TargetMode="External" /><Relationship Type="http://schemas.openxmlformats.org/officeDocument/2006/relationships/hyperlink" Id="rId41" Target="https://doi.org/10.1071/MF18461" TargetMode="External" /><Relationship Type="http://schemas.openxmlformats.org/officeDocument/2006/relationships/hyperlink" Id="rId45" Target="https://doi.org/10.25919/c5ab-h019" TargetMode="External" /></Relationships>
</file>

<file path=word/_rels/footnotes.xml.rels><?xml version="1.0" encoding="UTF-8"?><Relationships xmlns="http://schemas.openxmlformats.org/package/2006/relationships"><Relationship Type="http://schemas.openxmlformats.org/officeDocument/2006/relationships/hyperlink" Id="rId35" Target="http://pascal-francis.inist.fr/vibad/index.php?action=getRecordDetail&amp;idt=PASCAL7910364167" TargetMode="External" /><Relationship Type="http://schemas.openxmlformats.org/officeDocument/2006/relationships/hyperlink" Id="rId47" Target="https://CRAN.R-project.org/package=galah" TargetMode="External" /><Relationship Type="http://schemas.openxmlformats.org/officeDocument/2006/relationships/hyperlink" Id="rId32" Target="https://doi.org/10.1016/j.envexpbot.2009.02.012" TargetMode="External" /><Relationship Type="http://schemas.openxmlformats.org/officeDocument/2006/relationships/hyperlink" Id="rId41" Target="https://doi.org/10.1071/MF18461" TargetMode="External" /><Relationship Type="http://schemas.openxmlformats.org/officeDocument/2006/relationships/hyperlink" Id="rId45" Target="https://doi.org/10.25919/c5ab-h0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152</Words>
  <Characters>871</Characters>
  <Application>Microsoft Office Word</Application>
  <DocSecurity>0</DocSecurity>
  <Lines>7</Lines>
  <Paragraphs>2</Paragraphs>
  <ScaleCrop>false</ScaleCrop>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Woody Veg Methods</dc:title>
  <dc:creator/>
  <cp:keywords/>
  <dcterms:created xsi:type="dcterms:W3CDTF">2024-05-30T03:47:30Z</dcterms:created>
  <dcterms:modified xsi:type="dcterms:W3CDTF">2024-05-30T03:47:30Z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