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bidi w:val="0"/>
        <w:spacing w:before="240" w:after="283"/>
        <w:jc w:val="left"/>
        <w:rPr/>
      </w:pPr>
      <w:r>
        <w:rPr/>
        <w:t>About</w:t>
      </w:r>
    </w:p>
    <w:p>
      <w:pPr>
        <w:pStyle w:val="Titre2"/>
        <w:tabs>
          <w:tab w:val="clear" w:pos="1134"/>
          <w:tab w:val="left" w:pos="0" w:leader="none"/>
        </w:tabs>
        <w:bidi w:val="0"/>
        <w:ind w:left="0" w:hanging="0"/>
        <w:jc w:val="left"/>
        <w:rPr/>
      </w:pPr>
      <w:r>
        <w:rPr>
          <w:rFonts w:ascii="sans-serif" w:hAnsi="sans-serif"/>
        </w:rPr>
        <w:t>À</w:t>
      </w:r>
      <w:r>
        <w:rPr>
          <w:rFonts w:ascii="sans-serif" w:hAnsi="sans-serif"/>
        </w:rPr>
        <w:t xml:space="preserve"> propos</w:t>
      </w:r>
    </w:p>
    <w:p>
      <w:pPr>
        <w:pStyle w:val="Corpsdetexte"/>
        <w:bidi w:val="0"/>
        <w:jc w:val="left"/>
        <w:rPr/>
      </w:pPr>
      <w:r>
        <w:rPr/>
        <w:t>L’objectif de « Galenus verbatim » est de mettre à disposition en accès libre un environnement de travail facilitant l’exploration des textes galéniques qui a été construit dans le cadre du projet « </w:t>
      </w:r>
      <w:hyperlink r:id="rId2">
        <w:r>
          <w:rPr>
            <w:rStyle w:val="LienInternet"/>
          </w:rPr>
          <w:t>Dictionnaire de la médecine d’après Galien de Pergame</w:t>
        </w:r>
      </w:hyperlink>
      <w:r>
        <w:rPr/>
        <w:t> » et qui est destiné à être progressivement enrichi.Il est ouvert à toute proposition de collaboration, que ce soit pour enrichir « Galenus verbatim » de textes libres de droits, ou pour explorer les pistes de recherche ouvertes par les nouvelles données qui seront produites.</w:t>
      </w:r>
    </w:p>
    <w:p>
      <w:pPr>
        <w:pStyle w:val="Corpsdetexte"/>
        <w:bidi w:val="0"/>
        <w:jc w:val="left"/>
        <w:rPr/>
      </w:pPr>
      <w:r>
        <w:rPr/>
        <w:t>Sur l’esprit de ce projet et sur les développements ultérieurs prévus, voir le billet « </w:t>
      </w:r>
      <w:hyperlink r:id="rId3">
        <w:r>
          <w:rPr>
            <w:rStyle w:val="LienInternet"/>
          </w:rPr>
          <w:t>Galenus verbatim</w:t>
        </w:r>
      </w:hyperlink>
      <w:r>
        <w:rPr/>
        <w:t xml:space="preserve"> » dans le carnet de recherche </w:t>
      </w:r>
      <w:r>
        <w:rPr>
          <w:rStyle w:val="Accentuation"/>
        </w:rPr>
        <w:t>Etymologika</w:t>
      </w:r>
      <w:r>
        <w:rPr/>
        <w:t>.</w:t>
      </w:r>
    </w:p>
    <w:p>
      <w:pPr>
        <w:pStyle w:val="Titre2"/>
        <w:tabs>
          <w:tab w:val="clear" w:pos="1134"/>
          <w:tab w:val="left" w:pos="0" w:leader="none"/>
        </w:tabs>
        <w:bidi w:val="0"/>
        <w:ind w:left="0" w:hanging="0"/>
        <w:jc w:val="left"/>
        <w:rPr/>
      </w:pPr>
      <w:r>
        <w:rPr/>
        <w:t>Crédits</w:t>
      </w:r>
    </w:p>
    <w:p>
      <w:pPr>
        <w:pStyle w:val="Corpsdetexte"/>
        <w:bidi w:val="0"/>
        <w:spacing w:before="0" w:after="283"/>
        <w:jc w:val="left"/>
        <w:rPr/>
      </w:pPr>
      <w:r>
        <w:rPr/>
        <w:t xml:space="preserve">Les </w:t>
      </w:r>
      <w:r>
        <w:rPr>
          <w:b/>
          <w:bCs/>
        </w:rPr>
        <w:t>textes grecs</w:t>
      </w:r>
      <w:r>
        <w:rPr/>
        <w:t xml:space="preserve"> ici présents, qui regroupent les traités publiés dans les volumes 1 à 18b l’édition de C.G. Kühn, ainsi que quelques autres libres de droits, proviennent du dépôt en accès libre du projet « </w:t>
      </w:r>
      <w:hyperlink r:id="rId4">
        <w:r>
          <w:rPr>
            <w:rStyle w:val="LienInternet"/>
          </w:rPr>
          <w:t>First Thousand Years of Greek</w:t>
        </w:r>
      </w:hyperlink>
      <w:r>
        <w:rPr/>
        <w:t> » qui, pour ce qui concerne les textes galéniques, a repris le corpus publié en accès libre dans le « </w:t>
      </w:r>
      <w:hyperlink r:id="rId5">
        <w:r>
          <w:rPr>
            <w:rStyle w:val="LienInternet"/>
          </w:rPr>
          <w:t>Digital Corpus for Graeco-Arabic Studies</w:t>
        </w:r>
      </w:hyperlink>
      <w:r>
        <w:rPr/>
        <w:t xml:space="preserve"> » pour l’intégrer à la Perseus Digital Library ; y est ajouté le texte du </w:t>
      </w:r>
      <w:r>
        <w:rPr>
          <w:rStyle w:val="Accentuation"/>
        </w:rPr>
        <w:t>Commentaire au Prorrhétique I d’Hippocrate</w:t>
      </w:r>
      <w:r>
        <w:rPr/>
        <w:t xml:space="preserve"> (16.489-840 K), qui a été directement repris au « Digital Corpus for Graeco-Arabic Studies », car il est curieusement exclu de « First Thousand Years of Greek », et donc de la « Perseus Digital Library »</w:t>
      </w:r>
      <w:r>
        <w:rPr>
          <w:rStyle w:val="Ancredenotedebasdepage"/>
        </w:rPr>
        <w:footnoteReference w:id="2"/>
      </w:r>
      <w:r>
        <w:rPr/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Ancredenotedebasdepage"/>
        </w:rPr>
        <w:footnoteReference w:id="3"/>
      </w:r>
      <w:r>
        <w:rPr/>
        <w:t>. Par ailleurs, la distinction entre traités galéniques et pseudo-galéniques est faite sur la base des connaissances les plus récentes</w:t>
      </w:r>
      <w:r>
        <w:rPr>
          <w:rStyle w:val="Ancredenotedebasdepage"/>
        </w:rPr>
        <w:footnoteReference w:id="4"/>
      </w:r>
      <w:r>
        <w:rPr/>
        <w:t>, et diffère donc de celle de la « Perseus Digital Library » (voir respectivement « </w:t>
      </w:r>
      <w:hyperlink r:id="rId6">
        <w:r>
          <w:rPr>
            <w:rStyle w:val="LienInternet"/>
          </w:rPr>
          <w:t>Galen</w:t>
        </w:r>
      </w:hyperlink>
      <w:r>
        <w:rPr/>
        <w:t> » et « </w:t>
      </w:r>
      <w:hyperlink r:id="rId7">
        <w:r>
          <w:rPr>
            <w:rStyle w:val="LienInternet"/>
          </w:rPr>
          <w:t>Pseudo-Galen</w:t>
        </w:r>
      </w:hyperlink>
      <w:r>
        <w:rPr/>
        <w:t> »).</w:t>
      </w:r>
    </w:p>
    <w:p>
      <w:pPr>
        <w:pStyle w:val="Corpsdetexte"/>
        <w:bidi w:val="0"/>
        <w:spacing w:before="0" w:after="283"/>
        <w:jc w:val="left"/>
        <w:rPr/>
      </w:pPr>
      <w:r>
        <w:rPr/>
        <w:t xml:space="preserve">Ces textes en XML-TEI, version P5, suivent les </w:t>
      </w:r>
      <w:r>
        <w:rPr>
          <w:b/>
          <w:bCs/>
        </w:rPr>
        <w:t>normes</w:t>
      </w:r>
      <w:r>
        <w:rPr/>
        <w:t xml:space="preserve"> </w:t>
      </w:r>
      <w:hyperlink r:id="rId8">
        <w:r>
          <w:rPr>
            <w:rStyle w:val="LienInternet"/>
          </w:rPr>
          <w:t>EpiDoc</w:t>
        </w:r>
      </w:hyperlink>
      <w:r>
        <w:rPr/>
        <w:t xml:space="preserve"> et sont structurés conformément à l’architecture </w:t>
      </w:r>
      <w:r>
        <w:fldChar w:fldCharType="begin"/>
      </w:r>
      <w:r>
        <w:rPr>
          <w:rStyle w:val="LienInternet"/>
        </w:rPr>
        <w:instrText xml:space="preserve"> HYPERLINK "http://cite-architecture.github.io/ctsurn_spec/specification.html" \l "the-canonical-text-services-urn-specification-version-20rc1"</w:instrText>
      </w:r>
      <w:r>
        <w:rPr>
          <w:rStyle w:val="LienInternet"/>
        </w:rPr>
        <w:fldChar w:fldCharType="separate"/>
      </w:r>
      <w:r>
        <w:rPr>
          <w:rStyle w:val="LienInternet"/>
        </w:rPr>
        <w:t>CTS/CITE</w:t>
      </w:r>
      <w:r>
        <w:rPr>
          <w:rStyle w:val="LienInternet"/>
        </w:rPr>
        <w:fldChar w:fldCharType="end"/>
      </w:r>
      <w:r>
        <w:rPr/>
        <w:t xml:space="preserve"> ; ils sont publiés avec la licence </w:t>
      </w:r>
      <w:hyperlink r:id="rId9">
        <w:r>
          <w:rPr>
            <w:rStyle w:val="LienInternet"/>
          </w:rPr>
          <w:t>Creative Commons Attribution-ShareAlike 4.0 International</w:t>
        </w:r>
      </w:hyperlink>
      <w:r>
        <w:rPr/>
        <w:t>.</w:t>
      </w:r>
    </w:p>
    <w:p>
      <w:pPr>
        <w:pStyle w:val="Corpsdetexte"/>
        <w:bidi w:val="0"/>
        <w:spacing w:before="0" w:after="283"/>
        <w:jc w:val="left"/>
        <w:rPr/>
      </w:pPr>
      <w:r>
        <w:rPr>
          <w:b/>
          <w:bCs/>
        </w:rPr>
        <w:t>Le présent site et les outils qu’il contient</w:t>
      </w:r>
      <w:r>
        <w:rPr/>
        <w:t xml:space="preserve"> ont été conçus par </w:t>
      </w:r>
      <w:hyperlink r:id="rId10">
        <w:r>
          <w:rPr>
            <w:rStyle w:val="LienInternet"/>
          </w:rPr>
          <w:t>Nathalie Rousseau</w:t>
        </w:r>
      </w:hyperlink>
      <w:r>
        <w:rPr/>
        <w:t xml:space="preserve">, et réalisés par </w:t>
      </w:r>
      <w:hyperlink r:id="rId11">
        <w:r>
          <w:rPr>
            <w:rStyle w:val="LienInternet"/>
          </w:rPr>
          <w:t>Frédéric Glorieux</w:t>
        </w:r>
      </w:hyperlink>
      <w:r>
        <w:rPr/>
        <w:t xml:space="preserve"> et </w:t>
      </w:r>
      <w:hyperlink r:id="rId12">
        <w:r>
          <w:rPr>
            <w:rStyle w:val="LienInternet"/>
          </w:rPr>
          <w:t>Cahal Taaffe</w:t>
        </w:r>
      </w:hyperlink>
      <w:r>
        <w:rPr/>
        <w:t xml:space="preserve">. Tous les développements informatiques sont sous licence libre, le </w:t>
      </w:r>
      <w:hyperlink r:id="rId13">
        <w:r>
          <w:rPr>
            <w:rStyle w:val="LienInternet"/>
          </w:rPr>
          <w:t>code source est ouvert</w:t>
        </w:r>
      </w:hyperlink>
      <w:r>
        <w:rPr/>
        <w:t>. La lemmatisation a été effectuée au moyen des outils « </w:t>
      </w:r>
      <w:hyperlink r:id="rId14">
        <w:r>
          <w:rPr>
            <w:rStyle w:val="LienInternet"/>
          </w:rPr>
          <w:t>pie-extended</w:t>
        </w:r>
      </w:hyperlink>
      <w:r>
        <w:rPr/>
        <w:t> » de Thibault Clérice.</w:t>
      </w:r>
    </w:p>
    <w:p>
      <w:pPr>
        <w:pStyle w:val="Corpsdetexte"/>
        <w:bidi w:val="0"/>
        <w:spacing w:before="0" w:after="283"/>
        <w:jc w:val="left"/>
        <w:rPr/>
      </w:pPr>
      <w:r>
        <w:rPr>
          <w:b/>
          <w:bCs/>
        </w:rPr>
        <w:t>Ce projet a bénéficié du financement</w:t>
      </w:r>
      <w:r>
        <w:rPr/>
        <w:t xml:space="preserve"> de l’</w:t>
      </w:r>
      <w:hyperlink r:id="rId15">
        <w:r>
          <w:rPr>
            <w:rStyle w:val="LienInternet"/>
          </w:rPr>
          <w:t>Institut universitaire de France</w:t>
        </w:r>
      </w:hyperlink>
      <w:r>
        <w:rPr/>
        <w:t>, ainsi que de l’</w:t>
      </w:r>
      <w:hyperlink r:id="rId16">
        <w:r>
          <w:rPr>
            <w:rStyle w:val="LienInternet"/>
          </w:rPr>
          <w:t>Initiative humanités biomédicales de l’Alliance Sorbonne Université</w:t>
        </w:r>
      </w:hyperlink>
      <w:r>
        <w:rPr/>
        <w:t xml:space="preserve"> pour sa partie latine.</w:t>
      </w:r>
    </w:p>
    <w:p>
      <w:pPr>
        <w:pStyle w:val="Corpsdetexte"/>
        <w:bidi w:val="0"/>
        <w:spacing w:before="0" w:after="283"/>
        <w:jc w:val="left"/>
        <w:rPr/>
      </w:pPr>
      <w:r>
        <w:rPr>
          <w:b/>
          <w:bCs/>
        </w:rPr>
        <w:t>Image </w:t>
      </w:r>
      <w:r>
        <w:rPr/>
        <w:t xml:space="preserve">: Claudii Galeni </w:t>
      </w:r>
      <w:r>
        <w:rPr>
          <w:rStyle w:val="Accentuation"/>
        </w:rPr>
        <w:t>Opera omnia</w:t>
      </w:r>
      <w:r>
        <w:rPr/>
        <w:t xml:space="preserve">, editionem curavit Carolus Gottlob Kühn, Lipsiae : Car. Cnoblochii, 1823, vol. 6, p. 120. Crédits : </w:t>
      </w:r>
      <w:hyperlink r:id="rId17">
        <w:r>
          <w:rPr>
            <w:rStyle w:val="LienInternet"/>
          </w:rPr>
          <w:t>Wellcome Collection</w:t>
        </w:r>
      </w:hyperlink>
      <w:r>
        <w:rPr/>
        <w:t>. Montage : N. Rousseau.</w:t>
      </w:r>
    </w:p>
    <w:sectPr>
      <w:footnotePr>
        <w:numFmt w:val="decimal"/>
      </w:footnote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swiss"/>
    <w:pitch w:val="default"/>
  </w:font>
  <w:font w:name="Liberation Sans Unicode MS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suppressLineNumbers/>
        <w:bidi w:val="0"/>
        <w:ind w:left="340" w:right="0" w:hanging="340"/>
        <w:jc w:val="left"/>
        <w:rPr/>
      </w:pPr>
      <w:r>
        <w:rPr>
          <w:rStyle w:val="Caractresdenotedebasdepage"/>
        </w:rPr>
        <w:footnoteRef/>
      </w:r>
      <w:r>
        <w:rPr/>
        <w:tab/>
        <w:t>La « Perseus Digital Library » exclut en revanche à juste titre le traité</w:t>
      </w:r>
      <w:r>
        <w:rPr>
          <w:rStyle w:val="Accentuation"/>
        </w:rPr>
        <w:t xml:space="preserve"> In Hippocratis De alimento commentaria</w:t>
      </w:r>
      <w:r>
        <w:rPr/>
        <w:t>, vol. 15, p. 224-417, qu’il est curieux de trouver dans le « Digital Corpus for Graeco-Arabic Studies », alors qu’il s’agit d’un faux de la Renaissance (voir Fichtner-Bibliographie, n° </w:t>
      </w:r>
      <w:hyperlink r:id="rId1">
        <w:r>
          <w:rPr>
            <w:rStyle w:val="LienInternet"/>
          </w:rPr>
          <w:t>72</w:t>
        </w:r>
      </w:hyperlink>
      <w:r>
        <w:rPr/>
        <w:t xml:space="preserve">), et que ce corpus ne reprend pas, à juste titre, les deux autres faux de la même époque présents dans l’édition de Kühn, </w:t>
      </w:r>
      <w:r>
        <w:rPr>
          <w:rStyle w:val="Accentuation"/>
        </w:rPr>
        <w:t>In Hippocratis De humoribus commentaria</w:t>
      </w:r>
      <w:r>
        <w:rPr/>
        <w:t>, vol. 16, p. 1-488 (voir Fichtner-Bibliographie, n° </w:t>
      </w:r>
      <w:hyperlink r:id="rId2">
        <w:r>
          <w:rPr>
            <w:rStyle w:val="LienInternet"/>
          </w:rPr>
          <w:t>94</w:t>
        </w:r>
      </w:hyperlink>
      <w:r>
        <w:rPr/>
        <w:t xml:space="preserve">) et </w:t>
      </w:r>
      <w:r>
        <w:rPr>
          <w:rStyle w:val="Accentuation"/>
        </w:rPr>
        <w:t>In Hippocratis Epidemias II commentaria</w:t>
      </w:r>
      <w:r>
        <w:rPr/>
        <w:t xml:space="preserve">, vol. 17a, p. 303-479 (voir </w:t>
      </w:r>
      <w:r>
        <w:rPr>
          <w:rStyle w:val="Accentuation"/>
        </w:rPr>
        <w:t>Galeni In Hippocratis Epidemiarum librum II commentariorum I-VI</w:t>
      </w:r>
      <w:r>
        <w:rPr/>
        <w:t xml:space="preserve"> versionem Arabicam, edidit, in linguam Anglicam vertit U. Vagelpohl adiuvante S. Swain, </w:t>
      </w:r>
      <w:hyperlink r:id="rId3">
        <w:r>
          <w:rPr>
            <w:rStyle w:val="LienInternet"/>
          </w:rPr>
          <w:t>CMG Suppl. Or. V 2</w:t>
        </w:r>
      </w:hyperlink>
      <w:r>
        <w:rPr/>
        <w:t>, Berlin, 2016, p. 15-16).</w:t>
      </w:r>
    </w:p>
  </w:footnote>
  <w:footnote w:id="3">
    <w:p>
      <w:pPr>
        <w:pStyle w:val="Notedebasdepage"/>
        <w:suppressLineNumbers/>
        <w:bidi w:val="0"/>
        <w:ind w:left="340" w:right="0" w:hanging="340"/>
        <w:jc w:val="left"/>
        <w:rPr/>
      </w:pPr>
      <w:r>
        <w:rPr>
          <w:rStyle w:val="Caractresdenotedebasdepage"/>
        </w:rPr>
        <w:footnoteRef/>
      </w:r>
      <w:r>
        <w:rPr>
          <w:rStyle w:val="Accentuation"/>
        </w:rPr>
        <w:tab/>
        <w:t>De venereis</w:t>
      </w:r>
      <w:r>
        <w:rPr/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rPr/>
        <w:t>, p. 187.27 – 189.4 Raeder : voir Fichtner-Bibliographie, n° </w:t>
      </w:r>
      <w:r>
        <w:fldChar w:fldCharType="begin"/>
      </w:r>
      <w:r>
        <w:rPr>
          <w:rStyle w:val="LienInternet"/>
        </w:rPr>
        <w:instrText xml:space="preserve"> HYPERLINK "https://cmg.bbaw.de/epubl/online/online-publikationen/Galen-Bibliographie_2019-12y.pdf" \l "DstN36"</w:instrText>
      </w:r>
      <w:r>
        <w:rPr>
          <w:rStyle w:val="LienInternet"/>
        </w:rPr>
        <w:fldChar w:fldCharType="separate"/>
      </w:r>
      <w:r>
        <w:rPr>
          <w:rStyle w:val="LienInternet"/>
        </w:rPr>
        <w:t>36</w:t>
      </w:r>
      <w:r>
        <w:rPr>
          <w:rStyle w:val="LienInternet"/>
        </w:rPr>
        <w:fldChar w:fldCharType="end"/>
      </w:r>
      <w:r>
        <w:rPr/>
        <w:t xml:space="preserve">) ; </w:t>
      </w:r>
      <w:r>
        <w:rPr>
          <w:rStyle w:val="Accentuation"/>
        </w:rPr>
        <w:t>Quos quibus catharticis medicamentis et quando purgare oporteat</w:t>
      </w:r>
      <w:r>
        <w:rPr/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rPr/>
        <w:t xml:space="preserve">, p. 221.10 – 227.10 Raeder : voir Fichtner-Bibliographie, n° </w:t>
      </w:r>
      <w:r>
        <w:fldChar w:fldCharType="begin"/>
      </w:r>
      <w:r>
        <w:rPr>
          <w:rStyle w:val="LienInternet"/>
        </w:rPr>
        <w:instrText xml:space="preserve"> HYPERLINK "https://cmg.bbaw.de/epubl/online/online-publikationen/Galen-Bibliographie_2019-12y.pdf" \l "DstN76"</w:instrText>
      </w:r>
      <w:r>
        <w:rPr>
          <w:rStyle w:val="LienInternet"/>
        </w:rPr>
        <w:fldChar w:fldCharType="separate"/>
      </w:r>
      <w:r>
        <w:rPr>
          <w:rStyle w:val="LienInternet"/>
        </w:rPr>
        <w:t>76</w:t>
      </w:r>
      <w:r>
        <w:rPr>
          <w:rStyle w:val="LienInternet"/>
        </w:rPr>
        <w:fldChar w:fldCharType="end"/>
      </w:r>
      <w:r>
        <w:rPr/>
        <w:t>).</w:t>
      </w:r>
    </w:p>
  </w:footnote>
  <w:footnote w:id="4">
    <w:p>
      <w:pPr>
        <w:pStyle w:val="Notedebasdepage"/>
        <w:suppressLineNumbers/>
        <w:bidi w:val="0"/>
        <w:ind w:left="340" w:right="0" w:hanging="340"/>
        <w:jc w:val="left"/>
        <w:rPr/>
      </w:pPr>
      <w:r>
        <w:rPr>
          <w:rStyle w:val="Caractresdenotedebasdepage"/>
        </w:rPr>
        <w:footnoteRef/>
      </w:r>
      <w:r>
        <w:rPr/>
        <w:tab/>
        <w:t>Voir la « </w:t>
      </w:r>
      <w:hyperlink r:id="rId4">
        <w:r>
          <w:rPr>
            <w:rStyle w:val="LienInternet"/>
          </w:rPr>
          <w:t>Galenus und [Galenus] – Gesamtübersicht</w:t>
        </w:r>
      </w:hyperlink>
      <w:r>
        <w:rPr/>
        <w:t> » du Corpus Medicorum Graecorum de Berlin.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sans-serif" w:hAnsi="sans-serif" w:eastAsia="NSimSun" w:cs="Lucida Sans"/>
      <w:color w:val="auto"/>
      <w:sz w:val="24"/>
      <w:szCs w:val="24"/>
      <w:lang w:val="fr-CH" w:eastAsia="zh-CN" w:bidi="hi-IN"/>
    </w:rPr>
  </w:style>
  <w:style w:type="paragraph" w:styleId="Titre1">
    <w:name w:val="Heading 1"/>
    <w:basedOn w:val="Titre"/>
    <w:next w:val="Corpsdetexte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ctresdenotedefin">
    <w:name w:val="Caractères de note de fin"/>
    <w:qFormat/>
    <w:rPr/>
  </w:style>
  <w:style w:type="character" w:styleId="Caractresdenotedebasdepage">
    <w:name w:val="Caractères de note de bas de page"/>
    <w:qFormat/>
    <w:rPr/>
  </w:style>
  <w:style w:type="character" w:styleId="LienInternet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ncredenotedebasdepage">
    <w:name w:val="Footnote Reference"/>
    <w:rPr>
      <w:vertAlign w:val="superscript"/>
    </w:rPr>
  </w:style>
  <w:style w:type="character" w:styleId="LienInternetvisit">
    <w:name w:val="FollowedHyperlink"/>
    <w:rPr>
      <w:color w:val="800000"/>
      <w:u w:val="single"/>
      <w:lang w:val="zxx" w:eastAsia="zxx" w:bidi="zxx"/>
    </w:rPr>
  </w:style>
  <w:style w:type="character" w:styleId="Ancredenotedefin">
    <w:name w:val="Endnote Reference"/>
    <w:rPr>
      <w:vertAlign w:val="superscript"/>
    </w:rPr>
  </w:style>
  <w:style w:type="paragraph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Corpsdetexte">
    <w:name w:val="Body Text"/>
    <w:basedOn w:val="Normal"/>
    <w:pPr>
      <w:spacing w:before="0" w:after="283"/>
    </w:pPr>
    <w:rPr/>
  </w:style>
  <w:style w:type="paragraph" w:styleId="Expditeur">
    <w:name w:val="Envelope Return"/>
    <w:basedOn w:val="Normal"/>
    <w:pPr/>
    <w:rPr>
      <w:i/>
    </w:rPr>
  </w:style>
  <w:style w:type="paragraph" w:styleId="Contenudetableau">
    <w:name w:val="Contenu de tableau"/>
    <w:basedOn w:val="Corpsdetexte"/>
    <w:qFormat/>
    <w:pPr/>
    <w:rPr/>
  </w:style>
  <w:style w:type="paragraph" w:styleId="En-tteetpieddepage">
    <w:name w:val="En-tête et pied de page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En-tte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Titre">
    <w:name w:val="Titre"/>
    <w:basedOn w:val="Normal"/>
    <w:next w:val="Corpsdetexte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e">
    <w:name w:val="List"/>
    <w:basedOn w:val="Corpsdetexte"/>
    <w:pPr/>
    <w:rPr>
      <w:rFonts w:cs="Lucida Sans"/>
    </w:rPr>
  </w:style>
  <w:style w:type="paragraph" w:styleId="Notedebasdepage">
    <w:name w:val="Foot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tymologika.hypotheses.org/1035" TargetMode="External"/><Relationship Id="rId3" Type="http://schemas.openxmlformats.org/officeDocument/2006/relationships/hyperlink" Target="https://etymologika.hypotheses.org/2648" TargetMode="External"/><Relationship Id="rId4" Type="http://schemas.openxmlformats.org/officeDocument/2006/relationships/hyperlink" Target="https://opengreekandlatin.github.io/First1KGreek/" TargetMode="External"/><Relationship Id="rId5" Type="http://schemas.openxmlformats.org/officeDocument/2006/relationships/hyperlink" Target="https://www.graeco-arabic-studies.org/home.html" TargetMode="External"/><Relationship Id="rId6" Type="http://schemas.openxmlformats.org/officeDocument/2006/relationships/hyperlink" Target="https://scaife.perseus.org/library/urn:cts:greekLit:tlg0057/" TargetMode="External"/><Relationship Id="rId7" Type="http://schemas.openxmlformats.org/officeDocument/2006/relationships/hyperlink" Target="https://scaife.perseus.org/library/urn:cts:greekLit:tlg0530/" TargetMode="External"/><Relationship Id="rId8" Type="http://schemas.openxmlformats.org/officeDocument/2006/relationships/hyperlink" Target="https://epidoc.stoa.org/gl/latest/intro-intro-fr.html" TargetMode="External"/><Relationship Id="rId9" Type="http://schemas.openxmlformats.org/officeDocument/2006/relationships/hyperlink" Target="https://creativecommons.org/licenses/by-sa/4.0/deed.fr" TargetMode="External"/><Relationship Id="rId10" Type="http://schemas.openxmlformats.org/officeDocument/2006/relationships/hyperlink" Target="http://www.iufrance.fr/les-membres-de-liuf/membre/2053-nathalie-rousseau.html" TargetMode="External"/><Relationship Id="rId11" Type="http://schemas.openxmlformats.org/officeDocument/2006/relationships/hyperlink" Target="https://github.com/glorieux-f" TargetMode="External"/><Relationship Id="rId12" Type="http://schemas.openxmlformats.org/officeDocument/2006/relationships/hyperlink" Target="https://github.com/Ctaaffe" TargetMode="External"/><Relationship Id="rId13" Type="http://schemas.openxmlformats.org/officeDocument/2006/relationships/hyperlink" Target="https://github.com/galenus-verbatim" TargetMode="External"/><Relationship Id="rId14" Type="http://schemas.openxmlformats.org/officeDocument/2006/relationships/hyperlink" Target="https://github.com/hipster-philology/nlp-pie-taggers" TargetMode="External"/><Relationship Id="rId15" Type="http://schemas.openxmlformats.org/officeDocument/2006/relationships/hyperlink" Target="https://www.iufrance.fr/" TargetMode="External"/><Relationship Id="rId16" Type="http://schemas.openxmlformats.org/officeDocument/2006/relationships/hyperlink" Target="https://humanites-biomedicales.sorbonne-universite.fr/" TargetMode="External"/><Relationship Id="rId17" Type="http://schemas.openxmlformats.org/officeDocument/2006/relationships/hyperlink" Target="https://wellcomecollection.org/works/m5w3994s" TargetMode="Externa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cmg.bbaw.de/epubl/online/Bibl/Galen-Bibliographie_092.pdf" TargetMode="External"/><Relationship Id="rId2" Type="http://schemas.openxmlformats.org/officeDocument/2006/relationships/hyperlink" Target="http://cmg.bbaw.de/epubl/online/Bibl/Galen-Bibliographie_094.pdf" TargetMode="External"/><Relationship Id="rId3" Type="http://schemas.openxmlformats.org/officeDocument/2006/relationships/hyperlink" Target="http://cmg.bbaw.de/epubl/online/suppl_or_05_02.php" TargetMode="External"/><Relationship Id="rId4" Type="http://schemas.openxmlformats.org/officeDocument/2006/relationships/hyperlink" Target="https://cmg.bbaw.de/epubl/online/galges.html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LibreOffice/7.5.1.2$Windows_X86_64 LibreOffice_project/fcbaee479e84c6cd81291587d2ee68cba099e129</Application>
  <AppVersion>15.0000</AppVersion>
  <Pages>2</Pages>
  <Words>633</Words>
  <Characters>3423</Characters>
  <CharactersWithSpaces>4046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fr-CH</dc:language>
  <cp:lastModifiedBy/>
  <dcterms:modified xsi:type="dcterms:W3CDTF">2022-06-19T18:44:37Z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